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70C781">
      <w:pPr>
        <w:rPr>
          <w:rFonts w:ascii="仿宋_GB2312" w:hAnsi="仿宋_GB2312" w:eastAsia="仿宋_GB2312" w:cs="仿宋_GB2312"/>
          <w:color w:val="auto"/>
          <w:sz w:val="32"/>
          <w:szCs w:val="32"/>
        </w:rPr>
      </w:pPr>
    </w:p>
    <w:p w14:paraId="0BFCAE80">
      <w:pPr>
        <w:rPr>
          <w:rFonts w:ascii="仿宋_GB2312" w:hAnsi="仿宋_GB2312" w:eastAsia="仿宋_GB2312" w:cs="仿宋_GB2312"/>
          <w:color w:val="auto"/>
          <w:sz w:val="32"/>
          <w:szCs w:val="32"/>
        </w:rPr>
      </w:pPr>
    </w:p>
    <w:p w14:paraId="26C41693">
      <w:pPr>
        <w:rPr>
          <w:rFonts w:ascii="仿宋_GB2312" w:hAnsi="仿宋_GB2312" w:eastAsia="仿宋_GB2312" w:cs="仿宋_GB2312"/>
          <w:color w:val="auto"/>
          <w:sz w:val="32"/>
          <w:szCs w:val="32"/>
        </w:rPr>
      </w:pPr>
    </w:p>
    <w:p w14:paraId="73F36897">
      <w:pPr>
        <w:rPr>
          <w:rFonts w:ascii="仿宋_GB2312" w:hAnsi="仿宋_GB2312" w:eastAsia="仿宋_GB2312" w:cs="仿宋_GB2312"/>
          <w:color w:val="auto"/>
          <w:sz w:val="32"/>
          <w:szCs w:val="32"/>
        </w:rPr>
      </w:pPr>
    </w:p>
    <w:p w14:paraId="759A7D91">
      <w:pPr>
        <w:adjustRightInd w:val="0"/>
        <w:snapToGrid w:val="0"/>
        <w:jc w:val="center"/>
        <w:outlineLvl w:val="0"/>
        <w:rPr>
          <w:rFonts w:hint="eastAsia" w:ascii="宋体" w:hAnsi="宋体" w:eastAsia="宋体" w:cs="宋体"/>
          <w:bCs/>
          <w:color w:val="auto"/>
          <w:sz w:val="72"/>
          <w:szCs w:val="72"/>
        </w:rPr>
      </w:pPr>
      <w:bookmarkStart w:id="0" w:name="_Toc65765017"/>
      <w:r>
        <w:rPr>
          <w:rFonts w:hint="eastAsia" w:ascii="宋体" w:hAnsi="宋体" w:eastAsia="宋体" w:cs="宋体"/>
          <w:bCs/>
          <w:color w:val="auto"/>
          <w:sz w:val="72"/>
          <w:szCs w:val="72"/>
        </w:rPr>
        <w:t>建设项目环境影响报告表</w:t>
      </w:r>
      <w:bookmarkEnd w:id="0"/>
    </w:p>
    <w:p w14:paraId="3EACC221">
      <w:pPr>
        <w:adjustRightInd w:val="0"/>
        <w:snapToGrid w:val="0"/>
        <w:spacing w:before="192" w:beforeLines="80"/>
        <w:jc w:val="center"/>
        <w:rPr>
          <w:rFonts w:ascii="楷体_GB2312" w:eastAsia="楷体_GB2312"/>
          <w:bCs/>
          <w:color w:val="auto"/>
          <w:sz w:val="32"/>
          <w:szCs w:val="32"/>
        </w:rPr>
      </w:pPr>
      <w:r>
        <w:rPr>
          <w:rFonts w:hint="eastAsia" w:ascii="宋体" w:hAnsi="宋体" w:eastAsia="宋体" w:cs="宋体"/>
          <w:bCs/>
          <w:color w:val="auto"/>
          <w:sz w:val="48"/>
          <w:szCs w:val="48"/>
        </w:rPr>
        <w:t>（污染影响类）</w:t>
      </w:r>
    </w:p>
    <w:p w14:paraId="32BC312C">
      <w:pPr>
        <w:adjustRightInd w:val="0"/>
        <w:snapToGrid w:val="0"/>
        <w:spacing w:line="288" w:lineRule="auto"/>
        <w:jc w:val="center"/>
        <w:outlineLvl w:val="0"/>
        <w:rPr>
          <w:rFonts w:ascii="华文仿宋" w:hAnsi="华文仿宋" w:eastAsia="华文仿宋" w:cs="华文仿宋"/>
          <w:color w:val="auto"/>
          <w:kern w:val="44"/>
          <w:sz w:val="32"/>
          <w:szCs w:val="32"/>
        </w:rPr>
      </w:pPr>
    </w:p>
    <w:p w14:paraId="6C2118C0">
      <w:pPr>
        <w:jc w:val="center"/>
        <w:rPr>
          <w:rFonts w:eastAsia="仿宋"/>
          <w:color w:val="auto"/>
          <w:sz w:val="32"/>
          <w:szCs w:val="32"/>
        </w:rPr>
      </w:pPr>
    </w:p>
    <w:p w14:paraId="61BA4F75">
      <w:pPr>
        <w:ind w:firstLine="1040"/>
        <w:rPr>
          <w:rFonts w:eastAsia="仿宋"/>
          <w:color w:val="auto"/>
          <w:sz w:val="32"/>
          <w:szCs w:val="32"/>
        </w:rPr>
      </w:pPr>
    </w:p>
    <w:p w14:paraId="6CC6CD79">
      <w:pPr>
        <w:ind w:firstLine="1040"/>
        <w:rPr>
          <w:rFonts w:eastAsia="仿宋"/>
          <w:color w:val="auto"/>
          <w:sz w:val="32"/>
          <w:szCs w:val="32"/>
        </w:rPr>
      </w:pPr>
    </w:p>
    <w:p w14:paraId="4538E6A1">
      <w:pPr>
        <w:ind w:firstLine="1040"/>
        <w:rPr>
          <w:rFonts w:eastAsia="仿宋"/>
          <w:color w:val="auto"/>
          <w:sz w:val="32"/>
          <w:szCs w:val="32"/>
        </w:rPr>
      </w:pPr>
    </w:p>
    <w:p w14:paraId="3C2A2C33">
      <w:pPr>
        <w:ind w:firstLine="1040"/>
        <w:rPr>
          <w:rFonts w:eastAsia="仿宋"/>
          <w:color w:val="auto"/>
          <w:sz w:val="32"/>
          <w:szCs w:val="32"/>
        </w:rPr>
      </w:pPr>
    </w:p>
    <w:p w14:paraId="025D5F4D">
      <w:pPr>
        <w:adjustRightInd w:val="0"/>
        <w:snapToGrid w:val="0"/>
        <w:spacing w:line="360" w:lineRule="auto"/>
        <w:jc w:val="center"/>
        <w:rPr>
          <w:rFonts w:hint="eastAsia" w:ascii="宋体" w:hAnsi="宋体" w:eastAsia="宋体" w:cs="宋体"/>
          <w:color w:val="auto"/>
          <w:sz w:val="32"/>
          <w:szCs w:val="32"/>
          <w:u w:val="single"/>
        </w:rPr>
      </w:pPr>
      <w:r>
        <w:rPr>
          <w:rFonts w:hint="eastAsia" w:ascii="宋体" w:hAnsi="宋体" w:eastAsia="宋体" w:cs="宋体"/>
          <w:color w:val="auto"/>
          <w:sz w:val="32"/>
          <w:szCs w:val="32"/>
        </w:rPr>
        <w:t>项目名称：</w:t>
      </w:r>
      <w:r>
        <w:rPr>
          <w:rFonts w:hint="eastAsia" w:ascii="宋体" w:hAnsi="宋体" w:eastAsia="宋体" w:cs="宋体"/>
          <w:color w:val="auto"/>
          <w:sz w:val="32"/>
          <w:szCs w:val="32"/>
          <w:u w:val="single"/>
        </w:rPr>
        <w:t>中山市南朗镇卓登五金加工厂年产五金配件6</w:t>
      </w:r>
      <w:r>
        <w:rPr>
          <w:rFonts w:hint="eastAsia" w:ascii="宋体" w:hAnsi="宋体" w:cs="宋体"/>
          <w:color w:val="auto"/>
          <w:sz w:val="32"/>
          <w:szCs w:val="32"/>
          <w:u w:val="single"/>
          <w:lang w:val="en-US" w:eastAsia="zh-CN"/>
        </w:rPr>
        <w:t>16</w:t>
      </w:r>
      <w:r>
        <w:rPr>
          <w:rFonts w:hint="eastAsia" w:ascii="宋体" w:hAnsi="宋体" w:eastAsia="宋体" w:cs="宋体"/>
          <w:color w:val="auto"/>
          <w:sz w:val="32"/>
          <w:szCs w:val="32"/>
          <w:u w:val="single"/>
        </w:rPr>
        <w:t>吨新建项目</w:t>
      </w:r>
    </w:p>
    <w:p w14:paraId="59AC1916">
      <w:pPr>
        <w:adjustRightInd w:val="0"/>
        <w:snapToGrid w:val="0"/>
        <w:spacing w:line="360" w:lineRule="auto"/>
        <w:jc w:val="center"/>
        <w:rPr>
          <w:rFonts w:hint="eastAsia" w:ascii="宋体" w:hAnsi="宋体" w:eastAsia="宋体" w:cs="宋体"/>
          <w:color w:val="auto"/>
          <w:sz w:val="32"/>
          <w:szCs w:val="32"/>
          <w:u w:val="single"/>
        </w:rPr>
      </w:pPr>
      <w:r>
        <w:rPr>
          <w:rFonts w:hint="eastAsia" w:ascii="宋体" w:hAnsi="宋体" w:eastAsia="宋体" w:cs="宋体"/>
          <w:color w:val="auto"/>
          <w:sz w:val="32"/>
          <w:szCs w:val="32"/>
        </w:rPr>
        <w:t>建设单位（盖章）：</w:t>
      </w:r>
      <w:r>
        <w:rPr>
          <w:rFonts w:hint="eastAsia" w:ascii="宋体" w:hAnsi="宋体" w:eastAsia="宋体" w:cs="宋体"/>
          <w:color w:val="auto"/>
          <w:sz w:val="32"/>
          <w:szCs w:val="32"/>
          <w:u w:val="single"/>
        </w:rPr>
        <w:t>中山市南朗镇卓登五金加工厂</w:t>
      </w:r>
    </w:p>
    <w:p w14:paraId="107BA5F6">
      <w:pPr>
        <w:adjustRightInd w:val="0"/>
        <w:snapToGrid w:val="0"/>
        <w:spacing w:line="360" w:lineRule="auto"/>
        <w:jc w:val="center"/>
        <w:rPr>
          <w:rFonts w:hint="eastAsia" w:ascii="宋体" w:hAnsi="宋体" w:eastAsia="宋体" w:cs="宋体"/>
          <w:color w:val="auto"/>
          <w:sz w:val="32"/>
          <w:szCs w:val="32"/>
          <w:u w:val="single"/>
        </w:rPr>
      </w:pPr>
      <w:r>
        <w:rPr>
          <w:rFonts w:hint="eastAsia" w:ascii="宋体" w:hAnsi="宋体" w:eastAsia="宋体" w:cs="宋体"/>
          <w:color w:val="auto"/>
          <w:sz w:val="32"/>
          <w:szCs w:val="32"/>
        </w:rPr>
        <w:t>编制日期：</w:t>
      </w:r>
      <w:r>
        <w:rPr>
          <w:rFonts w:hint="eastAsia" w:ascii="宋体" w:hAnsi="宋体" w:cs="宋体"/>
          <w:color w:val="auto"/>
          <w:sz w:val="32"/>
          <w:szCs w:val="32"/>
          <w:u w:val="single"/>
          <w:lang w:val="en-US" w:eastAsia="zh-CN"/>
        </w:rPr>
        <w:t xml:space="preserve">    </w:t>
      </w:r>
      <w:r>
        <w:rPr>
          <w:rFonts w:hint="eastAsia" w:ascii="宋体" w:hAnsi="宋体" w:eastAsia="宋体" w:cs="宋体"/>
          <w:color w:val="auto"/>
          <w:sz w:val="32"/>
          <w:szCs w:val="32"/>
          <w:u w:val="single"/>
        </w:rPr>
        <w:t>年</w:t>
      </w:r>
      <w:r>
        <w:rPr>
          <w:rFonts w:hint="eastAsia" w:ascii="宋体" w:hAnsi="宋体" w:cs="宋体"/>
          <w:color w:val="auto"/>
          <w:sz w:val="32"/>
          <w:szCs w:val="32"/>
          <w:u w:val="single"/>
          <w:lang w:val="en-US" w:eastAsia="zh-CN"/>
        </w:rPr>
        <w:t xml:space="preserve">    </w:t>
      </w:r>
      <w:r>
        <w:rPr>
          <w:rFonts w:hint="eastAsia" w:ascii="宋体" w:hAnsi="宋体" w:eastAsia="宋体" w:cs="宋体"/>
          <w:color w:val="auto"/>
          <w:sz w:val="32"/>
          <w:szCs w:val="32"/>
          <w:u w:val="single"/>
        </w:rPr>
        <w:t>月</w:t>
      </w:r>
    </w:p>
    <w:p w14:paraId="042FFB56">
      <w:pPr>
        <w:adjustRightInd w:val="0"/>
        <w:snapToGrid w:val="0"/>
        <w:spacing w:line="288" w:lineRule="auto"/>
        <w:ind w:firstLine="1040"/>
        <w:rPr>
          <w:rFonts w:ascii="仿宋_GB2312" w:eastAsia="仿宋_GB2312"/>
          <w:color w:val="auto"/>
          <w:sz w:val="32"/>
          <w:szCs w:val="32"/>
          <w:u w:val="single"/>
        </w:rPr>
      </w:pPr>
      <w:bookmarkStart w:id="1" w:name="_Hlk57884087"/>
    </w:p>
    <w:p w14:paraId="04B08AD2">
      <w:pPr>
        <w:adjustRightInd w:val="0"/>
        <w:snapToGrid w:val="0"/>
        <w:spacing w:line="288" w:lineRule="auto"/>
        <w:ind w:firstLine="1040"/>
        <w:rPr>
          <w:rFonts w:ascii="仿宋_GB2312" w:eastAsia="仿宋_GB2312"/>
          <w:color w:val="auto"/>
          <w:sz w:val="32"/>
          <w:szCs w:val="32"/>
        </w:rPr>
      </w:pPr>
    </w:p>
    <w:p w14:paraId="372C0630">
      <w:pPr>
        <w:adjustRightInd w:val="0"/>
        <w:snapToGrid w:val="0"/>
        <w:spacing w:line="288" w:lineRule="auto"/>
        <w:ind w:firstLine="1040"/>
        <w:rPr>
          <w:rFonts w:ascii="仿宋_GB2312" w:eastAsia="仿宋_GB2312"/>
          <w:color w:val="auto"/>
          <w:sz w:val="32"/>
          <w:szCs w:val="32"/>
        </w:rPr>
      </w:pPr>
    </w:p>
    <w:p w14:paraId="7D40A198">
      <w:pPr>
        <w:adjustRightInd w:val="0"/>
        <w:snapToGrid w:val="0"/>
        <w:spacing w:line="288" w:lineRule="auto"/>
        <w:ind w:firstLine="1040"/>
        <w:rPr>
          <w:rFonts w:ascii="仿宋_GB2312" w:eastAsia="仿宋_GB2312"/>
          <w:color w:val="auto"/>
          <w:sz w:val="32"/>
          <w:szCs w:val="32"/>
        </w:rPr>
      </w:pPr>
    </w:p>
    <w:p w14:paraId="032CB4CD">
      <w:pPr>
        <w:adjustRightInd w:val="0"/>
        <w:snapToGrid w:val="0"/>
        <w:spacing w:line="288" w:lineRule="auto"/>
        <w:ind w:firstLine="1040"/>
        <w:rPr>
          <w:rFonts w:ascii="仿宋_GB2312" w:eastAsia="仿宋_GB2312"/>
          <w:color w:val="auto"/>
          <w:sz w:val="32"/>
          <w:szCs w:val="32"/>
        </w:rPr>
      </w:pPr>
    </w:p>
    <w:bookmarkEnd w:id="1"/>
    <w:p w14:paraId="587DC352">
      <w:pPr>
        <w:adjustRightInd w:val="0"/>
        <w:snapToGrid w:val="0"/>
        <w:spacing w:line="288" w:lineRule="auto"/>
        <w:jc w:val="center"/>
        <w:rPr>
          <w:rFonts w:ascii="楷体_GB2312" w:eastAsia="楷体_GB2312"/>
          <w:color w:val="auto"/>
          <w:sz w:val="32"/>
          <w:szCs w:val="32"/>
        </w:rPr>
      </w:pPr>
      <w:r>
        <w:rPr>
          <w:rFonts w:hint="eastAsia" w:ascii="楷体_GB2312" w:eastAsia="楷体_GB2312"/>
          <w:color w:val="auto"/>
          <w:sz w:val="32"/>
          <w:szCs w:val="32"/>
        </w:rPr>
        <w:t>中华人民共和国生态环境部制</w:t>
      </w:r>
    </w:p>
    <w:p w14:paraId="49D5D58D">
      <w:pPr>
        <w:pStyle w:val="184"/>
        <w:ind w:firstLine="480"/>
        <w:rPr>
          <w:rFonts w:ascii="Times New Roman" w:hAnsi="Times New Roman" w:eastAsia="宋体" w:cs="Times New Roman"/>
          <w:color w:val="auto"/>
          <w:kern w:val="2"/>
          <w:lang w:val="zh-CN"/>
        </w:rPr>
      </w:pPr>
      <w:r>
        <w:rPr>
          <w:rFonts w:ascii="仿宋_GB2312" w:eastAsia="仿宋_GB2312"/>
          <w:color w:val="auto"/>
        </w:rPr>
        <w:br w:type="page"/>
      </w:r>
    </w:p>
    <w:p w14:paraId="3CD8E8F8">
      <w:pPr>
        <w:spacing w:before="0" w:beforeLines="0" w:after="0" w:afterLines="0" w:line="240" w:lineRule="auto"/>
        <w:ind w:left="0" w:leftChars="0" w:right="0" w:rightChars="0" w:firstLine="0" w:firstLineChars="0"/>
        <w:jc w:val="center"/>
        <w:rPr>
          <w:rFonts w:eastAsia="宋体"/>
          <w:b/>
          <w:bCs/>
          <w:color w:val="auto"/>
          <w:sz w:val="32"/>
          <w:szCs w:val="32"/>
        </w:rPr>
      </w:pPr>
      <w:r>
        <w:rPr>
          <w:rFonts w:ascii="宋体" w:hAnsi="宋体" w:eastAsia="宋体"/>
          <w:b/>
          <w:bCs/>
          <w:color w:val="auto"/>
          <w:sz w:val="32"/>
          <w:szCs w:val="32"/>
        </w:rPr>
        <w:t>目录</w:t>
      </w:r>
    </w:p>
    <w:p w14:paraId="5F7D5290">
      <w:pPr>
        <w:widowControl w:val="0"/>
        <w:tabs>
          <w:tab w:val="right" w:leader="dot" w:pos="8844"/>
        </w:tabs>
        <w:jc w:val="both"/>
        <w:rPr>
          <w:rFonts w:hint="eastAsia"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TOC \o "1-1" \h \u </w:instrText>
      </w:r>
      <w:r>
        <w:rPr>
          <w:rFonts w:ascii="Times New Roman" w:hAnsi="Times New Roman" w:eastAsia="宋体" w:cs="Times New Roman"/>
          <w:color w:val="auto"/>
          <w:kern w:val="2"/>
          <w:sz w:val="24"/>
          <w:szCs w:val="24"/>
          <w:lang w:val="en-US" w:eastAsia="zh-CN" w:bidi="ar-SA"/>
        </w:rPr>
        <w:fldChar w:fldCharType="separate"/>
      </w:r>
    </w:p>
    <w:p w14:paraId="3A5B4169">
      <w:pPr>
        <w:widowControl w:val="0"/>
        <w:tabs>
          <w:tab w:val="right" w:leader="dot" w:pos="8844"/>
        </w:tabs>
        <w:jc w:val="both"/>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_Toc1485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snapToGrid w:val="0"/>
          <w:color w:val="auto"/>
          <w:kern w:val="2"/>
          <w:sz w:val="24"/>
          <w:szCs w:val="24"/>
          <w:lang w:val="en-US" w:eastAsia="zh-CN" w:bidi="ar-SA"/>
        </w:rPr>
        <w:t>一、建设项目基本情况</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1</w:t>
      </w:r>
      <w:r>
        <w:rPr>
          <w:rFonts w:ascii="Times New Roman" w:hAnsi="Times New Roman" w:eastAsia="宋体" w:cs="Times New Roman"/>
          <w:color w:val="auto"/>
          <w:kern w:val="2"/>
          <w:sz w:val="24"/>
          <w:szCs w:val="24"/>
          <w:lang w:val="en-US" w:eastAsia="zh-CN" w:bidi="ar-SA"/>
        </w:rPr>
        <w:fldChar w:fldCharType="end"/>
      </w:r>
    </w:p>
    <w:p w14:paraId="49C9DC85">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_Toc19883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snapToGrid w:val="0"/>
          <w:color w:val="auto"/>
          <w:kern w:val="2"/>
          <w:sz w:val="24"/>
          <w:szCs w:val="24"/>
          <w:lang w:val="en-US" w:eastAsia="zh-CN" w:bidi="ar-SA"/>
        </w:rPr>
        <w:t>二、建设项目工程分析</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1</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4</w:t>
      </w:r>
    </w:p>
    <w:p w14:paraId="50500023">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_Toc29239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snapToGrid w:val="0"/>
          <w:color w:val="auto"/>
          <w:kern w:val="2"/>
          <w:sz w:val="24"/>
          <w:szCs w:val="24"/>
          <w:lang w:val="en-US" w:eastAsia="zh-CN" w:bidi="ar-SA"/>
        </w:rPr>
        <w:t>三、区域环境质量现状、环境保护目标及评价标准</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2</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6</w:t>
      </w:r>
    </w:p>
    <w:p w14:paraId="4880AC6D">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_Toc21744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snapToGrid w:val="0"/>
          <w:color w:val="auto"/>
          <w:kern w:val="2"/>
          <w:sz w:val="24"/>
          <w:szCs w:val="24"/>
          <w:lang w:val="en-US" w:eastAsia="zh-CN" w:bidi="ar-SA"/>
        </w:rPr>
        <w:t>四、主要环境影响和保护措施</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3</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5</w:t>
      </w:r>
    </w:p>
    <w:p w14:paraId="0A771BE2">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_Toc27930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snapToGrid w:val="0"/>
          <w:color w:val="auto"/>
          <w:kern w:val="2"/>
          <w:sz w:val="24"/>
          <w:szCs w:val="24"/>
          <w:lang w:val="en-US" w:eastAsia="zh-CN" w:bidi="ar-SA"/>
        </w:rPr>
        <w:t>五、环境保护措施监督检查清单</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6</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7</w:t>
      </w:r>
    </w:p>
    <w:p w14:paraId="4FB0A3D9">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_Toc3912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snapToGrid w:val="0"/>
          <w:color w:val="auto"/>
          <w:kern w:val="2"/>
          <w:sz w:val="24"/>
          <w:szCs w:val="24"/>
          <w:lang w:val="en-US" w:eastAsia="zh-CN" w:bidi="ar-SA"/>
        </w:rPr>
        <w:t>六、结论</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7</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0</w:t>
      </w:r>
    </w:p>
    <w:p w14:paraId="5CD5EA0C">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_Toc9645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snapToGrid w:val="0"/>
          <w:color w:val="auto"/>
          <w:kern w:val="2"/>
          <w:sz w:val="24"/>
          <w:szCs w:val="24"/>
          <w:lang w:val="en-US" w:eastAsia="zh-CN" w:bidi="ar-SA"/>
        </w:rPr>
        <w:t>附表</w:t>
      </w:r>
      <w:r>
        <w:rPr>
          <w:rFonts w:ascii="Times New Roman" w:hAnsi="Times New Roman" w:eastAsia="宋体" w:cs="Times New Roman"/>
          <w:color w:val="auto"/>
          <w:kern w:val="2"/>
          <w:sz w:val="24"/>
          <w:szCs w:val="24"/>
          <w:lang w:val="en-US" w:eastAsia="zh-CN" w:bidi="ar-SA"/>
        </w:rPr>
        <w:tab/>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71</w:t>
      </w:r>
    </w:p>
    <w:p w14:paraId="20DC5A0C">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_Toc29859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附图1 项目</w:t>
      </w:r>
      <w:r>
        <w:rPr>
          <w:rFonts w:hint="eastAsia" w:cs="Times New Roman"/>
          <w:bCs/>
          <w:color w:val="auto"/>
          <w:kern w:val="2"/>
          <w:sz w:val="24"/>
          <w:szCs w:val="24"/>
          <w:lang w:val="en-US" w:eastAsia="zh-CN" w:bidi="ar-SA"/>
        </w:rPr>
        <w:t>地理位置</w:t>
      </w:r>
      <w:r>
        <w:rPr>
          <w:rFonts w:hint="eastAsia" w:ascii="Times New Roman" w:hAnsi="Times New Roman" w:eastAsia="宋体" w:cs="Times New Roman"/>
          <w:bCs/>
          <w:color w:val="auto"/>
          <w:kern w:val="2"/>
          <w:sz w:val="24"/>
          <w:szCs w:val="24"/>
          <w:lang w:val="en-US" w:eastAsia="zh-CN" w:bidi="ar-SA"/>
        </w:rPr>
        <w:t>图</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7</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3</w:t>
      </w:r>
    </w:p>
    <w:p w14:paraId="254B5733">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_Toc2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附图2 项目</w:t>
      </w:r>
      <w:r>
        <w:rPr>
          <w:rFonts w:hint="eastAsia" w:cs="Times New Roman"/>
          <w:bCs/>
          <w:color w:val="auto"/>
          <w:kern w:val="2"/>
          <w:sz w:val="24"/>
          <w:szCs w:val="24"/>
          <w:lang w:val="en-US" w:eastAsia="zh-CN" w:bidi="ar-SA"/>
        </w:rPr>
        <w:t>四至</w:t>
      </w:r>
      <w:r>
        <w:rPr>
          <w:rFonts w:hint="eastAsia" w:ascii="Times New Roman" w:hAnsi="Times New Roman" w:eastAsia="宋体" w:cs="Times New Roman"/>
          <w:bCs/>
          <w:color w:val="auto"/>
          <w:kern w:val="2"/>
          <w:sz w:val="24"/>
          <w:szCs w:val="24"/>
          <w:lang w:val="en-US" w:eastAsia="zh-CN" w:bidi="ar-SA"/>
        </w:rPr>
        <w:t>图</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7</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4</w:t>
      </w:r>
    </w:p>
    <w:p w14:paraId="41DA1C53">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_Toc1474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附图3 厂区平面布置图</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7</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5</w:t>
      </w:r>
    </w:p>
    <w:p w14:paraId="46696C13">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_Toc25885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附图4 项目所在地用地</w:t>
      </w:r>
      <w:r>
        <w:rPr>
          <w:rFonts w:hint="eastAsia" w:cs="Times New Roman"/>
          <w:bCs/>
          <w:color w:val="auto"/>
          <w:kern w:val="2"/>
          <w:sz w:val="24"/>
          <w:szCs w:val="24"/>
          <w:lang w:val="en-US" w:eastAsia="zh-CN" w:bidi="ar-SA"/>
        </w:rPr>
        <w:t>规划信息公开</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7</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6</w:t>
      </w:r>
    </w:p>
    <w:p w14:paraId="3F8C4AF4">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_Toc31913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附图5 大气、声保护目标范围</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7</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8</w:t>
      </w:r>
    </w:p>
    <w:p w14:paraId="12225FFC">
      <w:pPr>
        <w:widowControl w:val="0"/>
        <w:tabs>
          <w:tab w:val="right" w:leader="dot" w:pos="8844"/>
        </w:tabs>
        <w:jc w:val="both"/>
        <w:rPr>
          <w:rFonts w:hint="eastAsia"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_Toc16090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附图6 中山市水环境功能区划示意图</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7</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9</w:t>
      </w:r>
    </w:p>
    <w:p w14:paraId="4F1CF6BE">
      <w:pPr>
        <w:widowControl w:val="0"/>
        <w:tabs>
          <w:tab w:val="right" w:leader="dot" w:pos="8844"/>
        </w:tabs>
        <w:jc w:val="both"/>
        <w:rPr>
          <w:rFonts w:hint="eastAsia"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_Toc8380 </w:instrText>
      </w:r>
      <w:r>
        <w:rPr>
          <w:rFonts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bCs/>
          <w:color w:val="auto"/>
          <w:kern w:val="2"/>
          <w:sz w:val="24"/>
          <w:szCs w:val="24"/>
          <w:lang w:val="en-US" w:eastAsia="zh-CN" w:bidi="ar-SA"/>
        </w:rPr>
        <w:t xml:space="preserve">附图7 </w:t>
      </w:r>
      <w:r>
        <w:rPr>
          <w:rFonts w:hint="eastAsia" w:ascii="Times New Roman" w:hAnsi="Times New Roman" w:eastAsia="宋体" w:cs="Times New Roman"/>
          <w:bCs/>
          <w:color w:val="auto"/>
          <w:kern w:val="2"/>
          <w:sz w:val="24"/>
          <w:szCs w:val="24"/>
          <w:lang w:val="en-US" w:eastAsia="zh-CN" w:bidi="ar-SA"/>
        </w:rPr>
        <w:t>中山市</w:t>
      </w:r>
      <w:r>
        <w:rPr>
          <w:rFonts w:hint="eastAsia" w:cs="Times New Roman"/>
          <w:bCs/>
          <w:color w:val="auto"/>
          <w:kern w:val="2"/>
          <w:sz w:val="24"/>
          <w:szCs w:val="24"/>
          <w:lang w:val="en-US" w:eastAsia="zh-CN" w:bidi="ar-SA"/>
        </w:rPr>
        <w:t>大气</w:t>
      </w:r>
      <w:r>
        <w:rPr>
          <w:rFonts w:hint="eastAsia" w:ascii="Times New Roman" w:hAnsi="Times New Roman" w:eastAsia="宋体" w:cs="Times New Roman"/>
          <w:bCs/>
          <w:color w:val="auto"/>
          <w:kern w:val="2"/>
          <w:sz w:val="24"/>
          <w:szCs w:val="24"/>
          <w:lang w:val="en-US" w:eastAsia="zh-CN" w:bidi="ar-SA"/>
        </w:rPr>
        <w:t>功能区划图</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8</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0</w:t>
      </w:r>
    </w:p>
    <w:p w14:paraId="688AE11D">
      <w:pPr>
        <w:widowControl w:val="0"/>
        <w:tabs>
          <w:tab w:val="right" w:leader="dot" w:pos="8844"/>
        </w:tabs>
        <w:jc w:val="both"/>
        <w:rPr>
          <w:rFonts w:hint="eastAsia"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_Toc30953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附图8 翠亨新区与南朗街道</w:t>
      </w:r>
      <w:r>
        <w:rPr>
          <w:rFonts w:hint="default" w:ascii="Times New Roman" w:hAnsi="Times New Roman" w:eastAsia="宋体" w:cs="Times New Roman"/>
          <w:bCs/>
          <w:color w:val="auto"/>
          <w:kern w:val="2"/>
          <w:sz w:val="24"/>
          <w:szCs w:val="24"/>
          <w:lang w:val="en-US" w:eastAsia="zh-CN" w:bidi="ar-SA"/>
        </w:rPr>
        <w:t>声环境功能区划</w:t>
      </w:r>
      <w:r>
        <w:rPr>
          <w:rFonts w:hint="eastAsia" w:ascii="Times New Roman" w:hAnsi="Times New Roman" w:eastAsia="宋体" w:cs="Times New Roman"/>
          <w:bCs/>
          <w:color w:val="auto"/>
          <w:kern w:val="2"/>
          <w:sz w:val="24"/>
          <w:szCs w:val="24"/>
          <w:lang w:val="en-US" w:eastAsia="zh-CN" w:bidi="ar-SA"/>
        </w:rPr>
        <w:t>图</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8</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1</w:t>
      </w:r>
    </w:p>
    <w:p w14:paraId="3ED16448">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_Toc20822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附图9 中山市</w:t>
      </w:r>
      <w:r>
        <w:rPr>
          <w:rFonts w:hint="eastAsia" w:cs="Times New Roman"/>
          <w:bCs/>
          <w:color w:val="auto"/>
          <w:kern w:val="2"/>
          <w:sz w:val="24"/>
          <w:szCs w:val="24"/>
          <w:lang w:val="en-US" w:eastAsia="zh-CN" w:bidi="ar-SA"/>
        </w:rPr>
        <w:t>环境管控单元图</w:t>
      </w:r>
      <w:r>
        <w:rPr>
          <w:rFonts w:ascii="Times New Roman" w:hAnsi="Times New Roman" w:eastAsia="宋体" w:cs="Times New Roman"/>
          <w:color w:val="auto"/>
          <w:kern w:val="2"/>
          <w:sz w:val="24"/>
          <w:szCs w:val="24"/>
          <w:lang w:val="en-US" w:eastAsia="zh-CN" w:bidi="ar-SA"/>
        </w:rPr>
        <w:tab/>
      </w: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PAGEREF _Toc20822 \h </w:instrText>
      </w:r>
      <w:r>
        <w:rPr>
          <w:rFonts w:ascii="Times New Roman" w:hAnsi="Times New Roman" w:eastAsia="宋体" w:cs="Times New Roman"/>
          <w:color w:val="auto"/>
          <w:kern w:val="2"/>
          <w:sz w:val="24"/>
          <w:szCs w:val="24"/>
          <w:lang w:val="en-US" w:eastAsia="zh-CN" w:bidi="ar-SA"/>
        </w:rPr>
        <w:fldChar w:fldCharType="separate"/>
      </w:r>
      <w:r>
        <w:rPr>
          <w:rFonts w:ascii="Times New Roman" w:hAnsi="Times New Roman" w:eastAsia="宋体" w:cs="Times New Roman"/>
          <w:color w:val="auto"/>
          <w:kern w:val="2"/>
          <w:sz w:val="24"/>
          <w:szCs w:val="24"/>
          <w:lang w:val="en-US" w:eastAsia="zh-CN" w:bidi="ar-SA"/>
        </w:rPr>
        <w:t>8</w:t>
      </w:r>
      <w:r>
        <w:rPr>
          <w:rFonts w:ascii="Times New Roman" w:hAnsi="Times New Roman" w:eastAsia="宋体" w:cs="Times New Roman"/>
          <w:color w:val="auto"/>
          <w:kern w:val="2"/>
          <w:sz w:val="24"/>
          <w:szCs w:val="24"/>
          <w:lang w:val="en-US" w:eastAsia="zh-CN" w:bidi="ar-SA"/>
        </w:rPr>
        <w:fldChar w:fldCharType="end"/>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2</w:t>
      </w:r>
    </w:p>
    <w:p w14:paraId="0D5D115F">
      <w:pPr>
        <w:widowControl w:val="0"/>
        <w:tabs>
          <w:tab w:val="right" w:leader="dot" w:pos="8844"/>
        </w:tabs>
        <w:jc w:val="both"/>
        <w:rPr>
          <w:rFonts w:hint="default"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fldChar w:fldCharType="begin"/>
      </w:r>
      <w:r>
        <w:rPr>
          <w:rFonts w:ascii="Times New Roman" w:hAnsi="Times New Roman" w:eastAsia="宋体" w:cs="Times New Roman"/>
          <w:color w:val="auto"/>
          <w:kern w:val="2"/>
          <w:sz w:val="24"/>
          <w:szCs w:val="24"/>
          <w:lang w:val="en-US" w:eastAsia="zh-CN" w:bidi="ar-SA"/>
        </w:rPr>
        <w:instrText xml:space="preserve"> HYPERLINK \l _Toc21985 </w:instrText>
      </w:r>
      <w:r>
        <w:rPr>
          <w:rFonts w:ascii="Times New Roman" w:hAnsi="Times New Roman" w:eastAsia="宋体" w:cs="Times New Roman"/>
          <w:color w:val="auto"/>
          <w:kern w:val="2"/>
          <w:sz w:val="24"/>
          <w:szCs w:val="24"/>
          <w:lang w:val="en-US" w:eastAsia="zh-CN" w:bidi="ar-SA"/>
        </w:rPr>
        <w:fldChar w:fldCharType="separate"/>
      </w:r>
      <w:r>
        <w:rPr>
          <w:rFonts w:hint="eastAsia" w:ascii="Times New Roman" w:hAnsi="Times New Roman" w:eastAsia="宋体" w:cs="Times New Roman"/>
          <w:bCs/>
          <w:color w:val="auto"/>
          <w:kern w:val="2"/>
          <w:sz w:val="24"/>
          <w:szCs w:val="24"/>
          <w:lang w:val="en-US" w:eastAsia="zh-CN" w:bidi="ar-SA"/>
        </w:rPr>
        <w:t>附图10 中山市地下水</w:t>
      </w:r>
      <w:r>
        <w:rPr>
          <w:rFonts w:hint="eastAsia" w:cs="Times New Roman"/>
          <w:bCs/>
          <w:color w:val="auto"/>
          <w:kern w:val="2"/>
          <w:sz w:val="24"/>
          <w:szCs w:val="24"/>
          <w:lang w:val="en-US" w:eastAsia="zh-CN" w:bidi="ar-SA"/>
        </w:rPr>
        <w:t>污染防治重点区</w:t>
      </w:r>
      <w:r>
        <w:rPr>
          <w:rFonts w:hint="eastAsia" w:ascii="Times New Roman" w:hAnsi="Times New Roman" w:eastAsia="宋体" w:cs="Times New Roman"/>
          <w:bCs/>
          <w:color w:val="auto"/>
          <w:kern w:val="2"/>
          <w:sz w:val="24"/>
          <w:szCs w:val="24"/>
          <w:lang w:val="en-US" w:eastAsia="zh-CN" w:bidi="ar-SA"/>
        </w:rPr>
        <w:t>划</w:t>
      </w:r>
      <w:r>
        <w:rPr>
          <w:rFonts w:hint="eastAsia" w:cs="Times New Roman"/>
          <w:bCs/>
          <w:color w:val="auto"/>
          <w:kern w:val="2"/>
          <w:sz w:val="24"/>
          <w:szCs w:val="24"/>
          <w:lang w:val="en-US" w:eastAsia="zh-CN" w:bidi="ar-SA"/>
        </w:rPr>
        <w:t>定</w:t>
      </w:r>
      <w:r>
        <w:rPr>
          <w:rFonts w:ascii="Times New Roman" w:hAnsi="Times New Roman" w:eastAsia="宋体" w:cs="Times New Roman"/>
          <w:color w:val="auto"/>
          <w:kern w:val="2"/>
          <w:sz w:val="24"/>
          <w:szCs w:val="24"/>
          <w:lang w:val="en-US" w:eastAsia="zh-CN" w:bidi="ar-SA"/>
        </w:rPr>
        <w:tab/>
      </w:r>
      <w:r>
        <w:rPr>
          <w:rFonts w:hint="eastAsia" w:cs="Times New Roman"/>
          <w:color w:val="auto"/>
          <w:kern w:val="2"/>
          <w:sz w:val="24"/>
          <w:szCs w:val="24"/>
          <w:lang w:val="en-US" w:eastAsia="zh-CN" w:bidi="ar-SA"/>
        </w:rPr>
        <w:t>8</w:t>
      </w:r>
      <w:r>
        <w:rPr>
          <w:rFonts w:ascii="Times New Roman" w:hAnsi="Times New Roman" w:eastAsia="宋体" w:cs="Times New Roman"/>
          <w:color w:val="auto"/>
          <w:kern w:val="2"/>
          <w:sz w:val="24"/>
          <w:szCs w:val="24"/>
          <w:lang w:val="en-US" w:eastAsia="zh-CN" w:bidi="ar-SA"/>
        </w:rPr>
        <w:fldChar w:fldCharType="end"/>
      </w:r>
      <w:r>
        <w:rPr>
          <w:rFonts w:hint="eastAsia" w:cs="Times New Roman"/>
          <w:color w:val="auto"/>
          <w:kern w:val="2"/>
          <w:sz w:val="24"/>
          <w:szCs w:val="24"/>
          <w:lang w:val="en-US" w:eastAsia="zh-CN" w:bidi="ar-SA"/>
        </w:rPr>
        <w:t>3</w:t>
      </w:r>
    </w:p>
    <w:p w14:paraId="0B5BF35E">
      <w:pPr>
        <w:adjustRightInd w:val="0"/>
        <w:snapToGrid w:val="0"/>
        <w:spacing w:line="288" w:lineRule="auto"/>
        <w:ind w:firstLine="1040"/>
        <w:rPr>
          <w:rFonts w:ascii="仿宋_GB2312" w:eastAsia="仿宋_GB2312"/>
          <w:color w:val="auto"/>
          <w:szCs w:val="21"/>
        </w:rPr>
      </w:pPr>
      <w:r>
        <w:rPr>
          <w:rFonts w:ascii="Times New Roman" w:hAnsi="Times New Roman" w:eastAsia="宋体"/>
          <w:color w:val="auto"/>
          <w:sz w:val="24"/>
          <w:szCs w:val="24"/>
        </w:rPr>
        <w:fldChar w:fldCharType="end"/>
      </w:r>
    </w:p>
    <w:p w14:paraId="18FDFE7D">
      <w:pPr>
        <w:widowControl/>
        <w:jc w:val="left"/>
        <w:rPr>
          <w:rFonts w:ascii="仿宋_GB2312" w:eastAsia="仿宋_GB2312"/>
          <w:color w:val="auto"/>
          <w:szCs w:val="21"/>
        </w:rPr>
      </w:pPr>
      <w:r>
        <w:rPr>
          <w:rFonts w:ascii="仿宋_GB2312" w:eastAsia="仿宋_GB2312"/>
          <w:color w:val="auto"/>
          <w:szCs w:val="21"/>
        </w:rPr>
        <w:br w:type="page"/>
      </w:r>
    </w:p>
    <w:p w14:paraId="41102D3E">
      <w:pPr>
        <w:adjustRightInd w:val="0"/>
        <w:snapToGrid w:val="0"/>
        <w:spacing w:line="288" w:lineRule="auto"/>
        <w:ind w:firstLine="1040"/>
        <w:rPr>
          <w:rFonts w:ascii="仿宋_GB2312" w:eastAsia="仿宋_GB2312"/>
          <w:color w:val="auto"/>
          <w:szCs w:val="21"/>
        </w:rPr>
        <w:sectPr>
          <w:footerReference r:id="rId3"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56A152DF">
      <w:pPr>
        <w:pStyle w:val="31"/>
        <w:rPr>
          <w:snapToGrid w:val="0"/>
          <w:color w:val="auto"/>
          <w:sz w:val="30"/>
          <w:szCs w:val="30"/>
        </w:rPr>
      </w:pPr>
      <w:bookmarkStart w:id="2" w:name="_Toc72508643"/>
      <w:r>
        <w:rPr>
          <w:rFonts w:hint="eastAsia"/>
          <w:snapToGrid w:val="0"/>
          <w:color w:val="auto"/>
          <w:sz w:val="30"/>
          <w:szCs w:val="30"/>
        </w:rPr>
        <w:t>一、建设项目基本情况</w:t>
      </w:r>
      <w:bookmarkEnd w:id="2"/>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52"/>
        <w:gridCol w:w="2367"/>
        <w:gridCol w:w="2212"/>
        <w:gridCol w:w="2639"/>
      </w:tblGrid>
      <w:tr w14:paraId="485672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2" w:type="dxa"/>
            <w:tcMar>
              <w:top w:w="16" w:type="dxa"/>
              <w:left w:w="16" w:type="dxa"/>
              <w:right w:w="16" w:type="dxa"/>
            </w:tcMar>
            <w:vAlign w:val="center"/>
          </w:tcPr>
          <w:p w14:paraId="1FAC62A8">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建设项目名称</w:t>
            </w:r>
          </w:p>
        </w:tc>
        <w:tc>
          <w:tcPr>
            <w:tcW w:w="7218" w:type="dxa"/>
            <w:gridSpan w:val="3"/>
            <w:vAlign w:val="center"/>
          </w:tcPr>
          <w:p w14:paraId="592330D5">
            <w:pPr>
              <w:pStyle w:val="169"/>
              <w:jc w:val="center"/>
              <w:rPr>
                <w:rFonts w:ascii="Times New Roman" w:hAnsi="Times New Roman" w:eastAsia="宋体" w:cs="宋体"/>
                <w:color w:val="auto"/>
                <w:sz w:val="21"/>
                <w:szCs w:val="21"/>
              </w:rPr>
            </w:pPr>
            <w:r>
              <w:rPr>
                <w:rFonts w:hint="eastAsia" w:ascii="Times New Roman" w:hAnsi="Times New Roman" w:eastAsia="宋体"/>
                <w:color w:val="auto"/>
                <w:sz w:val="21"/>
                <w:szCs w:val="21"/>
              </w:rPr>
              <w:t>中山市南朗镇卓登五金加工厂</w:t>
            </w:r>
            <w:r>
              <w:rPr>
                <w:rFonts w:hint="eastAsia" w:ascii="Times New Roman" w:hAnsi="Times New Roman" w:eastAsia="宋体"/>
                <w:color w:val="auto"/>
                <w:sz w:val="21"/>
                <w:szCs w:val="21"/>
                <w:lang w:val="en-US" w:eastAsia="zh-CN"/>
              </w:rPr>
              <w:t>年产五金配件6</w:t>
            </w:r>
            <w:r>
              <w:rPr>
                <w:rFonts w:hint="eastAsia"/>
                <w:color w:val="auto"/>
                <w:sz w:val="21"/>
                <w:szCs w:val="21"/>
                <w:lang w:val="en-US" w:eastAsia="zh-CN"/>
              </w:rPr>
              <w:t>16</w:t>
            </w:r>
            <w:r>
              <w:rPr>
                <w:rFonts w:hint="eastAsia" w:ascii="Times New Roman" w:hAnsi="Times New Roman" w:eastAsia="宋体"/>
                <w:color w:val="auto"/>
                <w:sz w:val="21"/>
                <w:szCs w:val="21"/>
                <w:lang w:val="en-US" w:eastAsia="zh-CN"/>
              </w:rPr>
              <w:t>吨</w:t>
            </w:r>
            <w:r>
              <w:rPr>
                <w:rFonts w:hint="eastAsia" w:ascii="Times New Roman" w:hAnsi="Times New Roman" w:eastAsia="宋体"/>
                <w:color w:val="auto"/>
                <w:sz w:val="21"/>
                <w:szCs w:val="21"/>
              </w:rPr>
              <w:t>新建项目</w:t>
            </w:r>
          </w:p>
        </w:tc>
      </w:tr>
      <w:tr w14:paraId="0F9154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2" w:type="dxa"/>
            <w:tcMar>
              <w:top w:w="16" w:type="dxa"/>
              <w:left w:w="16" w:type="dxa"/>
              <w:right w:w="16" w:type="dxa"/>
            </w:tcMar>
            <w:vAlign w:val="center"/>
          </w:tcPr>
          <w:p w14:paraId="3185BB04">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项目代码</w:t>
            </w:r>
          </w:p>
        </w:tc>
        <w:tc>
          <w:tcPr>
            <w:tcW w:w="7218" w:type="dxa"/>
            <w:gridSpan w:val="3"/>
            <w:vAlign w:val="center"/>
          </w:tcPr>
          <w:p w14:paraId="1AC34593">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highlight w:val="none"/>
              </w:rPr>
              <w:t>2112-442000-04-01-675021</w:t>
            </w:r>
          </w:p>
        </w:tc>
      </w:tr>
      <w:tr w14:paraId="23B8CB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2" w:type="dxa"/>
            <w:tcMar>
              <w:top w:w="16" w:type="dxa"/>
              <w:left w:w="16" w:type="dxa"/>
              <w:right w:w="16" w:type="dxa"/>
            </w:tcMar>
            <w:vAlign w:val="center"/>
          </w:tcPr>
          <w:p w14:paraId="7639CE91">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建设单位联系人</w:t>
            </w:r>
          </w:p>
        </w:tc>
        <w:tc>
          <w:tcPr>
            <w:tcW w:w="2367" w:type="dxa"/>
            <w:vAlign w:val="center"/>
          </w:tcPr>
          <w:p w14:paraId="5AA922B5">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陈秀华</w:t>
            </w:r>
          </w:p>
        </w:tc>
        <w:tc>
          <w:tcPr>
            <w:tcW w:w="2212" w:type="dxa"/>
            <w:vAlign w:val="center"/>
          </w:tcPr>
          <w:p w14:paraId="4F907232">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联系方式</w:t>
            </w:r>
          </w:p>
        </w:tc>
        <w:tc>
          <w:tcPr>
            <w:tcW w:w="2639" w:type="dxa"/>
            <w:vAlign w:val="center"/>
          </w:tcPr>
          <w:p w14:paraId="174AA39C">
            <w:pPr>
              <w:adjustRightInd w:val="0"/>
              <w:snapToGrid w:val="0"/>
              <w:jc w:val="center"/>
              <w:rPr>
                <w:rFonts w:ascii="Times New Roman" w:hAnsi="Times New Roman" w:eastAsia="宋体" w:cs="宋体"/>
                <w:color w:val="auto"/>
                <w:sz w:val="21"/>
                <w:szCs w:val="21"/>
              </w:rPr>
            </w:pPr>
            <w:bookmarkStart w:id="21" w:name="_GoBack"/>
            <w:bookmarkEnd w:id="21"/>
          </w:p>
        </w:tc>
      </w:tr>
      <w:tr w14:paraId="438CD5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2" w:type="dxa"/>
            <w:tcMar>
              <w:top w:w="16" w:type="dxa"/>
              <w:left w:w="16" w:type="dxa"/>
              <w:right w:w="16" w:type="dxa"/>
            </w:tcMar>
            <w:vAlign w:val="center"/>
          </w:tcPr>
          <w:p w14:paraId="2ADD5931">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建设地点</w:t>
            </w:r>
          </w:p>
        </w:tc>
        <w:tc>
          <w:tcPr>
            <w:tcW w:w="7218" w:type="dxa"/>
            <w:gridSpan w:val="3"/>
            <w:vAlign w:val="center"/>
          </w:tcPr>
          <w:p w14:paraId="00F1E9BF">
            <w:pPr>
              <w:pStyle w:val="169"/>
              <w:jc w:val="center"/>
              <w:rPr>
                <w:rFonts w:ascii="Times New Roman" w:hAnsi="Times New Roman" w:eastAsia="宋体"/>
                <w:color w:val="auto"/>
                <w:sz w:val="21"/>
                <w:szCs w:val="21"/>
              </w:rPr>
            </w:pPr>
            <w:r>
              <w:rPr>
                <w:rFonts w:hint="eastAsia" w:ascii="Times New Roman" w:hAnsi="Times New Roman" w:eastAsia="宋体" w:cs="宋体"/>
                <w:color w:val="auto"/>
                <w:sz w:val="21"/>
                <w:szCs w:val="21"/>
                <w:lang w:val="en-US"/>
              </w:rPr>
              <w:t xml:space="preserve">中山市南朗镇第一工业区龙基路南燕玻璃马赛克有限公司6#厂房(原玻璃车间) </w:t>
            </w:r>
          </w:p>
        </w:tc>
      </w:tr>
      <w:tr w14:paraId="2BBFA0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2" w:type="dxa"/>
            <w:tcMar>
              <w:top w:w="16" w:type="dxa"/>
              <w:left w:w="16" w:type="dxa"/>
              <w:right w:w="16" w:type="dxa"/>
            </w:tcMar>
            <w:vAlign w:val="center"/>
          </w:tcPr>
          <w:p w14:paraId="4A6540A1">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地理坐标</w:t>
            </w:r>
          </w:p>
        </w:tc>
        <w:tc>
          <w:tcPr>
            <w:tcW w:w="7218" w:type="dxa"/>
            <w:gridSpan w:val="3"/>
            <w:vAlign w:val="center"/>
          </w:tcPr>
          <w:p w14:paraId="12982DAE">
            <w:pPr>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（东经：113°32'13.744"，北纬：22°29'6.467"）</w:t>
            </w:r>
          </w:p>
        </w:tc>
      </w:tr>
      <w:tr w14:paraId="42AEE2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52" w:type="dxa"/>
            <w:tcMar>
              <w:top w:w="16" w:type="dxa"/>
              <w:left w:w="16" w:type="dxa"/>
              <w:right w:w="16" w:type="dxa"/>
            </w:tcMar>
            <w:vAlign w:val="center"/>
          </w:tcPr>
          <w:p w14:paraId="1B853CD9">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国民经济</w:t>
            </w:r>
          </w:p>
          <w:p w14:paraId="26344278">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行业类别</w:t>
            </w:r>
          </w:p>
        </w:tc>
        <w:tc>
          <w:tcPr>
            <w:tcW w:w="2367" w:type="dxa"/>
            <w:vAlign w:val="center"/>
          </w:tcPr>
          <w:p w14:paraId="5081A09A">
            <w:pPr>
              <w:pStyle w:val="169"/>
              <w:jc w:val="both"/>
              <w:rPr>
                <w:color w:val="auto"/>
              </w:rPr>
            </w:pPr>
            <w:r>
              <w:rPr>
                <w:rStyle w:val="45"/>
                <w:rFonts w:hint="eastAsia" w:ascii="Times New Roman" w:hAnsi="Times New Roman" w:eastAsia="宋体"/>
                <w:color w:val="auto"/>
                <w:kern w:val="0"/>
                <w:sz w:val="21"/>
                <w:lang w:val="en-US"/>
              </w:rPr>
              <w:t>C3360金属表面处理及热处理加工</w:t>
            </w:r>
          </w:p>
          <w:p w14:paraId="1CFF16AB">
            <w:pPr>
              <w:pStyle w:val="169"/>
              <w:jc w:val="left"/>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C358</w:t>
            </w:r>
            <w:r>
              <w:rPr>
                <w:rFonts w:hint="eastAsia" w:cs="Times New Roman"/>
                <w:color w:val="auto"/>
                <w:sz w:val="21"/>
                <w:szCs w:val="21"/>
                <w:lang w:val="en-US" w:eastAsia="zh-CN"/>
              </w:rPr>
              <w:t>6</w:t>
            </w:r>
            <w:r>
              <w:rPr>
                <w:rFonts w:hint="eastAsia" w:ascii="Times New Roman" w:hAnsi="Times New Roman" w:eastAsia="宋体" w:cs="Times New Roman"/>
                <w:color w:val="auto"/>
                <w:sz w:val="21"/>
                <w:szCs w:val="21"/>
                <w:lang w:val="en-US" w:eastAsia="zh-CN"/>
              </w:rPr>
              <w:t xml:space="preserve"> </w:t>
            </w:r>
            <w:r>
              <w:rPr>
                <w:rFonts w:hint="eastAsia" w:cs="Times New Roman"/>
                <w:color w:val="auto"/>
                <w:sz w:val="21"/>
                <w:szCs w:val="21"/>
                <w:lang w:val="en-US" w:eastAsia="zh-CN"/>
              </w:rPr>
              <w:t>康复辅具制造</w:t>
            </w:r>
          </w:p>
          <w:p w14:paraId="364AA375">
            <w:pPr>
              <w:pStyle w:val="169"/>
              <w:jc w:val="both"/>
              <w:rPr>
                <w:color w:val="auto"/>
              </w:rPr>
            </w:pPr>
          </w:p>
        </w:tc>
        <w:tc>
          <w:tcPr>
            <w:tcW w:w="2212" w:type="dxa"/>
            <w:vAlign w:val="center"/>
          </w:tcPr>
          <w:p w14:paraId="2A950F57">
            <w:pPr>
              <w:adjustRightInd w:val="0"/>
              <w:snapToGrid w:val="0"/>
              <w:jc w:val="center"/>
              <w:rPr>
                <w:rFonts w:ascii="Times New Roman" w:hAnsi="Times New Roman" w:eastAsia="宋体" w:cs="宋体"/>
                <w:color w:val="auto"/>
                <w:sz w:val="21"/>
                <w:szCs w:val="21"/>
              </w:rPr>
            </w:pPr>
            <w:bookmarkStart w:id="3" w:name="_Hlk49843745"/>
            <w:r>
              <w:rPr>
                <w:rFonts w:hint="eastAsia" w:ascii="Times New Roman" w:hAnsi="Times New Roman" w:eastAsia="宋体" w:cs="宋体"/>
                <w:color w:val="auto"/>
                <w:sz w:val="21"/>
                <w:szCs w:val="21"/>
              </w:rPr>
              <w:t>建设项目</w:t>
            </w:r>
          </w:p>
          <w:p w14:paraId="242681B5">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行业类别</w:t>
            </w:r>
            <w:bookmarkEnd w:id="3"/>
          </w:p>
        </w:tc>
        <w:tc>
          <w:tcPr>
            <w:tcW w:w="2639" w:type="dxa"/>
            <w:vAlign w:val="center"/>
          </w:tcPr>
          <w:p w14:paraId="10EBB793">
            <w:pPr>
              <w:pStyle w:val="169"/>
              <w:jc w:val="center"/>
              <w:rPr>
                <w:rFonts w:hint="eastAsia" w:ascii="Times New Roman" w:hAnsi="Times New Roman" w:eastAsia="宋体"/>
                <w:color w:val="auto"/>
                <w:sz w:val="21"/>
                <w:szCs w:val="21"/>
                <w:lang w:val="en-US"/>
              </w:rPr>
            </w:pPr>
            <w:r>
              <w:rPr>
                <w:rFonts w:hint="eastAsia"/>
                <w:color w:val="auto"/>
                <w:sz w:val="21"/>
                <w:szCs w:val="21"/>
                <w:lang w:val="en-US" w:eastAsia="zh-CN"/>
              </w:rPr>
              <w:t>三十、金属制品业33-67</w:t>
            </w:r>
            <w:r>
              <w:rPr>
                <w:rFonts w:hint="eastAsia" w:ascii="Times New Roman" w:hAnsi="Times New Roman" w:eastAsia="宋体"/>
                <w:color w:val="auto"/>
                <w:sz w:val="21"/>
                <w:szCs w:val="21"/>
                <w:lang w:val="en-US"/>
              </w:rPr>
              <w:t>金属表面处理及热处理加工--其他（年用非溶剂型低VOCs含量涂料10吨以下的除外）</w:t>
            </w:r>
          </w:p>
          <w:p w14:paraId="5BBC8B9A">
            <w:pPr>
              <w:pStyle w:val="169"/>
              <w:jc w:val="left"/>
              <w:rPr>
                <w:rFonts w:hint="eastAsia" w:ascii="Times New Roman" w:hAnsi="Times New Roman" w:eastAsia="宋体"/>
                <w:color w:val="auto"/>
                <w:sz w:val="21"/>
                <w:szCs w:val="21"/>
                <w:lang w:val="en-US"/>
              </w:rPr>
            </w:pPr>
            <w:r>
              <w:rPr>
                <w:rFonts w:hint="eastAsia" w:ascii="Times New Roman" w:hAnsi="Times New Roman" w:eastAsia="宋体" w:cs="Times New Roman"/>
                <w:color w:val="auto"/>
                <w:sz w:val="21"/>
                <w:szCs w:val="21"/>
                <w:lang w:val="en-US" w:eastAsia="zh-CN"/>
              </w:rPr>
              <w:t>三十二、专用设备制造业35-70医疗仪器设备及器械制造</w:t>
            </w:r>
            <w:r>
              <w:rPr>
                <w:rFonts w:hint="eastAsia" w:cs="Times New Roman"/>
                <w:color w:val="auto"/>
                <w:sz w:val="21"/>
                <w:szCs w:val="21"/>
                <w:lang w:val="en-US" w:eastAsia="zh-CN"/>
              </w:rPr>
              <w:t>358</w:t>
            </w:r>
            <w:r>
              <w:rPr>
                <w:rFonts w:hint="eastAsia" w:ascii="Times New Roman" w:hAnsi="Times New Roman" w:eastAsia="宋体" w:cs="Times New Roman"/>
                <w:color w:val="auto"/>
                <w:sz w:val="21"/>
                <w:szCs w:val="21"/>
                <w:lang w:val="en-US" w:eastAsia="zh-CN"/>
              </w:rPr>
              <w:t>--其他（仅分割、焊接、组装的除外；年用非溶剂型低VOCs含量涂料10吨以下的除外）</w:t>
            </w:r>
          </w:p>
        </w:tc>
      </w:tr>
      <w:tr w14:paraId="71A490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52" w:type="dxa"/>
            <w:tcMar>
              <w:top w:w="16" w:type="dxa"/>
              <w:left w:w="16" w:type="dxa"/>
              <w:right w:w="16" w:type="dxa"/>
            </w:tcMar>
            <w:vAlign w:val="center"/>
          </w:tcPr>
          <w:p w14:paraId="13925C85">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建设性质</w:t>
            </w:r>
          </w:p>
        </w:tc>
        <w:tc>
          <w:tcPr>
            <w:tcW w:w="2367" w:type="dxa"/>
            <w:vAlign w:val="center"/>
          </w:tcPr>
          <w:p w14:paraId="128CC9C4">
            <w:pPr>
              <w:jc w:val="left"/>
              <w:rPr>
                <w:rFonts w:ascii="宋体" w:hAnsi="宋体" w:cs="宋体"/>
                <w:color w:val="auto"/>
                <w:szCs w:val="21"/>
                <w:highlight w:val="none"/>
              </w:rPr>
            </w:pPr>
            <w:r>
              <w:rPr>
                <w:rFonts w:hint="eastAsia" w:ascii="宋体" w:hAnsi="宋体" w:cs="宋体"/>
                <w:color w:val="auto"/>
                <w:szCs w:val="21"/>
                <w:highlight w:val="none"/>
              </w:rPr>
              <w:sym w:font="Wingdings 2" w:char="0052"/>
            </w:r>
            <w:r>
              <w:rPr>
                <w:rFonts w:hint="eastAsia" w:ascii="宋体" w:hAnsi="宋体" w:cs="宋体"/>
                <w:color w:val="auto"/>
                <w:szCs w:val="21"/>
                <w:highlight w:val="none"/>
              </w:rPr>
              <w:t>新建（迁建）</w:t>
            </w:r>
          </w:p>
          <w:p w14:paraId="0FC9F1B6">
            <w:pPr>
              <w:jc w:val="left"/>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□改建</w:t>
            </w:r>
          </w:p>
          <w:p w14:paraId="444EF90B">
            <w:pPr>
              <w:jc w:val="left"/>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□扩建</w:t>
            </w:r>
          </w:p>
          <w:p w14:paraId="2F34CB97">
            <w:pPr>
              <w:jc w:val="left"/>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□技术改造</w:t>
            </w:r>
          </w:p>
        </w:tc>
        <w:tc>
          <w:tcPr>
            <w:tcW w:w="2212" w:type="dxa"/>
            <w:vAlign w:val="center"/>
          </w:tcPr>
          <w:p w14:paraId="25F3B806">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建设项目</w:t>
            </w:r>
          </w:p>
          <w:p w14:paraId="27018A1D">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申报情形</w:t>
            </w:r>
          </w:p>
        </w:tc>
        <w:tc>
          <w:tcPr>
            <w:tcW w:w="2639" w:type="dxa"/>
            <w:vAlign w:val="center"/>
          </w:tcPr>
          <w:p w14:paraId="2C267C9F">
            <w:pPr>
              <w:jc w:val="left"/>
              <w:rPr>
                <w:rFonts w:ascii="Times New Roman" w:hAnsi="Times New Roman" w:eastAsia="宋体" w:cs="宋体"/>
                <w:color w:val="auto"/>
                <w:sz w:val="21"/>
                <w:szCs w:val="21"/>
              </w:rPr>
            </w:pPr>
            <w:r>
              <w:rPr>
                <w:rFonts w:hint="eastAsia" w:ascii="宋体" w:hAnsi="宋体" w:cs="宋体"/>
                <w:color w:val="auto"/>
                <w:szCs w:val="21"/>
                <w:highlight w:val="none"/>
              </w:rPr>
              <w:sym w:font="Wingdings 2" w:char="0052"/>
            </w:r>
            <w:r>
              <w:rPr>
                <w:rFonts w:hint="eastAsia" w:ascii="宋体" w:hAnsi="宋体" w:cs="宋体"/>
                <w:color w:val="auto"/>
                <w:szCs w:val="21"/>
                <w:highlight w:val="none"/>
              </w:rPr>
              <w:t>首次申报项目</w:t>
            </w:r>
            <w:r>
              <w:rPr>
                <w:rFonts w:ascii="宋体" w:hAnsi="宋体" w:cs="宋体"/>
                <w:color w:val="auto"/>
                <w:szCs w:val="21"/>
                <w:highlight w:val="none"/>
              </w:rPr>
              <w:t xml:space="preserve"> </w:t>
            </w:r>
            <w:r>
              <w:rPr>
                <w:rFonts w:ascii="Times New Roman" w:hAnsi="Times New Roman" w:eastAsia="宋体" w:cs="宋体"/>
                <w:color w:val="auto"/>
                <w:sz w:val="21"/>
                <w:szCs w:val="21"/>
              </w:rPr>
              <w:t xml:space="preserve">             </w:t>
            </w:r>
          </w:p>
          <w:p w14:paraId="76B11721">
            <w:pPr>
              <w:jc w:val="left"/>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□不予批准后再次申报项目</w:t>
            </w:r>
          </w:p>
          <w:p w14:paraId="118CF251">
            <w:pPr>
              <w:jc w:val="left"/>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sym w:font="Wingdings 2" w:char="00A3"/>
            </w:r>
            <w:r>
              <w:rPr>
                <w:rFonts w:hint="eastAsia" w:ascii="Times New Roman" w:hAnsi="Times New Roman" w:eastAsia="宋体" w:cs="宋体"/>
                <w:color w:val="auto"/>
                <w:sz w:val="21"/>
                <w:szCs w:val="21"/>
              </w:rPr>
              <w:t>超五年重新审核项目</w:t>
            </w:r>
            <w:r>
              <w:rPr>
                <w:rFonts w:ascii="Times New Roman" w:hAnsi="Times New Roman" w:eastAsia="宋体" w:cs="宋体"/>
                <w:color w:val="auto"/>
                <w:sz w:val="21"/>
                <w:szCs w:val="21"/>
              </w:rPr>
              <w:t xml:space="preserve">     </w:t>
            </w:r>
          </w:p>
          <w:p w14:paraId="01BDE57B">
            <w:pPr>
              <w:jc w:val="left"/>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□重大变动重新报批项目</w:t>
            </w:r>
          </w:p>
        </w:tc>
      </w:tr>
      <w:tr w14:paraId="51EE39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52" w:type="dxa"/>
            <w:tcMar>
              <w:top w:w="16" w:type="dxa"/>
              <w:left w:w="16" w:type="dxa"/>
              <w:right w:w="16" w:type="dxa"/>
            </w:tcMar>
            <w:vAlign w:val="center"/>
          </w:tcPr>
          <w:p w14:paraId="2C54E068">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项目审批（核准</w:t>
            </w:r>
            <w:r>
              <w:rPr>
                <w:rFonts w:ascii="Times New Roman" w:hAnsi="Times New Roman" w:eastAsia="宋体" w:cs="宋体"/>
                <w:color w:val="auto"/>
                <w:sz w:val="21"/>
                <w:szCs w:val="21"/>
              </w:rPr>
              <w:t>/</w:t>
            </w:r>
          </w:p>
          <w:p w14:paraId="04F94417">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备案）部门（选填）</w:t>
            </w:r>
          </w:p>
        </w:tc>
        <w:tc>
          <w:tcPr>
            <w:tcW w:w="2367" w:type="dxa"/>
            <w:vAlign w:val="center"/>
          </w:tcPr>
          <w:p w14:paraId="0D746B8C">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w:t>
            </w:r>
          </w:p>
        </w:tc>
        <w:tc>
          <w:tcPr>
            <w:tcW w:w="2212" w:type="dxa"/>
            <w:vAlign w:val="center"/>
          </w:tcPr>
          <w:p w14:paraId="10A2E015">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项目审批（核准</w:t>
            </w:r>
            <w:r>
              <w:rPr>
                <w:rFonts w:ascii="Times New Roman" w:hAnsi="Times New Roman" w:eastAsia="宋体" w:cs="宋体"/>
                <w:color w:val="auto"/>
                <w:sz w:val="21"/>
                <w:szCs w:val="21"/>
              </w:rPr>
              <w:t>/</w:t>
            </w:r>
          </w:p>
          <w:p w14:paraId="1066B9E7">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备案）文号（选填）</w:t>
            </w:r>
          </w:p>
        </w:tc>
        <w:tc>
          <w:tcPr>
            <w:tcW w:w="2639" w:type="dxa"/>
            <w:vAlign w:val="center"/>
          </w:tcPr>
          <w:p w14:paraId="68FD5224">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w:t>
            </w:r>
          </w:p>
        </w:tc>
      </w:tr>
      <w:tr w14:paraId="1739E2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1652" w:type="dxa"/>
            <w:tcMar>
              <w:top w:w="16" w:type="dxa"/>
              <w:left w:w="16" w:type="dxa"/>
              <w:right w:w="16" w:type="dxa"/>
            </w:tcMar>
            <w:vAlign w:val="center"/>
          </w:tcPr>
          <w:p w14:paraId="3E76E344">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总投资（万元）</w:t>
            </w:r>
          </w:p>
        </w:tc>
        <w:tc>
          <w:tcPr>
            <w:tcW w:w="2367" w:type="dxa"/>
            <w:vAlign w:val="center"/>
          </w:tcPr>
          <w:p w14:paraId="727A52A5">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200</w:t>
            </w:r>
          </w:p>
        </w:tc>
        <w:tc>
          <w:tcPr>
            <w:tcW w:w="2212" w:type="dxa"/>
            <w:tcMar>
              <w:top w:w="16" w:type="dxa"/>
              <w:left w:w="16" w:type="dxa"/>
              <w:right w:w="16" w:type="dxa"/>
            </w:tcMar>
            <w:vAlign w:val="center"/>
          </w:tcPr>
          <w:p w14:paraId="627BAC65">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环保投资（万元）</w:t>
            </w:r>
          </w:p>
        </w:tc>
        <w:tc>
          <w:tcPr>
            <w:tcW w:w="2639" w:type="dxa"/>
            <w:vAlign w:val="center"/>
          </w:tcPr>
          <w:p w14:paraId="6842F620">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20</w:t>
            </w:r>
          </w:p>
        </w:tc>
      </w:tr>
      <w:tr w14:paraId="5D1E29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1652" w:type="dxa"/>
            <w:tcMar>
              <w:top w:w="16" w:type="dxa"/>
              <w:left w:w="16" w:type="dxa"/>
              <w:right w:w="16" w:type="dxa"/>
            </w:tcMar>
            <w:vAlign w:val="center"/>
          </w:tcPr>
          <w:p w14:paraId="731C8F81">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环保投资占比（</w:t>
            </w:r>
            <w:r>
              <w:rPr>
                <w:rFonts w:ascii="Times New Roman" w:hAnsi="Times New Roman" w:eastAsia="宋体" w:cs="宋体"/>
                <w:color w:val="auto"/>
                <w:sz w:val="21"/>
                <w:szCs w:val="21"/>
              </w:rPr>
              <w:t>%</w:t>
            </w:r>
            <w:r>
              <w:rPr>
                <w:rFonts w:hint="eastAsia" w:ascii="Times New Roman" w:hAnsi="Times New Roman" w:eastAsia="宋体" w:cs="宋体"/>
                <w:color w:val="auto"/>
                <w:sz w:val="21"/>
                <w:szCs w:val="21"/>
              </w:rPr>
              <w:t>）</w:t>
            </w:r>
          </w:p>
        </w:tc>
        <w:tc>
          <w:tcPr>
            <w:tcW w:w="2367" w:type="dxa"/>
            <w:vAlign w:val="center"/>
          </w:tcPr>
          <w:p w14:paraId="4CE43A3E">
            <w:pPr>
              <w:adjustRightInd w:val="0"/>
              <w:snapToGrid w:val="0"/>
              <w:jc w:val="center"/>
              <w:rPr>
                <w:rFonts w:ascii="Times New Roman" w:hAnsi="Times New Roman" w:eastAsia="宋体" w:cs="宋体"/>
                <w:color w:val="auto"/>
                <w:sz w:val="21"/>
                <w:szCs w:val="21"/>
              </w:rPr>
            </w:pPr>
            <w:r>
              <w:rPr>
                <w:rFonts w:ascii="Times New Roman" w:hAnsi="Times New Roman" w:eastAsia="宋体" w:cs="宋体"/>
                <w:color w:val="auto"/>
                <w:sz w:val="21"/>
                <w:szCs w:val="21"/>
              </w:rPr>
              <w:t>10</w:t>
            </w:r>
          </w:p>
        </w:tc>
        <w:tc>
          <w:tcPr>
            <w:tcW w:w="2212" w:type="dxa"/>
            <w:tcMar>
              <w:top w:w="16" w:type="dxa"/>
              <w:left w:w="16" w:type="dxa"/>
              <w:right w:w="16" w:type="dxa"/>
            </w:tcMar>
            <w:vAlign w:val="center"/>
          </w:tcPr>
          <w:p w14:paraId="298764F8">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施工工期</w:t>
            </w:r>
          </w:p>
        </w:tc>
        <w:tc>
          <w:tcPr>
            <w:tcW w:w="2639" w:type="dxa"/>
            <w:vAlign w:val="center"/>
          </w:tcPr>
          <w:p w14:paraId="094A709B">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w:t>
            </w:r>
          </w:p>
        </w:tc>
      </w:tr>
      <w:tr w14:paraId="78A03D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2" w:type="dxa"/>
            <w:tcMar>
              <w:top w:w="16" w:type="dxa"/>
              <w:left w:w="16" w:type="dxa"/>
              <w:right w:w="16" w:type="dxa"/>
            </w:tcMar>
            <w:vAlign w:val="center"/>
          </w:tcPr>
          <w:p w14:paraId="7ED3716F">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是否开工建设</w:t>
            </w:r>
          </w:p>
        </w:tc>
        <w:tc>
          <w:tcPr>
            <w:tcW w:w="2367" w:type="dxa"/>
            <w:vAlign w:val="center"/>
          </w:tcPr>
          <w:p w14:paraId="6ED84892">
            <w:pPr>
              <w:adjustRightInd w:val="0"/>
              <w:snapToGrid w:val="0"/>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√否</w:t>
            </w:r>
          </w:p>
          <w:p w14:paraId="4E9615D1">
            <w:pPr>
              <w:adjustRightInd w:val="0"/>
              <w:snapToGrid w:val="0"/>
              <w:rPr>
                <w:rFonts w:ascii="Times New Roman" w:hAnsi="Times New Roman" w:eastAsia="宋体" w:cs="宋体"/>
                <w:color w:val="auto"/>
                <w:sz w:val="21"/>
                <w:szCs w:val="21"/>
                <w:u w:val="single"/>
              </w:rPr>
            </w:pPr>
            <w:r>
              <w:rPr>
                <w:rFonts w:hint="eastAsia" w:ascii="Times New Roman" w:hAnsi="Times New Roman" w:eastAsia="宋体" w:cs="宋体"/>
                <w:color w:val="auto"/>
                <w:sz w:val="21"/>
                <w:szCs w:val="21"/>
              </w:rPr>
              <w:sym w:font="Wingdings 2" w:char="00A3"/>
            </w:r>
            <w:r>
              <w:rPr>
                <w:rFonts w:hint="eastAsia" w:ascii="Times New Roman" w:hAnsi="Times New Roman" w:eastAsia="宋体" w:cs="宋体"/>
                <w:color w:val="auto"/>
                <w:sz w:val="21"/>
                <w:szCs w:val="21"/>
              </w:rPr>
              <w:t>是：</w:t>
            </w:r>
            <w:r>
              <w:rPr>
                <w:rFonts w:hint="eastAsia" w:ascii="Times New Roman" w:hAnsi="Times New Roman" w:eastAsia="宋体" w:cs="宋体"/>
                <w:color w:val="auto"/>
                <w:sz w:val="21"/>
                <w:szCs w:val="21"/>
                <w:u w:val="single"/>
              </w:rPr>
              <w:t xml:space="preserve">         </w:t>
            </w:r>
          </w:p>
        </w:tc>
        <w:tc>
          <w:tcPr>
            <w:tcW w:w="2212" w:type="dxa"/>
            <w:tcMar>
              <w:top w:w="16" w:type="dxa"/>
              <w:left w:w="16" w:type="dxa"/>
              <w:right w:w="16" w:type="dxa"/>
            </w:tcMar>
            <w:vAlign w:val="center"/>
          </w:tcPr>
          <w:p w14:paraId="3A73BCFE">
            <w:pPr>
              <w:adjustRightInd w:val="0"/>
              <w:snapToGrid w:val="0"/>
              <w:jc w:val="center"/>
              <w:rPr>
                <w:rFonts w:ascii="Times New Roman" w:hAnsi="Times New Roman" w:eastAsia="宋体" w:cs="宋体"/>
                <w:color w:val="auto"/>
                <w:spacing w:val="-6"/>
                <w:sz w:val="21"/>
                <w:szCs w:val="21"/>
              </w:rPr>
            </w:pPr>
            <w:r>
              <w:rPr>
                <w:rFonts w:hint="eastAsia" w:ascii="Times New Roman" w:hAnsi="Times New Roman" w:eastAsia="宋体" w:cs="宋体"/>
                <w:color w:val="auto"/>
                <w:spacing w:val="-6"/>
                <w:sz w:val="21"/>
                <w:szCs w:val="21"/>
              </w:rPr>
              <w:t>用地面积（</w:t>
            </w:r>
            <w:r>
              <w:rPr>
                <w:rFonts w:hint="eastAsia"/>
                <w:color w:val="auto"/>
                <w:szCs w:val="21"/>
                <w:lang w:val="en-US" w:eastAsia="zh-CN"/>
              </w:rPr>
              <w:t>㎡</w:t>
            </w:r>
            <w:r>
              <w:rPr>
                <w:rFonts w:hint="eastAsia" w:ascii="Times New Roman" w:hAnsi="Times New Roman" w:eastAsia="宋体" w:cs="宋体"/>
                <w:color w:val="auto"/>
                <w:spacing w:val="-6"/>
                <w:sz w:val="21"/>
                <w:szCs w:val="21"/>
              </w:rPr>
              <w:t>）</w:t>
            </w:r>
          </w:p>
        </w:tc>
        <w:tc>
          <w:tcPr>
            <w:tcW w:w="2639" w:type="dxa"/>
            <w:vAlign w:val="center"/>
          </w:tcPr>
          <w:p w14:paraId="670D2B00">
            <w:pPr>
              <w:adjustRightInd w:val="0"/>
              <w:snapToGrid w:val="0"/>
              <w:jc w:val="center"/>
              <w:rPr>
                <w:rFonts w:ascii="Times New Roman" w:hAnsi="Times New Roman" w:eastAsia="宋体"/>
                <w:color w:val="auto"/>
                <w:sz w:val="21"/>
                <w:szCs w:val="21"/>
              </w:rPr>
            </w:pPr>
            <w:r>
              <w:rPr>
                <w:rFonts w:hint="eastAsia" w:ascii="Times New Roman" w:hAnsi="Times New Roman" w:eastAsia="宋体" w:cs="宋体"/>
                <w:color w:val="auto"/>
                <w:sz w:val="21"/>
                <w:szCs w:val="21"/>
              </w:rPr>
              <w:t>640</w:t>
            </w:r>
          </w:p>
        </w:tc>
      </w:tr>
      <w:tr w14:paraId="0B25ED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1" w:hRule="atLeast"/>
          <w:jc w:val="center"/>
        </w:trPr>
        <w:tc>
          <w:tcPr>
            <w:tcW w:w="1652" w:type="dxa"/>
            <w:vAlign w:val="center"/>
          </w:tcPr>
          <w:p w14:paraId="4660F4EF">
            <w:pPr>
              <w:autoSpaceDE w:val="0"/>
              <w:autoSpaceDN w:val="0"/>
              <w:adjustRightInd w:val="0"/>
              <w:snapToGrid w:val="0"/>
              <w:jc w:val="center"/>
              <w:rPr>
                <w:rFonts w:ascii="Times New Roman" w:hAnsi="Times New Roman" w:eastAsia="宋体" w:cs="宋体"/>
                <w:color w:val="auto"/>
                <w:kern w:val="0"/>
                <w:sz w:val="21"/>
                <w:szCs w:val="21"/>
              </w:rPr>
            </w:pPr>
            <w:r>
              <w:rPr>
                <w:rFonts w:hint="eastAsia" w:ascii="Times New Roman" w:hAnsi="Times New Roman" w:eastAsia="宋体" w:cs="宋体"/>
                <w:color w:val="auto"/>
                <w:kern w:val="0"/>
                <w:sz w:val="21"/>
                <w:szCs w:val="21"/>
              </w:rPr>
              <w:t>专项评价设置情况</w:t>
            </w:r>
          </w:p>
        </w:tc>
        <w:tc>
          <w:tcPr>
            <w:tcW w:w="7218" w:type="dxa"/>
            <w:gridSpan w:val="3"/>
            <w:vAlign w:val="center"/>
          </w:tcPr>
          <w:p w14:paraId="2967983B">
            <w:pPr>
              <w:pStyle w:val="169"/>
              <w:jc w:val="center"/>
              <w:rPr>
                <w:rFonts w:ascii="Times New Roman" w:hAnsi="Times New Roman" w:eastAsia="宋体"/>
                <w:color w:val="auto"/>
                <w:sz w:val="21"/>
                <w:szCs w:val="21"/>
              </w:rPr>
            </w:pPr>
            <w:r>
              <w:rPr>
                <w:rFonts w:hint="eastAsia" w:ascii="Times New Roman" w:hAnsi="Times New Roman" w:eastAsia="宋体"/>
                <w:color w:val="auto"/>
                <w:sz w:val="21"/>
                <w:szCs w:val="21"/>
              </w:rPr>
              <w:t>无</w:t>
            </w:r>
          </w:p>
        </w:tc>
      </w:tr>
      <w:tr w14:paraId="5BB3D1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1" w:hRule="atLeast"/>
          <w:jc w:val="center"/>
        </w:trPr>
        <w:tc>
          <w:tcPr>
            <w:tcW w:w="1652" w:type="dxa"/>
            <w:vAlign w:val="center"/>
          </w:tcPr>
          <w:p w14:paraId="6237628A">
            <w:pPr>
              <w:autoSpaceDE w:val="0"/>
              <w:autoSpaceDN w:val="0"/>
              <w:adjustRightInd w:val="0"/>
              <w:snapToGrid w:val="0"/>
              <w:jc w:val="center"/>
              <w:rPr>
                <w:rFonts w:ascii="Times New Roman" w:hAnsi="Times New Roman" w:eastAsia="宋体" w:cs="宋体"/>
                <w:color w:val="auto"/>
                <w:kern w:val="0"/>
                <w:sz w:val="21"/>
                <w:szCs w:val="21"/>
              </w:rPr>
            </w:pPr>
            <w:r>
              <w:rPr>
                <w:rFonts w:hint="eastAsia" w:ascii="Times New Roman" w:hAnsi="Times New Roman" w:eastAsia="宋体" w:cs="宋体"/>
                <w:color w:val="auto"/>
                <w:sz w:val="21"/>
                <w:szCs w:val="21"/>
              </w:rPr>
              <w:t>规划情况</w:t>
            </w:r>
          </w:p>
        </w:tc>
        <w:tc>
          <w:tcPr>
            <w:tcW w:w="7218" w:type="dxa"/>
            <w:gridSpan w:val="3"/>
            <w:vAlign w:val="center"/>
          </w:tcPr>
          <w:p w14:paraId="572AF0FF">
            <w:pPr>
              <w:pStyle w:val="169"/>
              <w:jc w:val="center"/>
              <w:rPr>
                <w:rFonts w:hint="default" w:ascii="Times New Roman" w:hAnsi="Times New Roman" w:eastAsia="宋体"/>
                <w:color w:val="auto"/>
                <w:sz w:val="21"/>
                <w:szCs w:val="21"/>
                <w:lang w:val="en-US" w:eastAsia="zh-CN"/>
              </w:rPr>
            </w:pPr>
            <w:r>
              <w:rPr>
                <w:rFonts w:hint="eastAsia"/>
                <w:color w:val="auto"/>
                <w:sz w:val="21"/>
                <w:szCs w:val="21"/>
                <w:lang w:val="en-US" w:eastAsia="zh-CN"/>
              </w:rPr>
              <w:t>无</w:t>
            </w:r>
          </w:p>
        </w:tc>
      </w:tr>
      <w:tr w14:paraId="30A63C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1" w:hRule="atLeast"/>
          <w:jc w:val="center"/>
        </w:trPr>
        <w:tc>
          <w:tcPr>
            <w:tcW w:w="1652" w:type="dxa"/>
            <w:vAlign w:val="center"/>
          </w:tcPr>
          <w:p w14:paraId="270A475D">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规划环境影响</w:t>
            </w:r>
          </w:p>
          <w:p w14:paraId="396B49CC">
            <w:pPr>
              <w:adjustRightInd w:val="0"/>
              <w:snapToGrid w:val="0"/>
              <w:jc w:val="center"/>
              <w:rPr>
                <w:rFonts w:ascii="Times New Roman" w:hAnsi="Times New Roman" w:eastAsia="宋体" w:cs="宋体"/>
                <w:color w:val="auto"/>
                <w:kern w:val="0"/>
                <w:sz w:val="21"/>
                <w:szCs w:val="21"/>
              </w:rPr>
            </w:pPr>
            <w:r>
              <w:rPr>
                <w:rFonts w:hint="eastAsia" w:ascii="Times New Roman" w:hAnsi="Times New Roman" w:eastAsia="宋体" w:cs="宋体"/>
                <w:color w:val="auto"/>
                <w:sz w:val="21"/>
                <w:szCs w:val="21"/>
              </w:rPr>
              <w:t>评价情况</w:t>
            </w:r>
          </w:p>
        </w:tc>
        <w:tc>
          <w:tcPr>
            <w:tcW w:w="7218" w:type="dxa"/>
            <w:gridSpan w:val="3"/>
            <w:vAlign w:val="center"/>
          </w:tcPr>
          <w:p w14:paraId="6CBD2ECB">
            <w:pPr>
              <w:pStyle w:val="169"/>
              <w:jc w:val="center"/>
              <w:rPr>
                <w:rFonts w:hint="eastAsia" w:ascii="Times New Roman" w:hAnsi="Times New Roman" w:eastAsia="宋体"/>
                <w:color w:val="auto"/>
                <w:sz w:val="21"/>
                <w:szCs w:val="21"/>
                <w:lang w:eastAsia="zh-CN"/>
              </w:rPr>
            </w:pPr>
            <w:r>
              <w:rPr>
                <w:rFonts w:hint="eastAsia" w:cs="宋体"/>
                <w:color w:val="auto"/>
                <w:kern w:val="0"/>
                <w:sz w:val="21"/>
                <w:szCs w:val="21"/>
                <w:lang w:val="en-US" w:eastAsia="zh-CN"/>
              </w:rPr>
              <w:t>无</w:t>
            </w:r>
          </w:p>
        </w:tc>
      </w:tr>
      <w:tr w14:paraId="777FF3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1" w:hRule="atLeast"/>
          <w:jc w:val="center"/>
        </w:trPr>
        <w:tc>
          <w:tcPr>
            <w:tcW w:w="1652" w:type="dxa"/>
            <w:vAlign w:val="center"/>
          </w:tcPr>
          <w:p w14:paraId="63465C62">
            <w:pPr>
              <w:autoSpaceDE w:val="0"/>
              <w:autoSpaceDN w:val="0"/>
              <w:adjustRightInd w:val="0"/>
              <w:snapToGrid w:val="0"/>
              <w:jc w:val="center"/>
              <w:rPr>
                <w:rFonts w:ascii="Times New Roman" w:hAnsi="Times New Roman" w:eastAsia="宋体" w:cs="宋体"/>
                <w:color w:val="auto"/>
                <w:kern w:val="0"/>
                <w:sz w:val="21"/>
                <w:szCs w:val="21"/>
              </w:rPr>
            </w:pPr>
            <w:r>
              <w:rPr>
                <w:rFonts w:hint="eastAsia" w:ascii="Times New Roman" w:hAnsi="Times New Roman" w:eastAsia="宋体" w:cs="宋体"/>
                <w:color w:val="auto"/>
                <w:kern w:val="0"/>
                <w:sz w:val="21"/>
                <w:szCs w:val="21"/>
              </w:rPr>
              <w:t>规划及规划环境影响评价符合性分析</w:t>
            </w:r>
          </w:p>
        </w:tc>
        <w:tc>
          <w:tcPr>
            <w:tcW w:w="7218" w:type="dxa"/>
            <w:gridSpan w:val="3"/>
            <w:vAlign w:val="center"/>
          </w:tcPr>
          <w:p w14:paraId="137C6919">
            <w:pPr>
              <w:pStyle w:val="169"/>
              <w:jc w:val="center"/>
              <w:rPr>
                <w:rFonts w:hint="eastAsia" w:ascii="Times New Roman" w:hAnsi="Times New Roman" w:eastAsia="宋体"/>
                <w:color w:val="auto"/>
                <w:sz w:val="21"/>
                <w:szCs w:val="21"/>
                <w:lang w:val="en-US" w:eastAsia="zh-CN"/>
              </w:rPr>
            </w:pPr>
            <w:r>
              <w:rPr>
                <w:rFonts w:hint="eastAsia"/>
                <w:color w:val="auto"/>
                <w:sz w:val="21"/>
                <w:szCs w:val="21"/>
                <w:lang w:val="en-US" w:eastAsia="zh-CN"/>
              </w:rPr>
              <w:t>无</w:t>
            </w:r>
          </w:p>
        </w:tc>
      </w:tr>
      <w:tr w14:paraId="2F70F9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870" w:type="dxa"/>
            <w:gridSpan w:val="4"/>
            <w:vAlign w:val="center"/>
          </w:tcPr>
          <w:p w14:paraId="76EF6953">
            <w:pPr>
              <w:pStyle w:val="169"/>
              <w:rPr>
                <w:rFonts w:hint="eastAsia" w:ascii="Times New Roman" w:hAnsi="Times New Roman" w:eastAsia="宋体" w:cs="宋体"/>
                <w:b/>
                <w:bCs/>
                <w:color w:val="auto"/>
                <w:sz w:val="21"/>
                <w:szCs w:val="21"/>
              </w:rPr>
            </w:pPr>
            <w:r>
              <w:rPr>
                <w:rFonts w:hint="eastAsia" w:ascii="Times New Roman" w:hAnsi="Times New Roman" w:eastAsia="宋体" w:cs="宋体"/>
                <w:b/>
                <w:bCs/>
                <w:color w:val="auto"/>
                <w:kern w:val="0"/>
                <w:sz w:val="21"/>
                <w:szCs w:val="21"/>
              </w:rPr>
              <w:t>其他符合性分析：</w:t>
            </w:r>
          </w:p>
          <w:p w14:paraId="4993A8C9">
            <w:pPr>
              <w:pStyle w:val="9"/>
              <w:ind w:left="630" w:leftChars="0" w:firstLineChars="0"/>
              <w:rPr>
                <w:rFonts w:ascii="Times New Roman" w:hAnsi="Times New Roman" w:eastAsia="宋体"/>
                <w:color w:val="auto"/>
                <w:sz w:val="21"/>
                <w:szCs w:val="21"/>
              </w:rPr>
            </w:pPr>
            <w:r>
              <w:rPr>
                <w:rFonts w:hint="eastAsia" w:ascii="Times New Roman" w:hAnsi="Times New Roman" w:eastAsia="宋体"/>
                <w:color w:val="auto"/>
                <w:sz w:val="21"/>
                <w:szCs w:val="21"/>
              </w:rPr>
              <w:t>相符性分析一览表</w:t>
            </w:r>
          </w:p>
          <w:tbl>
            <w:tblPr>
              <w:tblStyle w:val="36"/>
              <w:tblW w:w="86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1417"/>
              <w:gridCol w:w="3684"/>
              <w:gridCol w:w="2555"/>
              <w:gridCol w:w="565"/>
            </w:tblGrid>
            <w:tr w14:paraId="40C35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Align w:val="center"/>
                </w:tcPr>
                <w:p w14:paraId="697612E2">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序号</w:t>
                  </w:r>
                </w:p>
              </w:tc>
              <w:tc>
                <w:tcPr>
                  <w:tcW w:w="815" w:type="pct"/>
                  <w:vAlign w:val="center"/>
                </w:tcPr>
                <w:p w14:paraId="3F0339CC">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产业、准入政策名称</w:t>
                  </w:r>
                </w:p>
              </w:tc>
              <w:tc>
                <w:tcPr>
                  <w:tcW w:w="2119" w:type="pct"/>
                  <w:vAlign w:val="center"/>
                </w:tcPr>
                <w:p w14:paraId="616B3B84">
                  <w:pPr>
                    <w:pStyle w:val="15"/>
                    <w:jc w:val="center"/>
                    <w:rPr>
                      <w:rFonts w:ascii="Times New Roman" w:hAnsi="Times New Roman" w:eastAsia="宋体"/>
                      <w:color w:val="auto"/>
                      <w:sz w:val="21"/>
                      <w:szCs w:val="21"/>
                    </w:rPr>
                  </w:pPr>
                  <w:r>
                    <w:rPr>
                      <w:rFonts w:hint="eastAsia" w:ascii="Times New Roman" w:hAnsi="Times New Roman" w:eastAsia="宋体"/>
                      <w:color w:val="auto"/>
                      <w:sz w:val="21"/>
                      <w:szCs w:val="21"/>
                    </w:rPr>
                    <w:t>涉及条款</w:t>
                  </w:r>
                </w:p>
              </w:tc>
              <w:tc>
                <w:tcPr>
                  <w:tcW w:w="1470" w:type="pct"/>
                  <w:vAlign w:val="center"/>
                </w:tcPr>
                <w:p w14:paraId="42A47ECB">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项目建设情况</w:t>
                  </w:r>
                </w:p>
              </w:tc>
              <w:tc>
                <w:tcPr>
                  <w:tcW w:w="325" w:type="pct"/>
                  <w:vAlign w:val="center"/>
                </w:tcPr>
                <w:p w14:paraId="2FFF85C5">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相符性</w:t>
                  </w:r>
                </w:p>
                <w:p w14:paraId="38CDBAF8">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判定</w:t>
                  </w:r>
                </w:p>
              </w:tc>
            </w:tr>
            <w:tr w14:paraId="1BDFE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Align w:val="center"/>
                </w:tcPr>
                <w:p w14:paraId="2919338D">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1</w:t>
                  </w:r>
                </w:p>
              </w:tc>
              <w:tc>
                <w:tcPr>
                  <w:tcW w:w="815" w:type="pct"/>
                  <w:vAlign w:val="center"/>
                </w:tcPr>
                <w:p w14:paraId="089F9BB6">
                  <w:pPr>
                    <w:autoSpaceDE w:val="0"/>
                    <w:autoSpaceDN w:val="0"/>
                    <w:adjustRightInd w:val="0"/>
                    <w:snapToGrid w:val="0"/>
                    <w:jc w:val="center"/>
                    <w:rPr>
                      <w:rFonts w:ascii="Times New Roman" w:hAnsi="Times New Roman" w:eastAsia="宋体"/>
                      <w:color w:val="auto"/>
                      <w:sz w:val="21"/>
                      <w:szCs w:val="21"/>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rPr>
                    <w:fldChar w:fldCharType="begin"/>
                  </w:r>
                  <w:r>
                    <w:rPr>
                      <w:rFonts w:hint="default" w:ascii="Times New Roman" w:hAnsi="Times New Roman" w:eastAsia="宋体" w:cs="Times New Roman"/>
                      <w:color w:val="auto"/>
                      <w:kern w:val="0"/>
                      <w:sz w:val="21"/>
                      <w:szCs w:val="21"/>
                    </w:rPr>
                    <w:instrText xml:space="preserve"> HYPERLINK "file:///D:\\微信\\WeChat%20Files\\wxid_1606796060012\\com_caislabs_ebk\\K管理政策\\名录-目录-名单\\产业结构调整指导目录(发改令第40号2005-12-2).htm" \t "main" \o "产业结构调整指导目录(发改令第40号2005-12-2)" </w:instrText>
                  </w:r>
                  <w:r>
                    <w:rPr>
                      <w:rFonts w:hint="default" w:ascii="Times New Roman" w:hAnsi="Times New Roman" w:eastAsia="宋体" w:cs="Times New Roman"/>
                      <w:color w:val="auto"/>
                      <w:kern w:val="0"/>
                      <w:sz w:val="21"/>
                      <w:szCs w:val="21"/>
                    </w:rPr>
                    <w:fldChar w:fldCharType="separate"/>
                  </w:r>
                  <w:r>
                    <w:rPr>
                      <w:rFonts w:hint="default" w:ascii="Times New Roman" w:hAnsi="Times New Roman" w:eastAsia="宋体" w:cs="Times New Roman"/>
                      <w:color w:val="auto"/>
                      <w:kern w:val="0"/>
                      <w:sz w:val="21"/>
                      <w:szCs w:val="21"/>
                    </w:rPr>
                    <w:t>产业结构调整指导目录</w:t>
                  </w:r>
                  <w:r>
                    <w:rPr>
                      <w:rFonts w:hint="default" w:ascii="Times New Roman" w:hAnsi="Times New Roman" w:eastAsia="宋体" w:cs="Times New Roman"/>
                      <w:color w:val="auto"/>
                      <w:kern w:val="0"/>
                      <w:sz w:val="21"/>
                      <w:szCs w:val="21"/>
                    </w:rPr>
                    <w:fldChar w:fldCharType="end"/>
                  </w:r>
                  <w:r>
                    <w:rPr>
                      <w:rFonts w:hint="default" w:ascii="Times New Roman" w:hAnsi="Times New Roman" w:eastAsia="宋体" w:cs="Times New Roman"/>
                      <w:color w:val="auto"/>
                      <w:kern w:val="0"/>
                      <w:sz w:val="21"/>
                      <w:szCs w:val="21"/>
                    </w:rPr>
                    <w:t>（20</w:t>
                  </w:r>
                  <w:r>
                    <w:rPr>
                      <w:rFonts w:hint="eastAsia" w:ascii="Times New Roman" w:hAnsi="Times New Roman" w:eastAsia="宋体" w:cs="Times New Roman"/>
                      <w:color w:val="auto"/>
                      <w:kern w:val="0"/>
                      <w:sz w:val="21"/>
                      <w:szCs w:val="21"/>
                      <w:lang w:val="en-US" w:eastAsia="zh-CN"/>
                    </w:rPr>
                    <w:t>24</w:t>
                  </w:r>
                  <w:r>
                    <w:rPr>
                      <w:rFonts w:hint="default" w:ascii="Times New Roman" w:hAnsi="Times New Roman" w:eastAsia="宋体" w:cs="Times New Roman"/>
                      <w:color w:val="auto"/>
                      <w:kern w:val="0"/>
                      <w:sz w:val="21"/>
                      <w:szCs w:val="21"/>
                    </w:rPr>
                    <w:t>年本）》</w:t>
                  </w:r>
                </w:p>
              </w:tc>
              <w:tc>
                <w:tcPr>
                  <w:tcW w:w="2119" w:type="pct"/>
                  <w:vAlign w:val="center"/>
                </w:tcPr>
                <w:p w14:paraId="544A7775">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w:t>
                  </w:r>
                </w:p>
              </w:tc>
              <w:tc>
                <w:tcPr>
                  <w:tcW w:w="1470" w:type="pct"/>
                  <w:vAlign w:val="center"/>
                </w:tcPr>
                <w:p w14:paraId="60BF7990">
                  <w:pPr>
                    <w:pStyle w:val="15"/>
                    <w:jc w:val="center"/>
                    <w:rPr>
                      <w:rFonts w:hint="eastAsia" w:ascii="Times New Roman" w:hAnsi="Times New Roman" w:eastAsia="宋体"/>
                      <w:color w:val="auto"/>
                      <w:sz w:val="21"/>
                      <w:szCs w:val="21"/>
                      <w:lang w:eastAsia="zh-CN"/>
                    </w:rPr>
                  </w:pPr>
                  <w:r>
                    <w:rPr>
                      <w:rFonts w:ascii="Times New Roman" w:hAnsi="Times New Roman" w:eastAsia="宋体"/>
                      <w:color w:val="auto"/>
                      <w:sz w:val="21"/>
                      <w:szCs w:val="21"/>
                    </w:rPr>
                    <w:t>生产工艺和生产的产品均不属于规定的限制类和禁止类</w:t>
                  </w:r>
                  <w:r>
                    <w:rPr>
                      <w:rFonts w:hint="eastAsia"/>
                      <w:color w:val="auto"/>
                      <w:sz w:val="21"/>
                      <w:szCs w:val="21"/>
                      <w:lang w:eastAsia="zh-CN"/>
                    </w:rPr>
                    <w:t>。</w:t>
                  </w:r>
                </w:p>
              </w:tc>
              <w:tc>
                <w:tcPr>
                  <w:tcW w:w="325" w:type="pct"/>
                  <w:vMerge w:val="restart"/>
                  <w:vAlign w:val="center"/>
                </w:tcPr>
                <w:p w14:paraId="79656000">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53F7F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Align w:val="center"/>
                </w:tcPr>
                <w:p w14:paraId="4F936883">
                  <w:pPr>
                    <w:pStyle w:val="15"/>
                    <w:jc w:val="center"/>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2</w:t>
                  </w:r>
                </w:p>
              </w:tc>
              <w:tc>
                <w:tcPr>
                  <w:tcW w:w="815" w:type="pct"/>
                  <w:vAlign w:val="center"/>
                </w:tcPr>
                <w:p w14:paraId="3AE77408">
                  <w:pPr>
                    <w:autoSpaceDE w:val="0"/>
                    <w:autoSpaceDN w:val="0"/>
                    <w:adjustRightInd w:val="0"/>
                    <w:snapToGrid w:val="0"/>
                    <w:jc w:val="center"/>
                    <w:rPr>
                      <w:rFonts w:ascii="Times New Roman" w:hAnsi="Times New Roman" w:eastAsia="宋体"/>
                      <w:color w:val="auto"/>
                      <w:sz w:val="21"/>
                      <w:szCs w:val="21"/>
                    </w:rPr>
                  </w:pPr>
                  <w:r>
                    <w:rPr>
                      <w:rFonts w:hint="default" w:ascii="Times New Roman" w:hAnsi="Times New Roman" w:eastAsia="宋体" w:cs="Times New Roman"/>
                      <w:color w:val="auto"/>
                      <w:sz w:val="21"/>
                      <w:szCs w:val="21"/>
                    </w:rPr>
                    <w:t>《市场准入负面清单（202</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年版）》</w:t>
                  </w:r>
                </w:p>
              </w:tc>
              <w:tc>
                <w:tcPr>
                  <w:tcW w:w="2119" w:type="pct"/>
                  <w:vAlign w:val="center"/>
                </w:tcPr>
                <w:p w14:paraId="032F1452">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w:t>
                  </w:r>
                </w:p>
              </w:tc>
              <w:tc>
                <w:tcPr>
                  <w:tcW w:w="1470" w:type="pct"/>
                  <w:vAlign w:val="center"/>
                </w:tcPr>
                <w:p w14:paraId="5D40C0F8">
                  <w:pPr>
                    <w:pStyle w:val="15"/>
                    <w:jc w:val="center"/>
                    <w:rPr>
                      <w:rFonts w:hint="eastAsia" w:ascii="Times New Roman" w:hAnsi="Times New Roman" w:eastAsia="宋体"/>
                      <w:color w:val="auto"/>
                      <w:sz w:val="21"/>
                      <w:szCs w:val="21"/>
                      <w:lang w:eastAsia="zh-CN"/>
                    </w:rPr>
                  </w:pPr>
                  <w:r>
                    <w:rPr>
                      <w:rFonts w:ascii="Times New Roman" w:hAnsi="Times New Roman" w:eastAsia="宋体"/>
                      <w:color w:val="auto"/>
                      <w:sz w:val="21"/>
                      <w:szCs w:val="21"/>
                    </w:rPr>
                    <w:t>项目</w:t>
                  </w:r>
                  <w:r>
                    <w:rPr>
                      <w:rFonts w:hint="eastAsia" w:ascii="Times New Roman" w:hAnsi="Times New Roman" w:eastAsia="宋体"/>
                      <w:color w:val="auto"/>
                      <w:sz w:val="21"/>
                      <w:szCs w:val="21"/>
                      <w:lang w:val="en-US" w:eastAsia="zh-CN"/>
                    </w:rPr>
                    <w:t>为</w:t>
                  </w:r>
                  <w:r>
                    <w:rPr>
                      <w:rFonts w:hint="eastAsia"/>
                      <w:color w:val="auto"/>
                      <w:sz w:val="21"/>
                      <w:szCs w:val="21"/>
                      <w:lang w:val="en-US" w:eastAsia="zh-CN"/>
                    </w:rPr>
                    <w:t>五金配件的生产、制造和销售</w:t>
                  </w:r>
                  <w:r>
                    <w:rPr>
                      <w:rFonts w:ascii="Times New Roman" w:hAnsi="Times New Roman" w:eastAsia="宋体"/>
                      <w:color w:val="auto"/>
                      <w:sz w:val="21"/>
                      <w:szCs w:val="21"/>
                    </w:rPr>
                    <w:t>，</w:t>
                  </w:r>
                  <w:r>
                    <w:rPr>
                      <w:rFonts w:hint="eastAsia" w:ascii="Times New Roman" w:hAnsi="Times New Roman" w:eastAsia="宋体"/>
                      <w:color w:val="auto"/>
                      <w:sz w:val="21"/>
                      <w:szCs w:val="21"/>
                    </w:rPr>
                    <w:t>不属于禁止准入类和许可准入类</w:t>
                  </w:r>
                  <w:r>
                    <w:rPr>
                      <w:rFonts w:hint="eastAsia"/>
                      <w:color w:val="auto"/>
                      <w:sz w:val="21"/>
                      <w:szCs w:val="21"/>
                      <w:lang w:eastAsia="zh-CN"/>
                    </w:rPr>
                    <w:t>，</w:t>
                  </w:r>
                  <w:r>
                    <w:rPr>
                      <w:rFonts w:hint="eastAsia"/>
                      <w:color w:val="auto"/>
                      <w:sz w:val="21"/>
                      <w:szCs w:val="21"/>
                      <w:lang w:val="en-US" w:eastAsia="zh-CN"/>
                    </w:rPr>
                    <w:t>属于负面清单以外的行业。</w:t>
                  </w:r>
                </w:p>
              </w:tc>
              <w:tc>
                <w:tcPr>
                  <w:tcW w:w="325" w:type="pct"/>
                  <w:vMerge w:val="continue"/>
                  <w:vAlign w:val="center"/>
                </w:tcPr>
                <w:p w14:paraId="082AC67F">
                  <w:pPr>
                    <w:pStyle w:val="15"/>
                    <w:jc w:val="center"/>
                    <w:rPr>
                      <w:rFonts w:ascii="Times New Roman" w:hAnsi="Times New Roman" w:eastAsia="宋体"/>
                      <w:color w:val="auto"/>
                      <w:sz w:val="21"/>
                      <w:szCs w:val="21"/>
                    </w:rPr>
                  </w:pPr>
                </w:p>
              </w:tc>
            </w:tr>
            <w:tr w14:paraId="24CE3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Align w:val="center"/>
                </w:tcPr>
                <w:p w14:paraId="216CC823">
                  <w:pPr>
                    <w:pStyle w:val="15"/>
                    <w:jc w:val="center"/>
                    <w:rPr>
                      <w:rFonts w:hint="default" w:ascii="Times New Roman" w:hAnsi="Times New Roman" w:eastAsia="宋体"/>
                      <w:color w:val="auto"/>
                      <w:sz w:val="21"/>
                      <w:szCs w:val="21"/>
                      <w:lang w:val="en-US" w:eastAsia="zh-CN"/>
                    </w:rPr>
                  </w:pPr>
                  <w:r>
                    <w:rPr>
                      <w:rFonts w:hint="eastAsia"/>
                      <w:color w:val="auto"/>
                      <w:sz w:val="21"/>
                      <w:szCs w:val="21"/>
                      <w:lang w:val="en-US" w:eastAsia="zh-CN"/>
                    </w:rPr>
                    <w:t>3</w:t>
                  </w:r>
                </w:p>
              </w:tc>
              <w:tc>
                <w:tcPr>
                  <w:tcW w:w="815" w:type="pct"/>
                  <w:vAlign w:val="center"/>
                </w:tcPr>
                <w:p w14:paraId="49CA2E8D">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《产业发展与转移指导目录（2018 年版）》</w:t>
                  </w:r>
                </w:p>
              </w:tc>
              <w:tc>
                <w:tcPr>
                  <w:tcW w:w="2119" w:type="pct"/>
                  <w:vAlign w:val="center"/>
                </w:tcPr>
                <w:p w14:paraId="4E32216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1470" w:type="pct"/>
                  <w:vAlign w:val="center"/>
                </w:tcPr>
                <w:p w14:paraId="6B833291">
                  <w:pPr>
                    <w:keepNext w:val="0"/>
                    <w:keepLines w:val="0"/>
                    <w:pageBreakBefore w:val="0"/>
                    <w:widowControl w:val="0"/>
                    <w:kinsoku/>
                    <w:wordWrap/>
                    <w:overflowPunct/>
                    <w:topLinePunct w:val="0"/>
                    <w:autoSpaceDE w:val="0"/>
                    <w:autoSpaceDN w:val="0"/>
                    <w:bidi w:val="0"/>
                    <w:adjustRightInd w:val="0"/>
                    <w:snapToGrid w:val="0"/>
                    <w:spacing w:line="240" w:lineRule="auto"/>
                    <w:jc w:val="both"/>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本项目不属于需退出或不再承接产业。</w:t>
                  </w:r>
                </w:p>
              </w:tc>
              <w:tc>
                <w:tcPr>
                  <w:tcW w:w="325" w:type="pct"/>
                  <w:vMerge w:val="continue"/>
                  <w:vAlign w:val="center"/>
                </w:tcPr>
                <w:p w14:paraId="246C597F">
                  <w:pPr>
                    <w:pStyle w:val="15"/>
                    <w:jc w:val="center"/>
                    <w:rPr>
                      <w:rFonts w:ascii="Times New Roman" w:hAnsi="Times New Roman" w:eastAsia="宋体"/>
                      <w:color w:val="auto"/>
                      <w:sz w:val="21"/>
                      <w:szCs w:val="21"/>
                    </w:rPr>
                  </w:pPr>
                </w:p>
              </w:tc>
            </w:tr>
            <w:tr w14:paraId="78892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Align w:val="center"/>
                </w:tcPr>
                <w:p w14:paraId="3BD0C246">
                  <w:pPr>
                    <w:pStyle w:val="15"/>
                    <w:jc w:val="center"/>
                    <w:rPr>
                      <w:rFonts w:hint="eastAsia" w:ascii="Times New Roman" w:hAnsi="Times New Roman" w:eastAsia="宋体"/>
                      <w:color w:val="auto"/>
                      <w:sz w:val="21"/>
                      <w:szCs w:val="21"/>
                      <w:lang w:val="en-US" w:eastAsia="zh-CN"/>
                    </w:rPr>
                  </w:pPr>
                  <w:r>
                    <w:rPr>
                      <w:rFonts w:hint="eastAsia"/>
                      <w:color w:val="auto"/>
                      <w:sz w:val="21"/>
                      <w:szCs w:val="21"/>
                      <w:lang w:val="en-US" w:eastAsia="zh-CN"/>
                    </w:rPr>
                    <w:t>4</w:t>
                  </w:r>
                </w:p>
              </w:tc>
              <w:tc>
                <w:tcPr>
                  <w:tcW w:w="815" w:type="pct"/>
                  <w:vAlign w:val="center"/>
                </w:tcPr>
                <w:p w14:paraId="303EC666">
                  <w:pPr>
                    <w:autoSpaceDE w:val="0"/>
                    <w:autoSpaceDN w:val="0"/>
                    <w:adjustRightInd w:val="0"/>
                    <w:snapToGrid w:val="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《广东省“两高”项目管理目录（2025年版）》</w:t>
                  </w:r>
                </w:p>
              </w:tc>
              <w:tc>
                <w:tcPr>
                  <w:tcW w:w="2119" w:type="pct"/>
                  <w:vAlign w:val="center"/>
                </w:tcPr>
                <w:p w14:paraId="4B98D6C4">
                  <w:pPr>
                    <w:autoSpaceDE w:val="0"/>
                    <w:autoSpaceDN w:val="0"/>
                    <w:adjustRightInd w:val="0"/>
                    <w:snapToGrid w:val="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广东省“两高”项目管理目录</w:t>
                  </w:r>
                </w:p>
              </w:tc>
              <w:tc>
                <w:tcPr>
                  <w:tcW w:w="1470" w:type="pct"/>
                  <w:vAlign w:val="center"/>
                </w:tcPr>
                <w:p w14:paraId="4E9C830D">
                  <w:pPr>
                    <w:pStyle w:val="169"/>
                    <w:keepNext w:val="0"/>
                    <w:keepLines w:val="0"/>
                    <w:pageBreakBefore w:val="0"/>
                    <w:widowControl w:val="0"/>
                    <w:kinsoku w:val="0"/>
                    <w:wordWrap w:val="0"/>
                    <w:overflowPunct/>
                    <w:topLinePunct w:val="0"/>
                    <w:autoSpaceDE/>
                    <w:autoSpaceDN/>
                    <w:bidi w:val="0"/>
                    <w:adjustRightInd/>
                    <w:snapToGrid/>
                    <w:spacing w:line="360" w:lineRule="auto"/>
                    <w:jc w:val="left"/>
                    <w:textAlignment w:val="auto"/>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项目属于C3360金属表面处理及热处理加工</w:t>
                  </w:r>
                  <w:r>
                    <w:rPr>
                      <w:rFonts w:hint="eastAsia" w:cs="Times New Roman"/>
                      <w:color w:val="auto"/>
                      <w:kern w:val="0"/>
                      <w:sz w:val="21"/>
                      <w:szCs w:val="21"/>
                      <w:lang w:val="en-US" w:eastAsia="zh-CN"/>
                    </w:rPr>
                    <w:t>、</w:t>
                  </w:r>
                  <w:r>
                    <w:rPr>
                      <w:rFonts w:hint="eastAsia" w:ascii="Times New Roman" w:hAnsi="Times New Roman" w:eastAsia="宋体" w:cs="Times New Roman"/>
                      <w:color w:val="auto"/>
                      <w:sz w:val="21"/>
                      <w:szCs w:val="21"/>
                      <w:lang w:val="en-US" w:eastAsia="zh-CN"/>
                    </w:rPr>
                    <w:t>C358</w:t>
                  </w:r>
                  <w:r>
                    <w:rPr>
                      <w:rFonts w:hint="eastAsia" w:cs="Times New Roman"/>
                      <w:color w:val="auto"/>
                      <w:sz w:val="21"/>
                      <w:szCs w:val="21"/>
                      <w:lang w:val="en-US" w:eastAsia="zh-CN"/>
                    </w:rPr>
                    <w:t>6康复辅具</w:t>
                  </w:r>
                  <w:r>
                    <w:rPr>
                      <w:rFonts w:hint="eastAsia" w:ascii="Times New Roman" w:hAnsi="Times New Roman" w:eastAsia="宋体" w:cs="Times New Roman"/>
                      <w:color w:val="auto"/>
                      <w:sz w:val="21"/>
                      <w:szCs w:val="21"/>
                      <w:lang w:val="en-US" w:eastAsia="zh-CN"/>
                    </w:rPr>
                    <w:t>制造</w:t>
                  </w:r>
                  <w:r>
                    <w:rPr>
                      <w:rFonts w:hint="eastAsia"/>
                      <w:color w:val="auto"/>
                      <w:lang w:eastAsia="zh-CN"/>
                    </w:rPr>
                    <w:t>，</w:t>
                  </w:r>
                  <w:r>
                    <w:rPr>
                      <w:rFonts w:hint="eastAsia" w:ascii="Times New Roman" w:hAnsi="Times New Roman" w:eastAsia="宋体" w:cs="Times New Roman"/>
                      <w:color w:val="auto"/>
                      <w:kern w:val="0"/>
                      <w:sz w:val="21"/>
                      <w:szCs w:val="21"/>
                      <w:lang w:val="en-US" w:eastAsia="zh-CN"/>
                    </w:rPr>
                    <w:t>不属于《广东省“两高”项目管理目录（2025年版）》中的“两高”类别。</w:t>
                  </w:r>
                </w:p>
              </w:tc>
              <w:tc>
                <w:tcPr>
                  <w:tcW w:w="325" w:type="pct"/>
                  <w:vMerge w:val="continue"/>
                  <w:vAlign w:val="center"/>
                </w:tcPr>
                <w:p w14:paraId="4B61907C">
                  <w:pPr>
                    <w:pStyle w:val="15"/>
                    <w:jc w:val="center"/>
                    <w:rPr>
                      <w:rFonts w:ascii="Times New Roman" w:hAnsi="Times New Roman" w:eastAsia="宋体"/>
                      <w:color w:val="auto"/>
                      <w:sz w:val="21"/>
                      <w:szCs w:val="21"/>
                    </w:rPr>
                  </w:pPr>
                </w:p>
              </w:tc>
            </w:tr>
            <w:tr w14:paraId="43022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Merge w:val="restart"/>
                  <w:vAlign w:val="center"/>
                </w:tcPr>
                <w:p w14:paraId="6DF392CE">
                  <w:pPr>
                    <w:pStyle w:val="15"/>
                    <w:jc w:val="center"/>
                    <w:rPr>
                      <w:rFonts w:hint="eastAsia" w:ascii="Times New Roman" w:hAnsi="Times New Roman" w:eastAsia="宋体"/>
                      <w:color w:val="auto"/>
                      <w:sz w:val="21"/>
                      <w:szCs w:val="21"/>
                      <w:lang w:eastAsia="zh-CN"/>
                    </w:rPr>
                  </w:pPr>
                  <w:r>
                    <w:rPr>
                      <w:rFonts w:hint="eastAsia"/>
                      <w:color w:val="auto"/>
                      <w:sz w:val="21"/>
                      <w:szCs w:val="21"/>
                      <w:lang w:val="en-US" w:eastAsia="zh-CN"/>
                    </w:rPr>
                    <w:t>5</w:t>
                  </w:r>
                </w:p>
              </w:tc>
              <w:tc>
                <w:tcPr>
                  <w:tcW w:w="815" w:type="pct"/>
                  <w:vMerge w:val="restart"/>
                  <w:vAlign w:val="center"/>
                </w:tcPr>
                <w:p w14:paraId="443812B7">
                  <w:pPr>
                    <w:pStyle w:val="15"/>
                    <w:jc w:val="center"/>
                    <w:rPr>
                      <w:rFonts w:ascii="Times New Roman" w:hAnsi="Times New Roman" w:eastAsia="宋体"/>
                      <w:color w:val="auto"/>
                      <w:sz w:val="21"/>
                      <w:szCs w:val="21"/>
                    </w:rPr>
                  </w:pPr>
                  <w:r>
                    <w:rPr>
                      <w:rFonts w:hint="eastAsia" w:ascii="Times New Roman" w:hAnsi="Times New Roman" w:eastAsia="宋体"/>
                      <w:color w:val="auto"/>
                      <w:sz w:val="21"/>
                      <w:szCs w:val="21"/>
                    </w:rPr>
                    <w:t>《中山市涉挥发性有机物项目环保管理规定》的通知中环规字〔2021〕1号</w:t>
                  </w:r>
                </w:p>
              </w:tc>
              <w:tc>
                <w:tcPr>
                  <w:tcW w:w="2119" w:type="pct"/>
                  <w:vAlign w:val="center"/>
                </w:tcPr>
                <w:p w14:paraId="5B0CA5DD">
                  <w:pPr>
                    <w:pStyle w:val="15"/>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第四条</w:t>
                  </w:r>
                  <w:r>
                    <w:rPr>
                      <w:rFonts w:hint="eastAsia" w:ascii="Times New Roman" w:hAnsi="Times New Roman" w:eastAsia="宋体"/>
                      <w:color w:val="auto"/>
                      <w:sz w:val="21"/>
                      <w:szCs w:val="21"/>
                      <w:lang w:val="en-US" w:eastAsia="zh-CN"/>
                    </w:rPr>
                    <w:t xml:space="preserve"> </w:t>
                  </w:r>
                  <w:r>
                    <w:rPr>
                      <w:rFonts w:ascii="Times New Roman" w:hAnsi="Times New Roman" w:eastAsia="宋体"/>
                      <w:color w:val="auto"/>
                      <w:sz w:val="21"/>
                      <w:szCs w:val="21"/>
                    </w:rPr>
                    <w:t>中山市大气重点区域（东区、西区、南区、石岐街道）</w:t>
                  </w:r>
                  <w:r>
                    <w:rPr>
                      <w:rFonts w:hint="eastAsia"/>
                      <w:color w:val="auto"/>
                      <w:sz w:val="21"/>
                      <w:szCs w:val="21"/>
                      <w:lang w:eastAsia="zh-CN"/>
                    </w:rPr>
                    <w:t>不再</w:t>
                  </w:r>
                  <w:r>
                    <w:rPr>
                      <w:rFonts w:ascii="Times New Roman" w:hAnsi="Times New Roman" w:eastAsia="宋体"/>
                      <w:color w:val="auto"/>
                      <w:sz w:val="21"/>
                      <w:szCs w:val="21"/>
                    </w:rPr>
                    <w:t>审批（或备案）新建、扩建涉总VOCs 产排工业项目</w:t>
                  </w:r>
                  <w:r>
                    <w:rPr>
                      <w:rFonts w:hint="eastAsia"/>
                      <w:color w:val="auto"/>
                      <w:sz w:val="21"/>
                      <w:szCs w:val="21"/>
                      <w:lang w:eastAsia="zh-CN"/>
                    </w:rPr>
                    <w:t>。</w:t>
                  </w:r>
                </w:p>
              </w:tc>
              <w:tc>
                <w:tcPr>
                  <w:tcW w:w="1470" w:type="pct"/>
                  <w:vAlign w:val="center"/>
                </w:tcPr>
                <w:p w14:paraId="40B63EEE">
                  <w:pPr>
                    <w:pStyle w:val="15"/>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项目选址位于</w:t>
                  </w:r>
                  <w:r>
                    <w:rPr>
                      <w:rFonts w:hint="eastAsia" w:ascii="Times New Roman" w:hAnsi="Times New Roman" w:eastAsia="宋体"/>
                      <w:color w:val="auto"/>
                      <w:sz w:val="21"/>
                      <w:szCs w:val="21"/>
                      <w:lang w:val="en-US"/>
                    </w:rPr>
                    <w:t>南朗</w:t>
                  </w:r>
                  <w:r>
                    <w:rPr>
                      <w:rFonts w:hint="eastAsia" w:ascii="Times New Roman" w:hAnsi="Times New Roman" w:eastAsia="宋体"/>
                      <w:color w:val="auto"/>
                      <w:sz w:val="21"/>
                      <w:szCs w:val="21"/>
                    </w:rPr>
                    <w:t>镇</w:t>
                  </w:r>
                  <w:r>
                    <w:rPr>
                      <w:rFonts w:hint="eastAsia" w:ascii="Times New Roman" w:hAnsi="Times New Roman" w:cs="AdobeSongStd-Light-Acro"/>
                      <w:color w:val="auto"/>
                      <w:kern w:val="0"/>
                      <w:sz w:val="21"/>
                      <w:szCs w:val="21"/>
                    </w:rPr>
                    <w:t xml:space="preserve">第一工业区龙基路南燕玻璃马赛克有限公司6#厂房(原玻璃车间) </w:t>
                  </w:r>
                  <w:r>
                    <w:rPr>
                      <w:rFonts w:hint="eastAsia" w:ascii="Times New Roman" w:hAnsi="Times New Roman" w:eastAsia="宋体"/>
                      <w:color w:val="auto"/>
                      <w:sz w:val="21"/>
                      <w:szCs w:val="21"/>
                    </w:rPr>
                    <w:t>，不属于大气重点区域（东区、西区、南区、石岐街道）范围；选址区域属于二类大气环境功能区，不在一类环境功能区内</w:t>
                  </w:r>
                  <w:r>
                    <w:rPr>
                      <w:rFonts w:hint="eastAsia"/>
                      <w:color w:val="auto"/>
                      <w:sz w:val="21"/>
                      <w:szCs w:val="21"/>
                      <w:lang w:eastAsia="zh-CN"/>
                    </w:rPr>
                    <w:t>。</w:t>
                  </w:r>
                </w:p>
              </w:tc>
              <w:tc>
                <w:tcPr>
                  <w:tcW w:w="325" w:type="pct"/>
                  <w:vAlign w:val="center"/>
                </w:tcPr>
                <w:p w14:paraId="305D8929">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5E3AD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Merge w:val="continue"/>
                  <w:vAlign w:val="center"/>
                </w:tcPr>
                <w:p w14:paraId="30AE16B8">
                  <w:pPr>
                    <w:pStyle w:val="15"/>
                    <w:jc w:val="center"/>
                    <w:rPr>
                      <w:rFonts w:ascii="Times New Roman" w:hAnsi="Times New Roman" w:eastAsia="宋体"/>
                      <w:color w:val="auto"/>
                      <w:sz w:val="21"/>
                      <w:szCs w:val="21"/>
                    </w:rPr>
                  </w:pPr>
                </w:p>
              </w:tc>
              <w:tc>
                <w:tcPr>
                  <w:tcW w:w="815" w:type="pct"/>
                  <w:vMerge w:val="continue"/>
                  <w:vAlign w:val="center"/>
                </w:tcPr>
                <w:p w14:paraId="2DE2E2D0">
                  <w:pPr>
                    <w:pStyle w:val="15"/>
                    <w:jc w:val="center"/>
                    <w:rPr>
                      <w:rFonts w:ascii="Times New Roman" w:hAnsi="Times New Roman" w:eastAsia="宋体"/>
                      <w:color w:val="auto"/>
                      <w:sz w:val="21"/>
                      <w:szCs w:val="21"/>
                    </w:rPr>
                  </w:pPr>
                </w:p>
              </w:tc>
              <w:tc>
                <w:tcPr>
                  <w:tcW w:w="2119" w:type="pct"/>
                  <w:vAlign w:val="center"/>
                </w:tcPr>
                <w:p w14:paraId="6DA545E8">
                  <w:pPr>
                    <w:pStyle w:val="15"/>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第</w:t>
                  </w:r>
                  <w:r>
                    <w:rPr>
                      <w:rFonts w:hint="eastAsia" w:ascii="Times New Roman" w:hAnsi="Times New Roman" w:eastAsia="宋体"/>
                      <w:color w:val="auto"/>
                      <w:sz w:val="21"/>
                      <w:szCs w:val="21"/>
                      <w:lang w:val="en-US" w:eastAsia="zh-CN"/>
                    </w:rPr>
                    <w:t>五</w:t>
                  </w:r>
                  <w:r>
                    <w:rPr>
                      <w:rFonts w:hint="eastAsia" w:ascii="Times New Roman" w:hAnsi="Times New Roman" w:eastAsia="宋体"/>
                      <w:color w:val="auto"/>
                      <w:sz w:val="21"/>
                      <w:szCs w:val="21"/>
                    </w:rPr>
                    <w:t>条</w:t>
                  </w:r>
                  <w:r>
                    <w:rPr>
                      <w:rFonts w:hint="eastAsia" w:ascii="Times New Roman" w:hAnsi="Times New Roman" w:eastAsia="宋体"/>
                      <w:color w:val="auto"/>
                      <w:sz w:val="21"/>
                      <w:szCs w:val="21"/>
                      <w:lang w:val="en-US" w:eastAsia="zh-CN"/>
                    </w:rPr>
                    <w:t xml:space="preserve"> </w:t>
                  </w:r>
                  <w:r>
                    <w:rPr>
                      <w:rFonts w:ascii="Times New Roman" w:hAnsi="Times New Roman" w:eastAsia="宋体"/>
                      <w:color w:val="auto"/>
                      <w:sz w:val="21"/>
                      <w:szCs w:val="21"/>
                    </w:rPr>
                    <w:t>全市范围内原则上不再审批或备案新建、扩建涉使用非低（无）VOCs涂料、油墨、胶粘剂原辅材料的工业类项目</w:t>
                  </w:r>
                  <w:r>
                    <w:rPr>
                      <w:rFonts w:hint="eastAsia"/>
                      <w:color w:val="auto"/>
                      <w:sz w:val="21"/>
                      <w:szCs w:val="21"/>
                      <w:lang w:eastAsia="zh-CN"/>
                    </w:rPr>
                    <w:t>。</w:t>
                  </w:r>
                </w:p>
              </w:tc>
              <w:tc>
                <w:tcPr>
                  <w:tcW w:w="1470" w:type="pct"/>
                  <w:vAlign w:val="center"/>
                </w:tcPr>
                <w:p w14:paraId="68A5BA98">
                  <w:pPr>
                    <w:pStyle w:val="15"/>
                    <w:jc w:val="center"/>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rPr>
                    <w:t>本项目不涉及使用非低（无）</w:t>
                  </w:r>
                  <w:r>
                    <w:rPr>
                      <w:rFonts w:ascii="Times New Roman" w:hAnsi="Times New Roman" w:eastAsia="宋体"/>
                      <w:color w:val="auto"/>
                      <w:sz w:val="21"/>
                      <w:szCs w:val="21"/>
                    </w:rPr>
                    <w:t xml:space="preserve">VOCs </w:t>
                  </w:r>
                  <w:r>
                    <w:rPr>
                      <w:rFonts w:hint="eastAsia" w:ascii="Times New Roman" w:hAnsi="Times New Roman" w:eastAsia="宋体"/>
                      <w:color w:val="auto"/>
                      <w:sz w:val="21"/>
                      <w:szCs w:val="21"/>
                    </w:rPr>
                    <w:t>油墨、胶粘剂等原材料</w:t>
                  </w:r>
                  <w:r>
                    <w:rPr>
                      <w:rFonts w:hint="eastAsia"/>
                      <w:color w:val="auto"/>
                      <w:sz w:val="21"/>
                      <w:szCs w:val="21"/>
                      <w:lang w:eastAsia="zh-CN"/>
                    </w:rPr>
                    <w:t>。</w:t>
                  </w:r>
                  <w:r>
                    <w:rPr>
                      <w:rFonts w:hint="eastAsia"/>
                      <w:color w:val="auto"/>
                      <w:sz w:val="21"/>
                      <w:szCs w:val="21"/>
                      <w:lang w:val="en-US" w:eastAsia="zh-CN"/>
                    </w:rPr>
                    <w:t>根据《低挥发性有机化合物含量涂料产品技术要求》（GB/T 38597-2020）8.1粉末涂料、无机建筑涂料（含建筑无机粉体涂装材料）、建筑用有机粉体涂料产品中VOC含量通常很少，属于低挥发性有机化合物含量涂料产品，故本项目使用粉末涂料为低</w:t>
                  </w:r>
                  <w:r>
                    <w:rPr>
                      <w:rFonts w:hint="eastAsia"/>
                      <w:color w:val="auto"/>
                      <w:sz w:val="21"/>
                      <w:szCs w:val="21"/>
                    </w:rPr>
                    <w:t>VOCs含量涂料</w:t>
                  </w:r>
                  <w:r>
                    <w:rPr>
                      <w:rFonts w:hint="eastAsia"/>
                      <w:color w:val="auto"/>
                      <w:sz w:val="21"/>
                      <w:szCs w:val="21"/>
                      <w:lang w:eastAsia="zh-CN"/>
                    </w:rPr>
                    <w:t>。</w:t>
                  </w:r>
                </w:p>
              </w:tc>
              <w:tc>
                <w:tcPr>
                  <w:tcW w:w="325" w:type="pct"/>
                  <w:vAlign w:val="center"/>
                </w:tcPr>
                <w:p w14:paraId="37B333EB">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21772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Merge w:val="continue"/>
                  <w:vAlign w:val="center"/>
                </w:tcPr>
                <w:p w14:paraId="0D1D8A29">
                  <w:pPr>
                    <w:pStyle w:val="15"/>
                    <w:jc w:val="center"/>
                    <w:rPr>
                      <w:rFonts w:ascii="Times New Roman" w:hAnsi="Times New Roman" w:eastAsia="宋体"/>
                      <w:color w:val="auto"/>
                      <w:sz w:val="21"/>
                      <w:szCs w:val="21"/>
                    </w:rPr>
                  </w:pPr>
                </w:p>
              </w:tc>
              <w:tc>
                <w:tcPr>
                  <w:tcW w:w="815" w:type="pct"/>
                  <w:vMerge w:val="continue"/>
                  <w:vAlign w:val="center"/>
                </w:tcPr>
                <w:p w14:paraId="3C0EB0AF">
                  <w:pPr>
                    <w:pStyle w:val="15"/>
                    <w:jc w:val="center"/>
                    <w:rPr>
                      <w:rFonts w:ascii="Times New Roman" w:hAnsi="Times New Roman" w:eastAsia="宋体"/>
                      <w:color w:val="auto"/>
                      <w:sz w:val="21"/>
                      <w:szCs w:val="21"/>
                    </w:rPr>
                  </w:pPr>
                </w:p>
              </w:tc>
              <w:tc>
                <w:tcPr>
                  <w:tcW w:w="2119" w:type="pct"/>
                  <w:vAlign w:val="center"/>
                </w:tcPr>
                <w:p w14:paraId="3D2382D2">
                  <w:pPr>
                    <w:pStyle w:val="15"/>
                    <w:jc w:val="center"/>
                    <w:rPr>
                      <w:rFonts w:ascii="Times New Roman" w:hAnsi="Times New Roman" w:eastAsia="宋体"/>
                      <w:color w:val="auto"/>
                      <w:sz w:val="21"/>
                      <w:szCs w:val="21"/>
                    </w:rPr>
                  </w:pPr>
                  <w:r>
                    <w:rPr>
                      <w:rFonts w:hint="eastAsia" w:ascii="Times New Roman" w:hAnsi="Times New Roman" w:eastAsia="宋体"/>
                      <w:color w:val="auto"/>
                      <w:sz w:val="21"/>
                      <w:szCs w:val="21"/>
                    </w:rPr>
                    <w:t>第十条  VOCs 废气遵循“应收尽收、分质收集”的原则，收集效率不应低于90%。由于技术可行性等因素，确实达不到90%的，需在环评报告充分论述并确定收集效率要求。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 无组织排放位置，控制风速应不低于0.3 米/秒。有行业要求的按相关规定执行。</w:t>
                  </w:r>
                </w:p>
              </w:tc>
              <w:tc>
                <w:tcPr>
                  <w:tcW w:w="1470" w:type="pct"/>
                  <w:vAlign w:val="center"/>
                </w:tcPr>
                <w:p w14:paraId="5C318FD8">
                  <w:pPr>
                    <w:pStyle w:val="15"/>
                    <w:jc w:val="center"/>
                    <w:rPr>
                      <w:rFonts w:hint="eastAsia"/>
                      <w:color w:val="auto"/>
                      <w:sz w:val="21"/>
                      <w:szCs w:val="21"/>
                      <w:highlight w:val="yellow"/>
                      <w:lang w:eastAsia="zh-CN"/>
                    </w:rPr>
                  </w:pPr>
                  <w:r>
                    <w:rPr>
                      <w:rFonts w:ascii="Times New Roman" w:hAnsi="Times New Roman" w:eastAsia="宋体"/>
                      <w:strike w:val="0"/>
                      <w:dstrike w:val="0"/>
                      <w:color w:val="auto"/>
                      <w:sz w:val="21"/>
                      <w:szCs w:val="21"/>
                      <w:highlight w:val="none"/>
                    </w:rPr>
                    <w:t>项目</w:t>
                  </w:r>
                  <w:r>
                    <w:rPr>
                      <w:rFonts w:hint="eastAsia" w:ascii="Times New Roman" w:hAnsi="Times New Roman" w:eastAsia="宋体"/>
                      <w:strike w:val="0"/>
                      <w:dstrike w:val="0"/>
                      <w:color w:val="auto"/>
                      <w:sz w:val="21"/>
                      <w:szCs w:val="21"/>
                      <w:highlight w:val="none"/>
                    </w:rPr>
                    <w:t>烘干线+固化线（一体线）除两侧</w:t>
                  </w:r>
                  <w:r>
                    <w:rPr>
                      <w:rFonts w:hint="eastAsia"/>
                      <w:strike w:val="0"/>
                      <w:dstrike w:val="0"/>
                      <w:color w:val="auto"/>
                      <w:sz w:val="21"/>
                      <w:szCs w:val="21"/>
                      <w:highlight w:val="none"/>
                      <w:lang w:val="en-US" w:eastAsia="zh-CN"/>
                    </w:rPr>
                    <w:t>产品</w:t>
                  </w:r>
                  <w:r>
                    <w:rPr>
                      <w:rFonts w:hint="eastAsia" w:ascii="Times New Roman" w:hAnsi="Times New Roman" w:eastAsia="宋体"/>
                      <w:strike w:val="0"/>
                      <w:dstrike w:val="0"/>
                      <w:color w:val="auto"/>
                      <w:sz w:val="21"/>
                      <w:szCs w:val="21"/>
                      <w:highlight w:val="none"/>
                    </w:rPr>
                    <w:t>进出口外</w:t>
                  </w:r>
                  <w:r>
                    <w:rPr>
                      <w:rFonts w:hint="eastAsia" w:ascii="Times New Roman" w:hAnsi="Times New Roman" w:eastAsia="宋体"/>
                      <w:strike w:val="0"/>
                      <w:dstrike w:val="0"/>
                      <w:color w:val="auto"/>
                      <w:sz w:val="21"/>
                      <w:szCs w:val="21"/>
                      <w:highlight w:val="none"/>
                      <w:lang w:val="en-US" w:eastAsia="zh-CN"/>
                    </w:rPr>
                    <w:t>完全密闭</w:t>
                  </w:r>
                  <w:r>
                    <w:rPr>
                      <w:rFonts w:hint="eastAsia"/>
                      <w:b/>
                      <w:bCs/>
                      <w:color w:val="auto"/>
                      <w:sz w:val="21"/>
                      <w:szCs w:val="21"/>
                      <w:lang w:val="en-US" w:eastAsia="zh-CN"/>
                    </w:rPr>
                    <w:t>，</w:t>
                  </w:r>
                  <w:r>
                    <w:rPr>
                      <w:rFonts w:hint="eastAsia" w:ascii="Times New Roman" w:hAnsi="Times New Roman" w:eastAsia="宋体"/>
                      <w:strike w:val="0"/>
                      <w:dstrike w:val="0"/>
                      <w:color w:val="auto"/>
                      <w:sz w:val="21"/>
                      <w:szCs w:val="21"/>
                      <w:highlight w:val="none"/>
                      <w:lang w:val="en-US" w:eastAsia="zh-CN"/>
                    </w:rPr>
                    <w:t>靠近产品出口处设集气管道与箱体相接，抽风设备直接将固化过程产生的废气</w:t>
                  </w:r>
                  <w:r>
                    <w:rPr>
                      <w:rFonts w:hint="eastAsia"/>
                      <w:strike w:val="0"/>
                      <w:dstrike w:val="0"/>
                      <w:color w:val="auto"/>
                      <w:sz w:val="21"/>
                      <w:szCs w:val="21"/>
                      <w:highlight w:val="none"/>
                      <w:lang w:val="en-US" w:eastAsia="zh-CN"/>
                    </w:rPr>
                    <w:t>通过集气管道</w:t>
                  </w:r>
                  <w:r>
                    <w:rPr>
                      <w:rFonts w:hint="eastAsia" w:ascii="Times New Roman" w:hAnsi="Times New Roman" w:eastAsia="宋体"/>
                      <w:strike w:val="0"/>
                      <w:dstrike w:val="0"/>
                      <w:color w:val="auto"/>
                      <w:sz w:val="21"/>
                      <w:szCs w:val="21"/>
                      <w:highlight w:val="none"/>
                      <w:lang w:val="en-US" w:eastAsia="zh-CN"/>
                    </w:rPr>
                    <w:t>抽入废气治理设施中进行处理</w:t>
                  </w:r>
                  <w:r>
                    <w:rPr>
                      <w:rFonts w:hint="eastAsia"/>
                      <w:strike w:val="0"/>
                      <w:dstrike w:val="0"/>
                      <w:color w:val="auto"/>
                      <w:sz w:val="21"/>
                      <w:szCs w:val="21"/>
                      <w:highlight w:val="none"/>
                      <w:lang w:val="en-US" w:eastAsia="zh-CN"/>
                    </w:rPr>
                    <w:t>，</w:t>
                  </w:r>
                  <w:r>
                    <w:rPr>
                      <w:rFonts w:hint="eastAsia"/>
                      <w:b/>
                      <w:bCs/>
                      <w:color w:val="auto"/>
                      <w:sz w:val="21"/>
                      <w:szCs w:val="21"/>
                      <w:lang w:val="en-US" w:eastAsia="zh-CN"/>
                    </w:rPr>
                    <w:t>内部主导气流方向为产品进口到产品出口，从技术可行性与收集有效性考虑，产品进口不设置废气收集装置，</w:t>
                  </w:r>
                  <w:r>
                    <w:rPr>
                      <w:rFonts w:hint="eastAsia" w:ascii="Times New Roman" w:hAnsi="Times New Roman" w:eastAsia="宋体"/>
                      <w:color w:val="auto"/>
                      <w:sz w:val="21"/>
                      <w:szCs w:val="21"/>
                      <w:highlight w:val="none"/>
                      <w:lang w:val="en-US" w:eastAsia="zh-CN"/>
                    </w:rPr>
                    <w:t>因此</w:t>
                  </w:r>
                  <w:r>
                    <w:rPr>
                      <w:rFonts w:hint="eastAsia"/>
                      <w:color w:val="auto"/>
                      <w:sz w:val="21"/>
                      <w:szCs w:val="21"/>
                      <w:highlight w:val="none"/>
                      <w:lang w:val="en-US" w:eastAsia="zh-CN"/>
                    </w:rPr>
                    <w:t>自动线</w:t>
                  </w:r>
                  <w:r>
                    <w:rPr>
                      <w:rFonts w:hint="eastAsia" w:ascii="Times New Roman" w:hAnsi="Times New Roman" w:eastAsia="宋体"/>
                      <w:color w:val="auto"/>
                      <w:sz w:val="21"/>
                      <w:szCs w:val="21"/>
                      <w:highlight w:val="none"/>
                    </w:rPr>
                    <w:t>固化工序</w:t>
                  </w:r>
                  <w:r>
                    <w:rPr>
                      <w:rFonts w:hint="eastAsia"/>
                      <w:color w:val="auto"/>
                      <w:sz w:val="21"/>
                      <w:szCs w:val="21"/>
                      <w:highlight w:val="none"/>
                      <w:lang w:val="en-US" w:eastAsia="zh-CN"/>
                    </w:rPr>
                    <w:t>废气设备</w:t>
                  </w:r>
                  <w:r>
                    <w:rPr>
                      <w:rFonts w:hint="eastAsia"/>
                      <w:b/>
                      <w:bCs/>
                      <w:color w:val="auto"/>
                      <w:sz w:val="21"/>
                      <w:szCs w:val="21"/>
                      <w:lang w:val="en-US" w:eastAsia="zh-CN"/>
                    </w:rPr>
                    <w:t>管道直连</w:t>
                  </w:r>
                  <w:r>
                    <w:rPr>
                      <w:rFonts w:hint="eastAsia" w:ascii="Times New Roman" w:hAnsi="Times New Roman" w:eastAsia="宋体"/>
                      <w:color w:val="auto"/>
                      <w:spacing w:val="4"/>
                      <w:sz w:val="21"/>
                      <w:szCs w:val="21"/>
                      <w:highlight w:val="none"/>
                      <w:lang w:val="en-US" w:eastAsia="zh-CN"/>
                    </w:rPr>
                    <w:t>收集</w:t>
                  </w:r>
                  <w:r>
                    <w:rPr>
                      <w:rFonts w:hint="eastAsia"/>
                      <w:color w:val="auto"/>
                      <w:sz w:val="21"/>
                      <w:szCs w:val="21"/>
                      <w:highlight w:val="none"/>
                      <w:lang w:val="en-US" w:eastAsia="zh-CN"/>
                    </w:rPr>
                    <w:t>后经过活性炭吸附处理烟囱（G2）排放</w:t>
                  </w:r>
                  <w:r>
                    <w:rPr>
                      <w:rFonts w:hint="eastAsia" w:ascii="Times New Roman" w:hAnsi="Times New Roman" w:eastAsia="宋体"/>
                      <w:color w:val="auto"/>
                      <w:sz w:val="21"/>
                      <w:szCs w:val="21"/>
                      <w:highlight w:val="none"/>
                    </w:rPr>
                    <w:t>，收集效率</w:t>
                  </w:r>
                  <w:r>
                    <w:rPr>
                      <w:rFonts w:hint="eastAsia" w:ascii="Times New Roman" w:hAnsi="Times New Roman" w:eastAsia="宋体"/>
                      <w:color w:val="auto"/>
                      <w:sz w:val="21"/>
                      <w:szCs w:val="21"/>
                      <w:highlight w:val="none"/>
                      <w:lang w:val="en-US" w:eastAsia="zh-CN"/>
                    </w:rPr>
                    <w:t>为</w:t>
                  </w:r>
                  <w:r>
                    <w:rPr>
                      <w:rFonts w:hint="eastAsia"/>
                      <w:b/>
                      <w:bCs/>
                      <w:color w:val="auto"/>
                      <w:sz w:val="21"/>
                      <w:szCs w:val="21"/>
                      <w:highlight w:val="none"/>
                      <w:lang w:val="en-US" w:eastAsia="zh-CN"/>
                    </w:rPr>
                    <w:t>80</w:t>
                  </w:r>
                  <w:r>
                    <w:rPr>
                      <w:rFonts w:hint="eastAsia" w:ascii="Times New Roman" w:hAnsi="Times New Roman" w:eastAsia="宋体"/>
                      <w:b/>
                      <w:bCs/>
                      <w:color w:val="auto"/>
                      <w:sz w:val="21"/>
                      <w:szCs w:val="21"/>
                      <w:highlight w:val="none"/>
                    </w:rPr>
                    <w:t>%</w:t>
                  </w:r>
                  <w:r>
                    <w:rPr>
                      <w:rFonts w:hint="eastAsia"/>
                      <w:color w:val="auto"/>
                      <w:sz w:val="21"/>
                      <w:szCs w:val="21"/>
                      <w:highlight w:val="none"/>
                      <w:lang w:eastAsia="zh-CN"/>
                    </w:rPr>
                    <w:t>；</w:t>
                  </w:r>
                </w:p>
                <w:p w14:paraId="1D83F213">
                  <w:pPr>
                    <w:pStyle w:val="15"/>
                    <w:jc w:val="center"/>
                    <w:rPr>
                      <w:rFonts w:hint="default" w:ascii="Times New Roman" w:hAnsi="Times New Roman" w:eastAsia="宋体"/>
                      <w:color w:val="auto"/>
                      <w:sz w:val="21"/>
                      <w:szCs w:val="21"/>
                      <w:highlight w:val="yellow"/>
                      <w:lang w:val="en-US" w:eastAsia="zh-CN"/>
                    </w:rPr>
                  </w:pPr>
                  <w:r>
                    <w:rPr>
                      <w:rFonts w:hint="eastAsia"/>
                      <w:color w:val="auto"/>
                      <w:sz w:val="21"/>
                      <w:szCs w:val="21"/>
                      <w:highlight w:val="none"/>
                      <w:lang w:val="en-US" w:eastAsia="zh-CN"/>
                    </w:rPr>
                    <w:t>面包炉工作时为密闭负压状态，无废气逸出点，面包炉固化废气密闭管道收集</w:t>
                  </w:r>
                  <w:r>
                    <w:rPr>
                      <w:rFonts w:hint="eastAsia"/>
                      <w:color w:val="auto"/>
                      <w:sz w:val="21"/>
                      <w:szCs w:val="21"/>
                      <w:highlight w:val="none"/>
                      <w:lang w:val="en-US" w:eastAsia="zh-CN"/>
                    </w:rPr>
                    <w:t>后经过活性炭吸附处理烟囱（G2）排放，收集效率为90%。</w:t>
                  </w:r>
                </w:p>
              </w:tc>
              <w:tc>
                <w:tcPr>
                  <w:tcW w:w="325" w:type="pct"/>
                  <w:vAlign w:val="center"/>
                </w:tcPr>
                <w:p w14:paraId="15CA20B0">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376E9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9" w:type="pct"/>
                  <w:vMerge w:val="continue"/>
                  <w:vAlign w:val="center"/>
                </w:tcPr>
                <w:p w14:paraId="122CB7CC">
                  <w:pPr>
                    <w:pStyle w:val="15"/>
                    <w:jc w:val="center"/>
                    <w:rPr>
                      <w:rFonts w:ascii="Times New Roman" w:hAnsi="Times New Roman" w:eastAsia="宋体"/>
                      <w:color w:val="auto"/>
                      <w:sz w:val="21"/>
                      <w:szCs w:val="21"/>
                    </w:rPr>
                  </w:pPr>
                </w:p>
              </w:tc>
              <w:tc>
                <w:tcPr>
                  <w:tcW w:w="815" w:type="pct"/>
                  <w:vMerge w:val="continue"/>
                  <w:vAlign w:val="center"/>
                </w:tcPr>
                <w:p w14:paraId="27C8627F">
                  <w:pPr>
                    <w:pStyle w:val="15"/>
                    <w:jc w:val="center"/>
                    <w:rPr>
                      <w:rFonts w:ascii="Times New Roman" w:hAnsi="Times New Roman" w:eastAsia="宋体"/>
                      <w:color w:val="auto"/>
                      <w:sz w:val="21"/>
                      <w:szCs w:val="21"/>
                    </w:rPr>
                  </w:pPr>
                </w:p>
              </w:tc>
              <w:tc>
                <w:tcPr>
                  <w:tcW w:w="2119" w:type="pct"/>
                  <w:vAlign w:val="center"/>
                </w:tcPr>
                <w:p w14:paraId="4D0EBF97">
                  <w:pPr>
                    <w:pStyle w:val="15"/>
                    <w:jc w:val="center"/>
                    <w:rPr>
                      <w:rFonts w:ascii="Times New Roman" w:hAnsi="Times New Roman" w:eastAsia="宋体"/>
                      <w:color w:val="auto"/>
                      <w:sz w:val="21"/>
                      <w:szCs w:val="21"/>
                    </w:rPr>
                  </w:pPr>
                  <w:r>
                    <w:rPr>
                      <w:rFonts w:hint="eastAsia" w:ascii="Times New Roman" w:hAnsi="Times New Roman" w:eastAsia="宋体"/>
                      <w:color w:val="auto"/>
                      <w:sz w:val="21"/>
                      <w:szCs w:val="21"/>
                    </w:rPr>
                    <w:t>第十三条 涉VOCs产排企业应建设适宜、合理、高效的治污设施，VOCs废气总净化效率不应低于90%。由于技术可行性等因素，确实达不到90%的，需在环评报告中充分论述并确定处理效率要求。</w:t>
                  </w:r>
                </w:p>
              </w:tc>
              <w:tc>
                <w:tcPr>
                  <w:tcW w:w="1470" w:type="pct"/>
                  <w:vAlign w:val="center"/>
                </w:tcPr>
                <w:p w14:paraId="5C885D51">
                  <w:pPr>
                    <w:pStyle w:val="15"/>
                    <w:jc w:val="center"/>
                    <w:rPr>
                      <w:rFonts w:hint="default" w:ascii="Times New Roman" w:hAnsi="Times New Roman" w:eastAsia="宋体"/>
                      <w:color w:val="auto"/>
                      <w:sz w:val="21"/>
                      <w:szCs w:val="21"/>
                      <w:lang w:val="en-US" w:eastAsia="zh-CN"/>
                    </w:rPr>
                  </w:pPr>
                  <w:r>
                    <w:rPr>
                      <w:rFonts w:ascii="Times New Roman" w:hAnsi="Times New Roman" w:eastAsia="宋体"/>
                      <w:color w:val="auto"/>
                      <w:sz w:val="21"/>
                      <w:szCs w:val="21"/>
                    </w:rPr>
                    <w:t>项目对</w:t>
                  </w:r>
                  <w:r>
                    <w:rPr>
                      <w:rFonts w:hint="eastAsia" w:ascii="Times New Roman" w:hAnsi="Times New Roman" w:eastAsia="宋体"/>
                      <w:color w:val="auto"/>
                      <w:sz w:val="21"/>
                      <w:szCs w:val="21"/>
                    </w:rPr>
                    <w:t>固化</w:t>
                  </w:r>
                  <w:r>
                    <w:rPr>
                      <w:rFonts w:ascii="Times New Roman" w:hAnsi="Times New Roman" w:eastAsia="宋体"/>
                      <w:color w:val="auto"/>
                      <w:sz w:val="21"/>
                      <w:szCs w:val="21"/>
                    </w:rPr>
                    <w:t>工序</w:t>
                  </w:r>
                  <w:r>
                    <w:rPr>
                      <w:rFonts w:hint="eastAsia"/>
                      <w:color w:val="auto"/>
                      <w:sz w:val="21"/>
                      <w:szCs w:val="21"/>
                      <w:lang w:eastAsia="zh-CN"/>
                    </w:rPr>
                    <w:t>（</w:t>
                  </w:r>
                  <w:r>
                    <w:rPr>
                      <w:rFonts w:hint="eastAsia"/>
                      <w:color w:val="auto"/>
                      <w:sz w:val="21"/>
                      <w:szCs w:val="21"/>
                      <w:lang w:val="en-US" w:eastAsia="zh-CN"/>
                    </w:rPr>
                    <w:t>自动线、半自动线</w:t>
                  </w:r>
                  <w:r>
                    <w:rPr>
                      <w:rFonts w:hint="eastAsia"/>
                      <w:color w:val="auto"/>
                      <w:sz w:val="21"/>
                      <w:szCs w:val="21"/>
                      <w:lang w:eastAsia="zh-CN"/>
                    </w:rPr>
                    <w:t>）</w:t>
                  </w:r>
                  <w:r>
                    <w:rPr>
                      <w:rFonts w:ascii="Times New Roman" w:hAnsi="Times New Roman" w:eastAsia="宋体"/>
                      <w:color w:val="auto"/>
                      <w:sz w:val="21"/>
                      <w:szCs w:val="21"/>
                    </w:rPr>
                    <w:t>有机废气采用</w:t>
                  </w:r>
                  <w:r>
                    <w:rPr>
                      <w:rFonts w:hint="eastAsia" w:ascii="Times New Roman" w:hAnsi="Times New Roman" w:eastAsia="宋体"/>
                      <w:color w:val="auto"/>
                      <w:sz w:val="21"/>
                      <w:szCs w:val="21"/>
                    </w:rPr>
                    <w:t>活性炭</w:t>
                  </w:r>
                  <w:r>
                    <w:rPr>
                      <w:rFonts w:hint="eastAsia" w:ascii="Times New Roman" w:hAnsi="Times New Roman" w:eastAsia="宋体"/>
                      <w:color w:val="auto"/>
                      <w:sz w:val="21"/>
                      <w:szCs w:val="21"/>
                    </w:rPr>
                    <w:t>吸附</w:t>
                  </w:r>
                  <w:r>
                    <w:rPr>
                      <w:rFonts w:ascii="Times New Roman" w:hAnsi="Times New Roman" w:eastAsia="宋体"/>
                      <w:color w:val="auto"/>
                      <w:sz w:val="21"/>
                      <w:szCs w:val="21"/>
                    </w:rPr>
                    <w:t>，</w:t>
                  </w:r>
                  <w:r>
                    <w:rPr>
                      <w:rFonts w:hint="eastAsia" w:ascii="Times New Roman" w:hAnsi="Times New Roman" w:eastAsia="宋体"/>
                      <w:color w:val="auto"/>
                      <w:sz w:val="21"/>
                      <w:szCs w:val="21"/>
                    </w:rPr>
                    <w:t>根据工程分析项目挥发性有机物产生浓度较低，</w:t>
                  </w:r>
                  <w:r>
                    <w:rPr>
                      <w:rFonts w:hint="eastAsia" w:ascii="Times New Roman" w:hAnsi="Times New Roman" w:eastAsia="宋体"/>
                      <w:color w:val="auto"/>
                      <w:sz w:val="21"/>
                      <w:szCs w:val="21"/>
                      <w:lang w:val="en-US" w:eastAsia="zh-CN"/>
                    </w:rPr>
                    <w:t>处理效率为</w:t>
                  </w:r>
                  <w:r>
                    <w:rPr>
                      <w:rFonts w:hint="eastAsia"/>
                      <w:color w:val="auto"/>
                      <w:sz w:val="21"/>
                      <w:szCs w:val="21"/>
                      <w:lang w:val="en-US" w:eastAsia="zh-CN"/>
                    </w:rPr>
                    <w:t>6</w:t>
                  </w:r>
                  <w:r>
                    <w:rPr>
                      <w:rFonts w:hint="eastAsia" w:ascii="Times New Roman" w:hAnsi="Times New Roman" w:eastAsia="宋体"/>
                      <w:color w:val="auto"/>
                      <w:sz w:val="21"/>
                      <w:szCs w:val="21"/>
                      <w:lang w:val="en-US" w:eastAsia="zh-CN"/>
                    </w:rPr>
                    <w:t>0%</w:t>
                  </w:r>
                  <w:r>
                    <w:rPr>
                      <w:rFonts w:hint="eastAsia"/>
                      <w:color w:val="auto"/>
                      <w:sz w:val="21"/>
                      <w:szCs w:val="21"/>
                      <w:lang w:val="en-US" w:eastAsia="zh-CN"/>
                    </w:rPr>
                    <w:t>。</w:t>
                  </w:r>
                </w:p>
              </w:tc>
              <w:tc>
                <w:tcPr>
                  <w:tcW w:w="325" w:type="pct"/>
                  <w:vAlign w:val="center"/>
                </w:tcPr>
                <w:p w14:paraId="69CFF0BB">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09516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Merge w:val="restart"/>
                  <w:vAlign w:val="center"/>
                </w:tcPr>
                <w:p w14:paraId="253B41A8">
                  <w:pPr>
                    <w:pStyle w:val="15"/>
                    <w:jc w:val="center"/>
                    <w:rPr>
                      <w:rFonts w:hint="eastAsia" w:ascii="Times New Roman" w:hAnsi="Times New Roman" w:eastAsia="宋体"/>
                      <w:color w:val="auto"/>
                      <w:sz w:val="21"/>
                      <w:szCs w:val="21"/>
                      <w:lang w:eastAsia="zh-CN"/>
                    </w:rPr>
                  </w:pPr>
                  <w:r>
                    <w:rPr>
                      <w:rFonts w:hint="eastAsia"/>
                      <w:color w:val="auto"/>
                      <w:sz w:val="21"/>
                      <w:szCs w:val="21"/>
                      <w:lang w:val="en-US" w:eastAsia="zh-CN"/>
                    </w:rPr>
                    <w:t>6</w:t>
                  </w:r>
                </w:p>
              </w:tc>
              <w:tc>
                <w:tcPr>
                  <w:tcW w:w="815" w:type="pct"/>
                  <w:vMerge w:val="restart"/>
                  <w:vAlign w:val="center"/>
                </w:tcPr>
                <w:p w14:paraId="4BB564AC">
                  <w:pPr>
                    <w:pStyle w:val="15"/>
                    <w:jc w:val="center"/>
                    <w:rPr>
                      <w:rFonts w:ascii="Times New Roman" w:hAnsi="Times New Roman" w:eastAsia="宋体"/>
                      <w:color w:val="auto"/>
                      <w:sz w:val="21"/>
                      <w:szCs w:val="21"/>
                    </w:rPr>
                  </w:pPr>
                  <w:r>
                    <w:rPr>
                      <w:rFonts w:hint="eastAsia" w:ascii="Times New Roman" w:hAnsi="Times New Roman" w:eastAsia="宋体"/>
                      <w:color w:val="auto"/>
                      <w:sz w:val="21"/>
                      <w:szCs w:val="21"/>
                    </w:rPr>
                    <w:t>广东省地方标准《固定污染源挥发性有机物综合排放标准》（DB44/2367—2022）</w:t>
                  </w:r>
                </w:p>
              </w:tc>
              <w:tc>
                <w:tcPr>
                  <w:tcW w:w="2119" w:type="pct"/>
                  <w:vAlign w:val="center"/>
                </w:tcPr>
                <w:p w14:paraId="43063CA3">
                  <w:pPr>
                    <w:pStyle w:val="15"/>
                    <w:keepNext w:val="0"/>
                    <w:keepLines w:val="0"/>
                    <w:pageBreakBefore w:val="0"/>
                    <w:kinsoku/>
                    <w:wordWrap/>
                    <w:overflowPunct/>
                    <w:topLinePunct w:val="0"/>
                    <w:bidi w:val="0"/>
                    <w:snapToGrid w:val="0"/>
                    <w:spacing w:before="0" w:after="0" w:line="360" w:lineRule="auto"/>
                    <w:ind w:right="0" w:rightChars="0"/>
                    <w:jc w:val="both"/>
                    <w:textAlignment w:val="auto"/>
                    <w:rPr>
                      <w:rFonts w:ascii="Times New Roman" w:hAnsi="Times New Roman" w:eastAsia="宋体"/>
                      <w:color w:val="auto"/>
                      <w:sz w:val="21"/>
                      <w:szCs w:val="21"/>
                    </w:rPr>
                  </w:pPr>
                  <w:r>
                    <w:rPr>
                      <w:rFonts w:hint="default" w:ascii="Times New Roman" w:hAnsi="Times New Roman" w:eastAsia="宋体" w:cs="Times New Roman"/>
                      <w:color w:val="auto"/>
                      <w:kern w:val="2"/>
                      <w:sz w:val="21"/>
                      <w:szCs w:val="21"/>
                    </w:rPr>
                    <w:t>VOCs物料应储存于密闭的容器、包装袋、储罐、储库、料仓中。盛装VOCs物料的容器或包装袋应存放于室内，或存于设置有雨棚、遮阳和防渗设施的专用场地。盛装VOCs物料的容器或包装袋在非取用状态时应加盖、封口，保持密闭。</w:t>
                  </w:r>
                </w:p>
              </w:tc>
              <w:tc>
                <w:tcPr>
                  <w:tcW w:w="1470" w:type="pct"/>
                  <w:vAlign w:val="center"/>
                </w:tcPr>
                <w:p w14:paraId="3E7EA611">
                  <w:pPr>
                    <w:pStyle w:val="15"/>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eastAsia="zh-CN"/>
                    </w:rPr>
                    <w:t>项目粉状VOCs物料</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环氧聚酯粉末</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olor w:val="auto"/>
                      <w:sz w:val="21"/>
                      <w:szCs w:val="21"/>
                      <w:lang w:eastAsia="zh-CN"/>
                    </w:rPr>
                    <w:t>采用密闭包装</w:t>
                  </w:r>
                  <w:r>
                    <w:rPr>
                      <w:rFonts w:hint="eastAsia"/>
                      <w:color w:val="auto"/>
                      <w:sz w:val="21"/>
                      <w:szCs w:val="21"/>
                      <w:lang w:val="en-US" w:eastAsia="zh-CN"/>
                    </w:rPr>
                    <w:t>袋</w:t>
                  </w:r>
                  <w:r>
                    <w:rPr>
                      <w:rFonts w:hint="eastAsia"/>
                      <w:color w:val="auto"/>
                      <w:sz w:val="21"/>
                      <w:szCs w:val="21"/>
                      <w:lang w:eastAsia="zh-CN"/>
                    </w:rPr>
                    <w:t>，</w:t>
                  </w:r>
                  <w:r>
                    <w:rPr>
                      <w:rFonts w:hint="eastAsia" w:ascii="Times New Roman" w:hAnsi="Times New Roman" w:eastAsia="宋体"/>
                      <w:color w:val="auto"/>
                      <w:sz w:val="21"/>
                      <w:szCs w:val="21"/>
                      <w:lang w:eastAsia="zh-CN"/>
                    </w:rPr>
                    <w:t>含VOCs危险废物</w:t>
                  </w:r>
                  <w:r>
                    <w:rPr>
                      <w:rFonts w:hint="eastAsia"/>
                      <w:color w:val="auto"/>
                      <w:kern w:val="2"/>
                      <w:sz w:val="21"/>
                      <w:szCs w:val="21"/>
                      <w:lang w:val="en-US" w:eastAsia="zh-CN"/>
                    </w:rPr>
                    <w:t>（废活性炭）</w:t>
                  </w:r>
                  <w:r>
                    <w:rPr>
                      <w:rFonts w:hint="eastAsia" w:ascii="Times New Roman" w:hAnsi="Times New Roman" w:eastAsia="宋体"/>
                      <w:color w:val="auto"/>
                      <w:sz w:val="21"/>
                      <w:szCs w:val="21"/>
                      <w:lang w:eastAsia="zh-CN"/>
                    </w:rPr>
                    <w:t>采用密闭</w:t>
                  </w:r>
                  <w:r>
                    <w:rPr>
                      <w:rFonts w:hint="eastAsia"/>
                      <w:color w:val="auto"/>
                      <w:sz w:val="21"/>
                      <w:szCs w:val="21"/>
                      <w:lang w:val="en-US" w:eastAsia="zh-CN"/>
                    </w:rPr>
                    <w:t>袋</w:t>
                  </w:r>
                  <w:r>
                    <w:rPr>
                      <w:rFonts w:hint="eastAsia" w:ascii="Times New Roman" w:hAnsi="Times New Roman" w:eastAsia="宋体"/>
                      <w:color w:val="auto"/>
                      <w:sz w:val="21"/>
                      <w:szCs w:val="21"/>
                      <w:lang w:eastAsia="zh-CN"/>
                    </w:rPr>
                    <w:t>存放，</w:t>
                  </w:r>
                  <w:r>
                    <w:rPr>
                      <w:rFonts w:hint="eastAsia"/>
                      <w:color w:val="auto"/>
                      <w:sz w:val="21"/>
                      <w:szCs w:val="21"/>
                      <w:lang w:val="en-US" w:eastAsia="zh-CN"/>
                    </w:rPr>
                    <w:t>并放置于室内</w:t>
                  </w:r>
                  <w:r>
                    <w:rPr>
                      <w:rFonts w:hint="eastAsia" w:ascii="Times New Roman" w:hAnsi="Times New Roman" w:eastAsia="宋体"/>
                      <w:color w:val="auto"/>
                      <w:sz w:val="21"/>
                      <w:szCs w:val="21"/>
                      <w:lang w:eastAsia="zh-CN"/>
                    </w:rPr>
                    <w:t>。</w:t>
                  </w:r>
                </w:p>
              </w:tc>
              <w:tc>
                <w:tcPr>
                  <w:tcW w:w="325" w:type="pct"/>
                  <w:vAlign w:val="center"/>
                </w:tcPr>
                <w:p w14:paraId="39154D03">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6E6D7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Merge w:val="continue"/>
                  <w:vAlign w:val="center"/>
                </w:tcPr>
                <w:p w14:paraId="6360ED23">
                  <w:pPr>
                    <w:pStyle w:val="15"/>
                    <w:jc w:val="center"/>
                    <w:rPr>
                      <w:rFonts w:ascii="Times New Roman" w:hAnsi="Times New Roman" w:eastAsia="宋体"/>
                      <w:color w:val="auto"/>
                      <w:sz w:val="21"/>
                      <w:szCs w:val="21"/>
                    </w:rPr>
                  </w:pPr>
                </w:p>
              </w:tc>
              <w:tc>
                <w:tcPr>
                  <w:tcW w:w="815" w:type="pct"/>
                  <w:vMerge w:val="continue"/>
                  <w:vAlign w:val="center"/>
                </w:tcPr>
                <w:p w14:paraId="58734324">
                  <w:pPr>
                    <w:pStyle w:val="15"/>
                    <w:jc w:val="center"/>
                    <w:rPr>
                      <w:rFonts w:ascii="Times New Roman" w:hAnsi="Times New Roman" w:eastAsia="宋体"/>
                      <w:color w:val="auto"/>
                      <w:sz w:val="21"/>
                      <w:szCs w:val="21"/>
                    </w:rPr>
                  </w:pPr>
                </w:p>
              </w:tc>
              <w:tc>
                <w:tcPr>
                  <w:tcW w:w="2119" w:type="pct"/>
                  <w:vAlign w:val="center"/>
                </w:tcPr>
                <w:p w14:paraId="66C374E9">
                  <w:pPr>
                    <w:pStyle w:val="15"/>
                    <w:keepNext w:val="0"/>
                    <w:keepLines w:val="0"/>
                    <w:pageBreakBefore w:val="0"/>
                    <w:kinsoku/>
                    <w:wordWrap/>
                    <w:overflowPunct/>
                    <w:topLinePunct w:val="0"/>
                    <w:bidi w:val="0"/>
                    <w:snapToGrid w:val="0"/>
                    <w:spacing w:before="0" w:after="0" w:line="360" w:lineRule="auto"/>
                    <w:ind w:right="0" w:rightChars="0"/>
                    <w:jc w:val="both"/>
                    <w:textAlignment w:val="auto"/>
                    <w:rPr>
                      <w:rFonts w:ascii="Times New Roman" w:hAnsi="Times New Roman" w:eastAsia="宋体"/>
                      <w:color w:val="auto"/>
                      <w:sz w:val="21"/>
                      <w:szCs w:val="21"/>
                    </w:rPr>
                  </w:pPr>
                  <w:r>
                    <w:rPr>
                      <w:rFonts w:hint="default" w:ascii="Times New Roman" w:hAnsi="Times New Roman" w:eastAsia="宋体" w:cs="Times New Roman"/>
                      <w:color w:val="auto"/>
                      <w:kern w:val="2"/>
                      <w:sz w:val="21"/>
                      <w:szCs w:val="21"/>
                    </w:rPr>
                    <w:t>VOCs物料转移和输送无组织排放控制要求：①粉状、</w:t>
                  </w:r>
                  <w:r>
                    <w:rPr>
                      <w:rFonts w:hint="eastAsia" w:cs="Times New Roman"/>
                      <w:color w:val="auto"/>
                      <w:kern w:val="2"/>
                      <w:sz w:val="21"/>
                      <w:szCs w:val="21"/>
                      <w:lang w:eastAsia="zh-CN"/>
                    </w:rPr>
                    <w:t>粒状</w:t>
                  </w:r>
                  <w:r>
                    <w:rPr>
                      <w:rFonts w:hint="default" w:ascii="Times New Roman" w:hAnsi="Times New Roman" w:eastAsia="宋体" w:cs="Times New Roman"/>
                      <w:color w:val="auto"/>
                      <w:kern w:val="2"/>
                      <w:sz w:val="21"/>
                      <w:szCs w:val="21"/>
                    </w:rPr>
                    <w:t>VOCs物料应采用气力输送设备、管状带式输送机、螺旋输送机等密闭输送方式，或者采用密闭的包装袋、容器或罐车进行物料转移。</w:t>
                  </w:r>
                </w:p>
              </w:tc>
              <w:tc>
                <w:tcPr>
                  <w:tcW w:w="1470" w:type="pct"/>
                  <w:vAlign w:val="center"/>
                </w:tcPr>
                <w:p w14:paraId="4B1C2599">
                  <w:pPr>
                    <w:pStyle w:val="15"/>
                    <w:jc w:val="center"/>
                    <w:rPr>
                      <w:rFonts w:hint="eastAsia" w:ascii="Times New Roman" w:hAnsi="Times New Roman" w:eastAsia="宋体"/>
                      <w:color w:val="auto"/>
                      <w:sz w:val="21"/>
                      <w:szCs w:val="21"/>
                      <w:lang w:val="en-US" w:eastAsia="zh-CN"/>
                    </w:rPr>
                  </w:pPr>
                  <w:r>
                    <w:rPr>
                      <w:rFonts w:ascii="Times New Roman" w:hAnsi="Times New Roman" w:eastAsia="宋体"/>
                      <w:color w:val="auto"/>
                      <w:kern w:val="2"/>
                      <w:sz w:val="21"/>
                      <w:szCs w:val="21"/>
                      <w:lang w:val="en-US"/>
                    </w:rPr>
                    <w:t>项目</w:t>
                  </w:r>
                  <w:r>
                    <w:rPr>
                      <w:rFonts w:hint="eastAsia" w:ascii="Times New Roman" w:hAnsi="Times New Roman" w:eastAsia="宋体"/>
                      <w:color w:val="auto"/>
                      <w:kern w:val="2"/>
                      <w:sz w:val="21"/>
                      <w:szCs w:val="21"/>
                      <w:lang w:val="en-US"/>
                    </w:rPr>
                    <w:t>粉状VOCs物料</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环氧聚酯粉末</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olor w:val="auto"/>
                      <w:sz w:val="21"/>
                      <w:szCs w:val="21"/>
                      <w:lang w:eastAsia="zh-CN"/>
                    </w:rPr>
                    <w:t>采用密闭包装</w:t>
                  </w:r>
                  <w:r>
                    <w:rPr>
                      <w:rFonts w:hint="eastAsia" w:ascii="Times New Roman" w:hAnsi="Times New Roman" w:eastAsia="宋体"/>
                      <w:color w:val="auto"/>
                      <w:sz w:val="21"/>
                      <w:szCs w:val="21"/>
                      <w:lang w:val="en-US" w:eastAsia="zh-CN"/>
                    </w:rPr>
                    <w:t>袋</w:t>
                  </w:r>
                  <w:r>
                    <w:rPr>
                      <w:rFonts w:hint="eastAsia" w:ascii="Times New Roman" w:hAnsi="Times New Roman" w:eastAsia="宋体"/>
                      <w:color w:val="auto"/>
                      <w:kern w:val="2"/>
                      <w:sz w:val="21"/>
                      <w:szCs w:val="21"/>
                      <w:lang w:val="en-US"/>
                    </w:rPr>
                    <w:t>、</w:t>
                  </w:r>
                  <w:r>
                    <w:rPr>
                      <w:rFonts w:ascii="Times New Roman" w:hAnsi="Times New Roman" w:eastAsia="宋体"/>
                      <w:color w:val="auto"/>
                      <w:kern w:val="2"/>
                      <w:sz w:val="21"/>
                      <w:szCs w:val="21"/>
                      <w:lang w:val="en-US"/>
                    </w:rPr>
                    <w:t>含</w:t>
                  </w:r>
                  <w:r>
                    <w:rPr>
                      <w:rFonts w:hint="eastAsia" w:ascii="Times New Roman" w:hAnsi="Times New Roman" w:eastAsia="宋体"/>
                      <w:color w:val="auto"/>
                      <w:kern w:val="2"/>
                      <w:sz w:val="21"/>
                      <w:szCs w:val="21"/>
                      <w:lang w:val="en-US"/>
                    </w:rPr>
                    <w:t>V</w:t>
                  </w:r>
                  <w:r>
                    <w:rPr>
                      <w:rFonts w:ascii="Times New Roman" w:hAnsi="Times New Roman" w:eastAsia="宋体"/>
                      <w:color w:val="auto"/>
                      <w:kern w:val="2"/>
                      <w:sz w:val="21"/>
                      <w:szCs w:val="21"/>
                      <w:lang w:val="en-US"/>
                    </w:rPr>
                    <w:t>OCs危险废物</w:t>
                  </w:r>
                  <w:r>
                    <w:rPr>
                      <w:rFonts w:hint="eastAsia"/>
                      <w:color w:val="auto"/>
                      <w:kern w:val="2"/>
                      <w:sz w:val="21"/>
                      <w:szCs w:val="21"/>
                      <w:lang w:val="en-US" w:eastAsia="zh-CN"/>
                    </w:rPr>
                    <w:t>（废活性炭）</w:t>
                  </w:r>
                  <w:r>
                    <w:rPr>
                      <w:rFonts w:hint="eastAsia" w:ascii="Times New Roman" w:hAnsi="Times New Roman" w:eastAsia="宋体"/>
                      <w:color w:val="auto"/>
                      <w:sz w:val="21"/>
                      <w:szCs w:val="21"/>
                      <w:lang w:eastAsia="zh-CN"/>
                    </w:rPr>
                    <w:t>采用密闭</w:t>
                  </w:r>
                  <w:r>
                    <w:rPr>
                      <w:rFonts w:hint="eastAsia"/>
                      <w:color w:val="auto"/>
                      <w:sz w:val="21"/>
                      <w:szCs w:val="21"/>
                      <w:lang w:val="en-US" w:eastAsia="zh-CN"/>
                    </w:rPr>
                    <w:t>袋</w:t>
                  </w:r>
                  <w:r>
                    <w:rPr>
                      <w:rFonts w:hint="eastAsia" w:ascii="Times New Roman" w:hAnsi="Times New Roman" w:eastAsia="宋体"/>
                      <w:color w:val="auto"/>
                      <w:sz w:val="21"/>
                      <w:szCs w:val="21"/>
                      <w:lang w:eastAsia="zh-CN"/>
                    </w:rPr>
                    <w:t>存放</w:t>
                  </w:r>
                  <w:r>
                    <w:rPr>
                      <w:rFonts w:hint="eastAsia"/>
                      <w:color w:val="auto"/>
                      <w:sz w:val="21"/>
                      <w:szCs w:val="21"/>
                      <w:lang w:eastAsia="zh-CN"/>
                    </w:rPr>
                    <w:t>，</w:t>
                  </w:r>
                  <w:r>
                    <w:rPr>
                      <w:rFonts w:hint="eastAsia"/>
                      <w:color w:val="auto"/>
                      <w:sz w:val="21"/>
                      <w:szCs w:val="21"/>
                      <w:lang w:val="en-US" w:eastAsia="zh-CN"/>
                    </w:rPr>
                    <w:t>并放置于室内</w:t>
                  </w:r>
                  <w:r>
                    <w:rPr>
                      <w:rFonts w:hint="eastAsia"/>
                      <w:color w:val="auto"/>
                      <w:kern w:val="2"/>
                      <w:sz w:val="21"/>
                      <w:szCs w:val="21"/>
                      <w:lang w:val="en-US" w:eastAsia="zh-CN"/>
                    </w:rPr>
                    <w:t>。</w:t>
                  </w:r>
                </w:p>
              </w:tc>
              <w:tc>
                <w:tcPr>
                  <w:tcW w:w="325" w:type="pct"/>
                  <w:vAlign w:val="center"/>
                </w:tcPr>
                <w:p w14:paraId="5EE86D7D">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52ABB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Merge w:val="continue"/>
                  <w:vAlign w:val="center"/>
                </w:tcPr>
                <w:p w14:paraId="7438386D">
                  <w:pPr>
                    <w:pStyle w:val="15"/>
                    <w:jc w:val="center"/>
                    <w:rPr>
                      <w:rFonts w:ascii="Times New Roman" w:hAnsi="Times New Roman" w:eastAsia="宋体"/>
                      <w:color w:val="auto"/>
                      <w:sz w:val="21"/>
                      <w:szCs w:val="21"/>
                    </w:rPr>
                  </w:pPr>
                </w:p>
              </w:tc>
              <w:tc>
                <w:tcPr>
                  <w:tcW w:w="815" w:type="pct"/>
                  <w:vMerge w:val="continue"/>
                  <w:vAlign w:val="center"/>
                </w:tcPr>
                <w:p w14:paraId="66E5877F">
                  <w:pPr>
                    <w:pStyle w:val="15"/>
                    <w:jc w:val="center"/>
                    <w:rPr>
                      <w:rFonts w:ascii="Times New Roman" w:hAnsi="Times New Roman" w:eastAsia="宋体"/>
                      <w:color w:val="auto"/>
                      <w:sz w:val="21"/>
                      <w:szCs w:val="21"/>
                    </w:rPr>
                  </w:pPr>
                </w:p>
              </w:tc>
              <w:tc>
                <w:tcPr>
                  <w:tcW w:w="2119" w:type="pct"/>
                  <w:vAlign w:val="center"/>
                </w:tcPr>
                <w:p w14:paraId="2DAA12E2">
                  <w:pPr>
                    <w:pStyle w:val="181"/>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ascii="Times New Roman" w:hAnsi="Times New Roman" w:eastAsia="宋体"/>
                      <w:color w:val="auto"/>
                      <w:sz w:val="21"/>
                      <w:szCs w:val="21"/>
                    </w:rPr>
                  </w:pPr>
                  <w:r>
                    <w:rPr>
                      <w:rFonts w:ascii="Times New Roman" w:hAnsi="Times New Roman" w:eastAsia="宋体" w:cs="Times New Roman"/>
                      <w:color w:val="auto"/>
                      <w:sz w:val="21"/>
                      <w:szCs w:val="21"/>
                    </w:rPr>
                    <w:t>工艺过程VOCs无组织排放控制要求：物料投放和卸放：①液态VOCs物料应采用密封管道输送方式或采用高位槽（罐）、桶泵等加料方式密封投加。无法密闭投加的，应在密闭空间内操作，或进行局部气体收集，废气应排至VOCs废气收集处理系统。②粉状、粒状VOCs物料应采用气力输送方式或采用密闭固体投料器等给料方式密闭投加。无法密闭投加的，应在密闭空间内操作，或进行局部气体收集，废气应排至除尘设施、VOCs废气收集处理系统。③VOCs物料卸（出、放）料过程应密闭，卸料废气应排至VOCs废气收集处理系统；无法密闭的，应采取局部气体收集措施，废气应排至VOCs废气收集处理系统。</w:t>
                  </w:r>
                </w:p>
              </w:tc>
              <w:tc>
                <w:tcPr>
                  <w:tcW w:w="1470" w:type="pct"/>
                  <w:vAlign w:val="center"/>
                </w:tcPr>
                <w:p w14:paraId="441634D0">
                  <w:pPr>
                    <w:pStyle w:val="15"/>
                    <w:jc w:val="center"/>
                    <w:rPr>
                      <w:rFonts w:hint="eastAsia" w:ascii="Times New Roman" w:hAnsi="Times New Roman" w:eastAsia="宋体"/>
                      <w:color w:val="auto"/>
                      <w:sz w:val="21"/>
                      <w:szCs w:val="21"/>
                      <w:lang w:eastAsia="zh-CN"/>
                    </w:rPr>
                  </w:pPr>
                  <w:r>
                    <w:rPr>
                      <w:rFonts w:hint="eastAsia" w:ascii="Times New Roman" w:hAnsi="Times New Roman" w:eastAsia="宋体" w:cs="Times New Roman"/>
                      <w:color w:val="auto"/>
                      <w:sz w:val="21"/>
                      <w:szCs w:val="21"/>
                      <w:lang w:val="en-US" w:eastAsia="zh-CN"/>
                    </w:rPr>
                    <w:t>项目设置喷粉室，</w:t>
                  </w:r>
                  <w:r>
                    <w:rPr>
                      <w:rFonts w:ascii="Times New Roman" w:hAnsi="Times New Roman" w:eastAsia="宋体" w:cs="Times New Roman"/>
                      <w:color w:val="auto"/>
                      <w:sz w:val="21"/>
                      <w:szCs w:val="21"/>
                    </w:rPr>
                    <w:t>粉状、VOCs物料</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环氧聚酯粉末</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由供粉器自动、连续、均匀地将输送到静电喷枪，整个过程在密闭环境下进行</w:t>
                  </w:r>
                  <w:r>
                    <w:rPr>
                      <w:rFonts w:hint="eastAsia" w:cs="Times New Roman"/>
                      <w:color w:val="auto"/>
                      <w:sz w:val="21"/>
                      <w:szCs w:val="21"/>
                      <w:lang w:val="en-US" w:eastAsia="zh-CN"/>
                    </w:rPr>
                    <w:t>，</w:t>
                  </w:r>
                  <w:r>
                    <w:rPr>
                      <w:rFonts w:hint="eastAsia" w:cs="Times New Roman"/>
                      <w:color w:val="auto"/>
                      <w:sz w:val="21"/>
                      <w:szCs w:val="21"/>
                      <w:lang w:val="en-US" w:eastAsia="zh-CN"/>
                    </w:rPr>
                    <w:t>并且</w:t>
                  </w:r>
                  <w:r>
                    <w:rPr>
                      <w:rFonts w:hint="eastAsia" w:ascii="Times New Roman" w:hAnsi="Times New Roman" w:eastAsia="宋体" w:cs="Times New Roman"/>
                      <w:color w:val="auto"/>
                      <w:sz w:val="21"/>
                      <w:szCs w:val="21"/>
                      <w:lang w:val="en-US" w:eastAsia="zh-CN"/>
                    </w:rPr>
                    <w:t>环氧聚酯粉末常温下不挥发，因此投放和</w:t>
                  </w:r>
                  <w:r>
                    <w:rPr>
                      <w:rFonts w:hint="eastAsia" w:cs="Times New Roman"/>
                      <w:color w:val="auto"/>
                      <w:sz w:val="21"/>
                      <w:szCs w:val="21"/>
                      <w:lang w:val="en-US" w:eastAsia="zh-CN"/>
                    </w:rPr>
                    <w:t>卸</w:t>
                  </w:r>
                  <w:r>
                    <w:rPr>
                      <w:rFonts w:hint="eastAsia" w:ascii="Times New Roman" w:hAnsi="Times New Roman" w:eastAsia="宋体" w:cs="Times New Roman"/>
                      <w:color w:val="auto"/>
                      <w:sz w:val="21"/>
                      <w:szCs w:val="21"/>
                      <w:lang w:val="en-US" w:eastAsia="zh-CN"/>
                    </w:rPr>
                    <w:t>放过程</w:t>
                  </w:r>
                  <w:r>
                    <w:rPr>
                      <w:rFonts w:hint="eastAsia" w:cs="Times New Roman"/>
                      <w:color w:val="auto"/>
                      <w:sz w:val="21"/>
                      <w:szCs w:val="21"/>
                      <w:lang w:val="en-US" w:eastAsia="zh-CN"/>
                    </w:rPr>
                    <w:t>无</w:t>
                  </w:r>
                  <w:r>
                    <w:rPr>
                      <w:rFonts w:hint="eastAsia" w:ascii="Times New Roman" w:hAnsi="Times New Roman" w:eastAsia="宋体" w:cs="Times New Roman"/>
                      <w:color w:val="auto"/>
                      <w:sz w:val="21"/>
                      <w:szCs w:val="21"/>
                      <w:lang w:val="en-US" w:eastAsia="zh-CN"/>
                    </w:rPr>
                    <w:t>挥发性有机物产生</w:t>
                  </w:r>
                  <w:r>
                    <w:rPr>
                      <w:rFonts w:hint="eastAsia" w:cs="Times New Roman"/>
                      <w:color w:val="auto"/>
                      <w:sz w:val="21"/>
                      <w:szCs w:val="21"/>
                      <w:lang w:val="en-US" w:eastAsia="zh-CN"/>
                    </w:rPr>
                    <w:t>。</w:t>
                  </w:r>
                </w:p>
              </w:tc>
              <w:tc>
                <w:tcPr>
                  <w:tcW w:w="325" w:type="pct"/>
                  <w:vAlign w:val="center"/>
                </w:tcPr>
                <w:p w14:paraId="16ABC26D">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38090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269" w:type="pct"/>
                  <w:vMerge w:val="restart"/>
                  <w:vAlign w:val="center"/>
                </w:tcPr>
                <w:p w14:paraId="29E28A86">
                  <w:pPr>
                    <w:pStyle w:val="15"/>
                    <w:jc w:val="center"/>
                    <w:rPr>
                      <w:rFonts w:hint="eastAsia" w:ascii="Times New Roman" w:hAnsi="Times New Roman" w:eastAsia="宋体"/>
                      <w:color w:val="auto"/>
                      <w:sz w:val="21"/>
                      <w:szCs w:val="21"/>
                      <w:lang w:eastAsia="zh-CN"/>
                    </w:rPr>
                  </w:pPr>
                  <w:r>
                    <w:rPr>
                      <w:rFonts w:hint="eastAsia"/>
                      <w:color w:val="auto"/>
                      <w:sz w:val="21"/>
                      <w:szCs w:val="21"/>
                      <w:lang w:val="en-US" w:eastAsia="zh-CN"/>
                    </w:rPr>
                    <w:t>7</w:t>
                  </w:r>
                </w:p>
              </w:tc>
              <w:tc>
                <w:tcPr>
                  <w:tcW w:w="815" w:type="pct"/>
                  <w:vMerge w:val="restart"/>
                  <w:vAlign w:val="center"/>
                </w:tcPr>
                <w:p w14:paraId="5673776F">
                  <w:pPr>
                    <w:pStyle w:val="15"/>
                    <w:jc w:val="center"/>
                    <w:rPr>
                      <w:rFonts w:ascii="Times New Roman" w:hAnsi="Times New Roman" w:eastAsia="宋体"/>
                      <w:color w:val="auto"/>
                      <w:sz w:val="21"/>
                      <w:szCs w:val="21"/>
                    </w:rPr>
                  </w:pPr>
                  <w:r>
                    <w:rPr>
                      <w:rFonts w:hint="eastAsia"/>
                      <w:color w:val="auto"/>
                      <w:sz w:val="21"/>
                      <w:szCs w:val="21"/>
                      <w:lang w:eastAsia="zh-CN"/>
                    </w:rPr>
                    <w:t>《</w:t>
                  </w:r>
                  <w:r>
                    <w:rPr>
                      <w:rFonts w:hint="eastAsia" w:ascii="Times New Roman" w:hAnsi="Times New Roman" w:eastAsia="宋体"/>
                      <w:color w:val="auto"/>
                      <w:sz w:val="21"/>
                      <w:szCs w:val="21"/>
                    </w:rPr>
                    <w:t>中山市人民政府关于印发中山市“三线一单”</w:t>
                  </w:r>
                </w:p>
                <w:p w14:paraId="556C1648">
                  <w:pPr>
                    <w:pStyle w:val="15"/>
                    <w:keepNext w:val="0"/>
                    <w:keepLines w:val="0"/>
                    <w:pageBreakBefore w:val="0"/>
                    <w:widowControl w:val="0"/>
                    <w:kinsoku w:val="0"/>
                    <w:wordWrap/>
                    <w:overflowPunct w:val="0"/>
                    <w:topLinePunct w:val="0"/>
                    <w:autoSpaceDE/>
                    <w:autoSpaceDN/>
                    <w:bidi w:val="0"/>
                    <w:adjustRightInd w:val="0"/>
                    <w:snapToGrid/>
                    <w:jc w:val="center"/>
                    <w:textAlignment w:val="baseline"/>
                    <w:rPr>
                      <w:rFonts w:ascii="Times New Roman" w:hAnsi="Times New Roman" w:eastAsia="宋体"/>
                      <w:color w:val="auto"/>
                      <w:sz w:val="21"/>
                      <w:szCs w:val="21"/>
                    </w:rPr>
                  </w:pPr>
                  <w:r>
                    <w:rPr>
                      <w:rFonts w:hint="eastAsia" w:ascii="Times New Roman" w:hAnsi="Times New Roman" w:eastAsia="宋体"/>
                      <w:color w:val="auto"/>
                      <w:sz w:val="21"/>
                      <w:szCs w:val="21"/>
                    </w:rPr>
                    <w:t>生态环境分区管控方案</w:t>
                  </w:r>
                  <w:r>
                    <w:rPr>
                      <w:rFonts w:hint="eastAsia" w:ascii="Times New Roman" w:hAnsi="Times New Roman" w:eastAsia="宋体" w:cs="宋体"/>
                      <w:color w:val="auto"/>
                      <w:kern w:val="2"/>
                      <w:sz w:val="21"/>
                      <w:szCs w:val="21"/>
                      <w:lang w:val="en-US" w:eastAsia="zh-CN" w:bidi="ar-SA"/>
                    </w:rPr>
                    <w:t>（2024版）</w:t>
                  </w:r>
                  <w:r>
                    <w:rPr>
                      <w:rFonts w:hint="eastAsia" w:ascii="Times New Roman" w:hAnsi="Times New Roman" w:eastAsia="宋体"/>
                      <w:color w:val="auto"/>
                      <w:sz w:val="21"/>
                      <w:szCs w:val="21"/>
                    </w:rPr>
                    <w:t>的通知</w:t>
                  </w:r>
                  <w:r>
                    <w:rPr>
                      <w:rFonts w:hint="eastAsia"/>
                      <w:color w:val="auto"/>
                      <w:sz w:val="21"/>
                      <w:szCs w:val="21"/>
                      <w:lang w:eastAsia="zh-CN"/>
                    </w:rPr>
                    <w:t>》</w:t>
                  </w:r>
                  <w:r>
                    <w:rPr>
                      <w:rFonts w:hint="eastAsia" w:ascii="Times New Roman" w:hAnsi="Times New Roman" w:eastAsia="宋体"/>
                      <w:color w:val="auto"/>
                      <w:sz w:val="21"/>
                      <w:szCs w:val="21"/>
                    </w:rPr>
                    <w:t>中府</w:t>
                  </w:r>
                  <w:r>
                    <w:rPr>
                      <w:rFonts w:hint="eastAsia" w:ascii="Times New Roman" w:hAnsi="Times New Roman" w:eastAsia="宋体" w:cs="宋体"/>
                      <w:color w:val="auto"/>
                      <w:kern w:val="2"/>
                      <w:sz w:val="21"/>
                      <w:szCs w:val="21"/>
                      <w:lang w:val="en-US" w:eastAsia="zh-CN" w:bidi="ar-SA"/>
                    </w:rPr>
                    <w:t>〔2024〕53</w:t>
                  </w:r>
                  <w:r>
                    <w:rPr>
                      <w:rFonts w:hint="eastAsia" w:ascii="Times New Roman" w:hAnsi="Times New Roman" w:eastAsia="宋体"/>
                      <w:color w:val="auto"/>
                      <w:sz w:val="21"/>
                      <w:szCs w:val="21"/>
                    </w:rPr>
                    <w:t xml:space="preserve"> 号（</w:t>
                  </w:r>
                  <w:r>
                    <w:rPr>
                      <w:rFonts w:hint="eastAsia" w:ascii="Times New Roman" w:hAnsi="Times New Roman" w:eastAsia="宋体"/>
                      <w:color w:val="auto"/>
                      <w:sz w:val="21"/>
                      <w:szCs w:val="21"/>
                      <w:lang w:val="en-US"/>
                    </w:rPr>
                    <w:t>南朗街道一般管控单元</w:t>
                  </w:r>
                  <w:r>
                    <w:rPr>
                      <w:rFonts w:hint="eastAsia" w:ascii="Times New Roman" w:hAnsi="Times New Roman" w:eastAsia="宋体"/>
                      <w:color w:val="auto"/>
                      <w:sz w:val="21"/>
                      <w:szCs w:val="21"/>
                    </w:rPr>
                    <w:t>）（环境管控单元编码：</w:t>
                  </w:r>
                  <w:r>
                    <w:rPr>
                      <w:rFonts w:hint="eastAsia" w:ascii="Times New Roman" w:hAnsi="Times New Roman" w:eastAsia="宋体"/>
                      <w:color w:val="auto"/>
                      <w:sz w:val="21"/>
                      <w:szCs w:val="21"/>
                      <w:highlight w:val="none"/>
                    </w:rPr>
                    <w:t>ZH44200030008</w:t>
                  </w:r>
                  <w:r>
                    <w:rPr>
                      <w:rFonts w:hint="eastAsia" w:ascii="Times New Roman" w:hAnsi="Times New Roman" w:eastAsia="宋体"/>
                      <w:color w:val="auto"/>
                      <w:sz w:val="21"/>
                      <w:szCs w:val="21"/>
                    </w:rPr>
                    <w:t>）</w:t>
                  </w:r>
                </w:p>
              </w:tc>
              <w:tc>
                <w:tcPr>
                  <w:tcW w:w="2119" w:type="pct"/>
                  <w:vAlign w:val="center"/>
                </w:tcPr>
                <w:p w14:paraId="3E50CE8F">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区域布局管控：</w:t>
                  </w:r>
                </w:p>
                <w:p w14:paraId="55F960FE">
                  <w:pPr>
                    <w:pStyle w:val="15"/>
                    <w:numPr>
                      <w:ilvl w:val="1"/>
                      <w:numId w:val="5"/>
                    </w:numPr>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产业/鼓励引导类】①鼓励发展文化旅游、现代服务业、生物医药、装备制造及机器人、新一代信息技术等科技型、创新型高端制造业等产业。②翠亨新区鼓励发展健康医药、装备制造及机器人、新一代信息技术、现代服务业和未来产业（X）。</w:t>
                  </w:r>
                </w:p>
                <w:p w14:paraId="7DD4D465">
                  <w:pPr>
                    <w:pStyle w:val="15"/>
                    <w:numPr>
                      <w:ilvl w:val="1"/>
                      <w:numId w:val="5"/>
                    </w:numPr>
                    <w:jc w:val="left"/>
                    <w:rPr>
                      <w:rFonts w:ascii="Times New Roman" w:hAnsi="Times New Roman" w:eastAsia="宋体"/>
                      <w:color w:val="auto"/>
                      <w:sz w:val="21"/>
                      <w:szCs w:val="21"/>
                    </w:rPr>
                  </w:pPr>
                  <w:r>
                    <w:rPr>
                      <w:rFonts w:hint="eastAsia" w:ascii="Times New Roman" w:hAnsi="Times New Roman" w:eastAsia="宋体"/>
                      <w:color w:val="auto"/>
                      <w:sz w:val="21"/>
                      <w:szCs w:val="21"/>
                    </w:rPr>
                    <w:t xml:space="preserve"> 【产业/禁止类】禁止新建、扩建水泥、平板玻璃、化学制浆、生皮制革以及国家规划外的钢铁、原油加工等项目。</w:t>
                  </w:r>
                </w:p>
                <w:p w14:paraId="3B12DA87">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1-3. 【产业/限制类】印染、牛仔洗水、电镀、鞣革等污染行业须按要求集聚发展、集中治污，新建、扩建“两高”化工项目应在依法合规设立并经规划环评的产业园区内布设，禁止在化工园区外新建、扩建危险化学品建设项目（运输工具加油站、加气站、加氢站及其合建站、制氢加氢一体站，港口（铁路、航空）危险化学品建设项目，危险化学品输送管道以及危险化学品使用单位的配套项目，国家、省、市重点项目配套项目、氢能源重大科技创新平台除外）。</w:t>
                  </w:r>
                </w:p>
              </w:tc>
              <w:tc>
                <w:tcPr>
                  <w:tcW w:w="1470" w:type="pct"/>
                  <w:vAlign w:val="center"/>
                </w:tcPr>
                <w:p w14:paraId="32149E5F">
                  <w:pPr>
                    <w:pStyle w:val="169"/>
                    <w:spacing w:line="360" w:lineRule="auto"/>
                    <w:jc w:val="both"/>
                    <w:rPr>
                      <w:rFonts w:hint="eastAsia" w:ascii="Times New Roman" w:hAnsi="Times New Roman" w:eastAsia="宋体"/>
                      <w:color w:val="auto"/>
                      <w:sz w:val="21"/>
                      <w:szCs w:val="21"/>
                      <w:lang w:val="en-US" w:eastAsia="zh-CN"/>
                    </w:rPr>
                  </w:pPr>
                  <w:r>
                    <w:rPr>
                      <w:rFonts w:ascii="Times New Roman" w:hAnsi="Times New Roman" w:eastAsia="宋体"/>
                      <w:color w:val="auto"/>
                      <w:sz w:val="21"/>
                      <w:szCs w:val="21"/>
                      <w:lang w:val="en-US"/>
                    </w:rPr>
                    <w:t>项目</w:t>
                  </w:r>
                  <w:r>
                    <w:rPr>
                      <w:rFonts w:hint="eastAsia"/>
                      <w:color w:val="auto"/>
                      <w:sz w:val="21"/>
                      <w:szCs w:val="21"/>
                      <w:lang w:val="en-US" w:eastAsia="zh-CN"/>
                    </w:rPr>
                    <w:t>从</w:t>
                  </w:r>
                  <w:r>
                    <w:rPr>
                      <w:rFonts w:hint="eastAsia"/>
                      <w:color w:val="auto"/>
                      <w:sz w:val="21"/>
                      <w:szCs w:val="21"/>
                      <w:highlight w:val="red"/>
                      <w:lang w:val="en-US" w:eastAsia="zh-CN"/>
                    </w:rPr>
                    <w:t>事</w:t>
                  </w:r>
                  <w:r>
                    <w:rPr>
                      <w:rFonts w:hint="eastAsia" w:ascii="Times New Roman" w:hAnsi="Times New Roman" w:eastAsia="宋体" w:cs="Times New Roman"/>
                      <w:b/>
                      <w:bCs w:val="0"/>
                      <w:color w:val="auto"/>
                      <w:kern w:val="0"/>
                      <w:sz w:val="21"/>
                      <w:szCs w:val="21"/>
                      <w:highlight w:val="none"/>
                      <w:lang w:val="en-US" w:eastAsia="zh-CN" w:bidi="ar-SA"/>
                    </w:rPr>
                    <w:t>医疗辅具配件</w:t>
                  </w:r>
                  <w:r>
                    <w:rPr>
                      <w:rFonts w:hint="eastAsia"/>
                      <w:color w:val="auto"/>
                      <w:sz w:val="21"/>
                      <w:szCs w:val="21"/>
                      <w:highlight w:val="red"/>
                      <w:lang w:val="en-US" w:eastAsia="zh-CN"/>
                    </w:rPr>
                    <w:t>的金属表面处理及热处理加工</w:t>
                  </w:r>
                  <w:r>
                    <w:rPr>
                      <w:rFonts w:hint="eastAsia" w:ascii="Times New Roman" w:hAnsi="Times New Roman" w:eastAsia="宋体"/>
                      <w:color w:val="auto"/>
                      <w:sz w:val="21"/>
                      <w:szCs w:val="21"/>
                      <w:lang w:val="en-US"/>
                    </w:rPr>
                    <w:t>，</w:t>
                  </w:r>
                  <w:r>
                    <w:rPr>
                      <w:rFonts w:hint="eastAsia"/>
                      <w:color w:val="auto"/>
                      <w:sz w:val="21"/>
                      <w:szCs w:val="21"/>
                      <w:lang w:val="en-US" w:eastAsia="zh-CN"/>
                    </w:rPr>
                    <w:t>行业类别为</w:t>
                  </w:r>
                  <w:r>
                    <w:rPr>
                      <w:rStyle w:val="45"/>
                      <w:rFonts w:hint="eastAsia" w:ascii="Times New Roman" w:hAnsi="Times New Roman" w:eastAsia="宋体"/>
                      <w:color w:val="auto"/>
                      <w:kern w:val="0"/>
                      <w:sz w:val="21"/>
                      <w:lang w:val="en-US"/>
                    </w:rPr>
                    <w:t>C3360金属表面处理及热处理加工</w:t>
                  </w:r>
                  <w:r>
                    <w:rPr>
                      <w:rStyle w:val="45"/>
                      <w:rFonts w:hint="eastAsia" w:ascii="Times New Roman" w:hAnsi="Times New Roman" w:eastAsia="宋体"/>
                      <w:color w:val="auto"/>
                      <w:kern w:val="0"/>
                      <w:sz w:val="21"/>
                      <w:lang w:val="en-US" w:eastAsia="zh-CN"/>
                    </w:rPr>
                    <w:t>、</w:t>
                  </w:r>
                  <w:r>
                    <w:rPr>
                      <w:rFonts w:hint="eastAsia" w:ascii="Times New Roman" w:hAnsi="Times New Roman" w:eastAsia="宋体" w:cs="Times New Roman"/>
                      <w:color w:val="auto"/>
                      <w:sz w:val="21"/>
                      <w:szCs w:val="21"/>
                      <w:lang w:val="en-US" w:eastAsia="zh-CN"/>
                    </w:rPr>
                    <w:t>C358</w:t>
                  </w:r>
                  <w:r>
                    <w:rPr>
                      <w:rFonts w:hint="eastAsia" w:cs="Times New Roman"/>
                      <w:color w:val="auto"/>
                      <w:sz w:val="21"/>
                      <w:szCs w:val="21"/>
                      <w:lang w:val="en-US" w:eastAsia="zh-CN"/>
                    </w:rPr>
                    <w:t>6</w:t>
                  </w:r>
                  <w:r>
                    <w:rPr>
                      <w:rFonts w:hint="eastAsia" w:ascii="Times New Roman" w:hAnsi="Times New Roman" w:eastAsia="宋体" w:cs="Times New Roman"/>
                      <w:color w:val="auto"/>
                      <w:sz w:val="21"/>
                      <w:szCs w:val="21"/>
                      <w:lang w:val="en-US" w:eastAsia="zh-CN"/>
                    </w:rPr>
                    <w:t xml:space="preserve"> 康复辅具制造；</w:t>
                  </w:r>
                  <w:r>
                    <w:rPr>
                      <w:rFonts w:hint="eastAsia"/>
                      <w:color w:val="auto"/>
                      <w:sz w:val="21"/>
                      <w:szCs w:val="21"/>
                      <w:lang w:val="en-US" w:eastAsia="zh-CN"/>
                    </w:rPr>
                    <w:t>生产工艺为除油、清洗、陶化、固化、喷粉，</w:t>
                  </w:r>
                  <w:r>
                    <w:rPr>
                      <w:rFonts w:ascii="Times New Roman" w:hAnsi="Times New Roman" w:eastAsia="宋体"/>
                      <w:color w:val="auto"/>
                      <w:sz w:val="21"/>
                      <w:szCs w:val="21"/>
                    </w:rPr>
                    <w:t>不属于规定的鼓励类、限制类和禁止类</w:t>
                  </w:r>
                  <w:r>
                    <w:rPr>
                      <w:rFonts w:hint="eastAsia"/>
                      <w:color w:val="auto"/>
                      <w:sz w:val="21"/>
                      <w:szCs w:val="21"/>
                      <w:lang w:eastAsia="zh-CN"/>
                    </w:rPr>
                    <w:t>，</w:t>
                  </w:r>
                  <w:r>
                    <w:rPr>
                      <w:rFonts w:hint="eastAsia" w:ascii="Times New Roman" w:hAnsi="Times New Roman" w:eastAsia="宋体"/>
                      <w:color w:val="auto"/>
                      <w:sz w:val="21"/>
                      <w:szCs w:val="21"/>
                    </w:rPr>
                    <w:t>不属于水泥、平板玻璃、化学制浆、生皮制革</w:t>
                  </w:r>
                  <w:r>
                    <w:rPr>
                      <w:rFonts w:hint="eastAsia"/>
                      <w:color w:val="auto"/>
                      <w:sz w:val="21"/>
                      <w:szCs w:val="21"/>
                      <w:lang w:eastAsia="zh-CN"/>
                    </w:rPr>
                    <w:t>，以及</w:t>
                  </w:r>
                  <w:r>
                    <w:rPr>
                      <w:rFonts w:hint="eastAsia" w:ascii="Times New Roman" w:hAnsi="Times New Roman" w:eastAsia="宋体"/>
                      <w:color w:val="auto"/>
                      <w:sz w:val="21"/>
                      <w:szCs w:val="21"/>
                    </w:rPr>
                    <w:t>国家规划外的钢铁、原油加工等项目</w:t>
                  </w:r>
                  <w:r>
                    <w:rPr>
                      <w:rFonts w:hint="eastAsia"/>
                      <w:color w:val="auto"/>
                      <w:sz w:val="21"/>
                      <w:szCs w:val="21"/>
                      <w:lang w:eastAsia="zh-CN"/>
                    </w:rPr>
                    <w:t>，</w:t>
                  </w:r>
                  <w:r>
                    <w:rPr>
                      <w:rFonts w:hint="eastAsia" w:ascii="Times New Roman" w:hAnsi="Times New Roman" w:eastAsia="宋体"/>
                      <w:color w:val="auto"/>
                      <w:sz w:val="21"/>
                      <w:szCs w:val="21"/>
                      <w:lang w:val="en-US" w:eastAsia="zh-CN"/>
                    </w:rPr>
                    <w:t>不属于印染、牛仔洗水、电镀、鞣革等污染行业。</w:t>
                  </w:r>
                </w:p>
                <w:p w14:paraId="69C8758C">
                  <w:pPr>
                    <w:pStyle w:val="15"/>
                    <w:jc w:val="left"/>
                    <w:rPr>
                      <w:rFonts w:hint="default" w:ascii="Times New Roman" w:hAnsi="Times New Roman" w:eastAsia="宋体"/>
                      <w:color w:val="auto"/>
                      <w:sz w:val="21"/>
                      <w:szCs w:val="21"/>
                      <w:lang w:val="en-US" w:eastAsia="zh-CN"/>
                    </w:rPr>
                  </w:pPr>
                </w:p>
              </w:tc>
              <w:tc>
                <w:tcPr>
                  <w:tcW w:w="325" w:type="pct"/>
                  <w:vMerge w:val="restart"/>
                  <w:vAlign w:val="center"/>
                </w:tcPr>
                <w:p w14:paraId="5A43FBA7">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4EB22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269" w:type="pct"/>
                  <w:vMerge w:val="continue"/>
                  <w:vAlign w:val="center"/>
                </w:tcPr>
                <w:p w14:paraId="6CDA73D3">
                  <w:pPr>
                    <w:pStyle w:val="15"/>
                    <w:jc w:val="left"/>
                    <w:rPr>
                      <w:color w:val="auto"/>
                      <w:sz w:val="21"/>
                      <w:szCs w:val="21"/>
                    </w:rPr>
                  </w:pPr>
                </w:p>
              </w:tc>
              <w:tc>
                <w:tcPr>
                  <w:tcW w:w="815" w:type="pct"/>
                  <w:vMerge w:val="continue"/>
                  <w:vAlign w:val="center"/>
                </w:tcPr>
                <w:p w14:paraId="305268E9">
                  <w:pPr>
                    <w:pStyle w:val="15"/>
                    <w:jc w:val="left"/>
                    <w:rPr>
                      <w:color w:val="auto"/>
                      <w:sz w:val="21"/>
                      <w:szCs w:val="21"/>
                    </w:rPr>
                  </w:pPr>
                </w:p>
              </w:tc>
              <w:tc>
                <w:tcPr>
                  <w:tcW w:w="2119" w:type="pct"/>
                  <w:vAlign w:val="center"/>
                </w:tcPr>
                <w:p w14:paraId="0F3E37AD">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1-4. 【生态/禁止类】①单元内中山崖口地方级湿地公园、中山翠湖地方级湿地公园范围实施严格管控，按照《广东省湿地公园管理暂行办法》及其他有关法律法规进行管理。湿地公园范围内禁止下列行为：开矿、采石、修坟以及生产性放牧等；从事房地产、度假村、高尔夫球场等任何不符合主体功能定位的建设项目和开发活动；法律法规禁止的活动或者行为。②单元内广东中山翠亨国家湿地公园范围实施严格管控，按照《国家湿地公园管理办法》《湿地保护管理规定》《广东省湿地公园管理暂行办法》及其他有关法律法规进行管理。湿地公园范围内禁止下列行为：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其他破坏湿地及其生态功能的活动。③单元内中山香山省级自然保护区范围实施严格管控，按照《中华人民共和国自然保护区条例》及其他有关法律法规进行管理。禁止在自然保护区内进行砍伐、放牧、狩猎、捕捞、采药、开垦、烧荒、开矿、采石、挖沙等活动；但是，法律、行政法规另有规定的除外。</w:t>
                  </w:r>
                </w:p>
                <w:p w14:paraId="51127E78">
                  <w:pPr>
                    <w:pStyle w:val="15"/>
                    <w:jc w:val="left"/>
                    <w:rPr>
                      <w:rFonts w:hint="eastAsia" w:ascii="Times New Roman" w:hAnsi="Times New Roman" w:eastAsia="宋体"/>
                      <w:color w:val="auto"/>
                      <w:sz w:val="21"/>
                      <w:szCs w:val="21"/>
                    </w:rPr>
                  </w:pPr>
                </w:p>
              </w:tc>
              <w:tc>
                <w:tcPr>
                  <w:tcW w:w="1470" w:type="pct"/>
                  <w:vAlign w:val="center"/>
                </w:tcPr>
                <w:p w14:paraId="051D0B01">
                  <w:pPr>
                    <w:pStyle w:val="15"/>
                    <w:jc w:val="center"/>
                    <w:rPr>
                      <w:rFonts w:ascii="Times New Roman" w:hAnsi="Times New Roman" w:eastAsia="宋体"/>
                      <w:color w:val="auto"/>
                      <w:sz w:val="21"/>
                      <w:szCs w:val="21"/>
                    </w:rPr>
                  </w:pPr>
                  <w:r>
                    <w:rPr>
                      <w:rFonts w:hint="eastAsia" w:ascii="Times New Roman" w:hAnsi="Times New Roman" w:eastAsia="宋体"/>
                      <w:color w:val="auto"/>
                      <w:sz w:val="21"/>
                      <w:szCs w:val="21"/>
                    </w:rPr>
                    <w:t>项目位于中山市南朗镇第一工业区龙基路南燕玻璃马赛克有限公司6#厂房(原玻璃车间)，不</w:t>
                  </w:r>
                  <w:r>
                    <w:rPr>
                      <w:rFonts w:hint="eastAsia" w:ascii="Times New Roman" w:hAnsi="Times New Roman" w:eastAsia="宋体"/>
                      <w:color w:val="auto"/>
                      <w:sz w:val="21"/>
                      <w:szCs w:val="21"/>
                      <w:lang w:val="en-US" w:eastAsia="zh-CN"/>
                    </w:rPr>
                    <w:t>在</w:t>
                  </w:r>
                  <w:r>
                    <w:rPr>
                      <w:rFonts w:hint="eastAsia" w:ascii="Times New Roman" w:hAnsi="Times New Roman" w:eastAsia="宋体"/>
                      <w:color w:val="auto"/>
                      <w:sz w:val="21"/>
                      <w:szCs w:val="21"/>
                    </w:rPr>
                    <w:t>中山崖口地方级湿地公园、中山翠湖地方级湿地公</w:t>
                  </w:r>
                  <w:r>
                    <w:rPr>
                      <w:rFonts w:hint="eastAsia" w:ascii="Times New Roman" w:hAnsi="Times New Roman" w:eastAsia="宋体"/>
                      <w:color w:val="auto"/>
                      <w:sz w:val="21"/>
                      <w:szCs w:val="21"/>
                      <w:lang w:val="en-US" w:eastAsia="zh-CN"/>
                    </w:rPr>
                    <w:t>园、</w:t>
                  </w:r>
                  <w:r>
                    <w:rPr>
                      <w:rFonts w:hint="eastAsia" w:ascii="Times New Roman" w:hAnsi="Times New Roman" w:eastAsia="宋体"/>
                      <w:color w:val="auto"/>
                      <w:sz w:val="21"/>
                      <w:szCs w:val="21"/>
                    </w:rPr>
                    <w:t>广东中山翠亨国家湿地公园</w:t>
                  </w:r>
                  <w:r>
                    <w:rPr>
                      <w:rFonts w:hint="eastAsia"/>
                      <w:color w:val="auto"/>
                      <w:sz w:val="21"/>
                      <w:szCs w:val="21"/>
                      <w:lang w:eastAsia="zh-CN"/>
                    </w:rPr>
                    <w:t>、</w:t>
                  </w:r>
                  <w:r>
                    <w:rPr>
                      <w:rFonts w:hint="eastAsia" w:ascii="Times New Roman" w:hAnsi="Times New Roman" w:eastAsia="宋体"/>
                      <w:color w:val="auto"/>
                      <w:sz w:val="21"/>
                      <w:szCs w:val="21"/>
                    </w:rPr>
                    <w:t>中山香山省级自然保护区范围内。</w:t>
                  </w:r>
                </w:p>
                <w:p w14:paraId="14388751">
                  <w:pPr>
                    <w:pStyle w:val="15"/>
                    <w:jc w:val="left"/>
                    <w:rPr>
                      <w:rFonts w:hint="eastAsia" w:ascii="Times New Roman" w:hAnsi="Times New Roman" w:eastAsia="宋体"/>
                      <w:color w:val="auto"/>
                      <w:sz w:val="21"/>
                      <w:szCs w:val="21"/>
                    </w:rPr>
                  </w:pPr>
                </w:p>
              </w:tc>
              <w:tc>
                <w:tcPr>
                  <w:tcW w:w="325" w:type="pct"/>
                  <w:vMerge w:val="continue"/>
                  <w:vAlign w:val="center"/>
                </w:tcPr>
                <w:p w14:paraId="74E082E7">
                  <w:pPr>
                    <w:pStyle w:val="15"/>
                    <w:jc w:val="left"/>
                    <w:rPr>
                      <w:rFonts w:hint="eastAsia" w:ascii="Times New Roman" w:hAnsi="Times New Roman" w:eastAsia="宋体"/>
                      <w:color w:val="auto"/>
                      <w:sz w:val="21"/>
                      <w:szCs w:val="21"/>
                    </w:rPr>
                  </w:pPr>
                </w:p>
              </w:tc>
            </w:tr>
            <w:tr w14:paraId="317D5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269" w:type="pct"/>
                  <w:vMerge w:val="continue"/>
                  <w:vAlign w:val="center"/>
                </w:tcPr>
                <w:p w14:paraId="39996A37">
                  <w:pPr>
                    <w:pStyle w:val="15"/>
                    <w:jc w:val="left"/>
                    <w:rPr>
                      <w:rFonts w:hint="eastAsia" w:ascii="Times New Roman" w:hAnsi="Times New Roman" w:eastAsia="宋体"/>
                      <w:color w:val="auto"/>
                      <w:sz w:val="21"/>
                      <w:szCs w:val="21"/>
                    </w:rPr>
                  </w:pPr>
                </w:p>
              </w:tc>
              <w:tc>
                <w:tcPr>
                  <w:tcW w:w="815" w:type="pct"/>
                  <w:vMerge w:val="continue"/>
                  <w:vAlign w:val="center"/>
                </w:tcPr>
                <w:p w14:paraId="713B0A71">
                  <w:pPr>
                    <w:pStyle w:val="15"/>
                    <w:jc w:val="left"/>
                    <w:rPr>
                      <w:rFonts w:hint="eastAsia" w:ascii="Times New Roman" w:hAnsi="Times New Roman" w:eastAsia="宋体"/>
                      <w:color w:val="auto"/>
                      <w:sz w:val="21"/>
                      <w:szCs w:val="21"/>
                    </w:rPr>
                  </w:pPr>
                </w:p>
              </w:tc>
              <w:tc>
                <w:tcPr>
                  <w:tcW w:w="2119" w:type="pct"/>
                  <w:vAlign w:val="center"/>
                </w:tcPr>
                <w:p w14:paraId="6CB4FD71">
                  <w:pPr>
                    <w:pStyle w:val="15"/>
                    <w:jc w:val="left"/>
                    <w:rPr>
                      <w:rFonts w:ascii="Times New Roman" w:hAnsi="Times New Roman" w:eastAsia="宋体"/>
                      <w:color w:val="auto"/>
                      <w:sz w:val="21"/>
                      <w:szCs w:val="21"/>
                    </w:rPr>
                  </w:pPr>
                  <w:r>
                    <w:rPr>
                      <w:rFonts w:hint="eastAsia" w:ascii="Times New Roman" w:hAnsi="Times New Roman" w:eastAsia="宋体"/>
                      <w:color w:val="auto"/>
                      <w:sz w:val="21"/>
                      <w:szCs w:val="21"/>
                    </w:rPr>
                    <w:t>1-5. 【生态/限制类】单元内中山云梯山地方级森林公园范围实施严格管控，按照《广东省森林公园管理条例》及其他有关法律法规进行管理。</w:t>
                  </w:r>
                </w:p>
                <w:p w14:paraId="07926A70">
                  <w:pPr>
                    <w:pStyle w:val="15"/>
                    <w:jc w:val="left"/>
                    <w:rPr>
                      <w:rFonts w:hint="eastAsia" w:ascii="Times New Roman" w:hAnsi="Times New Roman" w:eastAsia="宋体"/>
                      <w:color w:val="auto"/>
                      <w:sz w:val="21"/>
                      <w:szCs w:val="21"/>
                    </w:rPr>
                  </w:pPr>
                </w:p>
              </w:tc>
              <w:tc>
                <w:tcPr>
                  <w:tcW w:w="1470" w:type="pct"/>
                  <w:vAlign w:val="center"/>
                </w:tcPr>
                <w:p w14:paraId="54873292">
                  <w:pPr>
                    <w:pStyle w:val="15"/>
                    <w:jc w:val="left"/>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rPr>
                    <w:t>项目</w:t>
                  </w:r>
                  <w:r>
                    <w:rPr>
                      <w:rFonts w:hint="eastAsia" w:ascii="Times New Roman" w:hAnsi="Times New Roman" w:eastAsia="宋体"/>
                      <w:color w:val="auto"/>
                      <w:sz w:val="21"/>
                      <w:szCs w:val="21"/>
                      <w:lang w:val="en-US" w:eastAsia="zh-CN"/>
                    </w:rPr>
                    <w:t>不在</w:t>
                  </w:r>
                  <w:r>
                    <w:rPr>
                      <w:rFonts w:hint="eastAsia" w:ascii="Times New Roman" w:hAnsi="Times New Roman" w:eastAsia="宋体"/>
                      <w:color w:val="auto"/>
                      <w:sz w:val="21"/>
                      <w:szCs w:val="21"/>
                    </w:rPr>
                    <w:t>中山云梯山地方级森林公园</w:t>
                  </w:r>
                  <w:r>
                    <w:rPr>
                      <w:rFonts w:hint="eastAsia" w:ascii="Times New Roman" w:hAnsi="Times New Roman" w:eastAsia="宋体"/>
                      <w:color w:val="auto"/>
                      <w:sz w:val="21"/>
                      <w:szCs w:val="21"/>
                      <w:lang w:val="en-US" w:eastAsia="zh-CN"/>
                    </w:rPr>
                    <w:t>范围内。</w:t>
                  </w:r>
                </w:p>
                <w:p w14:paraId="0EBBED92">
                  <w:pPr>
                    <w:pStyle w:val="15"/>
                    <w:jc w:val="left"/>
                    <w:rPr>
                      <w:rFonts w:hint="eastAsia" w:ascii="Times New Roman" w:hAnsi="Times New Roman" w:eastAsia="宋体"/>
                      <w:color w:val="auto"/>
                      <w:sz w:val="21"/>
                      <w:szCs w:val="21"/>
                    </w:rPr>
                  </w:pPr>
                </w:p>
              </w:tc>
              <w:tc>
                <w:tcPr>
                  <w:tcW w:w="325" w:type="pct"/>
                  <w:vMerge w:val="continue"/>
                  <w:vAlign w:val="center"/>
                </w:tcPr>
                <w:p w14:paraId="07F02076">
                  <w:pPr>
                    <w:pStyle w:val="15"/>
                    <w:jc w:val="left"/>
                    <w:rPr>
                      <w:rFonts w:hint="eastAsia" w:ascii="Times New Roman" w:hAnsi="Times New Roman" w:eastAsia="宋体"/>
                      <w:color w:val="auto"/>
                      <w:sz w:val="21"/>
                      <w:szCs w:val="21"/>
                    </w:rPr>
                  </w:pPr>
                </w:p>
              </w:tc>
            </w:tr>
            <w:tr w14:paraId="540C0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269" w:type="pct"/>
                  <w:vMerge w:val="continue"/>
                  <w:vAlign w:val="center"/>
                </w:tcPr>
                <w:p w14:paraId="4C2EEC7A">
                  <w:pPr>
                    <w:pStyle w:val="15"/>
                    <w:jc w:val="left"/>
                    <w:rPr>
                      <w:rFonts w:hint="eastAsia" w:ascii="Times New Roman" w:hAnsi="Times New Roman" w:eastAsia="宋体"/>
                      <w:color w:val="auto"/>
                      <w:sz w:val="21"/>
                      <w:szCs w:val="21"/>
                    </w:rPr>
                  </w:pPr>
                </w:p>
              </w:tc>
              <w:tc>
                <w:tcPr>
                  <w:tcW w:w="815" w:type="pct"/>
                  <w:vMerge w:val="continue"/>
                  <w:vAlign w:val="center"/>
                </w:tcPr>
                <w:p w14:paraId="52D7EF6F">
                  <w:pPr>
                    <w:pStyle w:val="15"/>
                    <w:jc w:val="left"/>
                    <w:rPr>
                      <w:rFonts w:hint="eastAsia" w:ascii="Times New Roman" w:hAnsi="Times New Roman" w:eastAsia="宋体"/>
                      <w:color w:val="auto"/>
                      <w:sz w:val="21"/>
                      <w:szCs w:val="21"/>
                    </w:rPr>
                  </w:pPr>
                </w:p>
              </w:tc>
              <w:tc>
                <w:tcPr>
                  <w:tcW w:w="2119" w:type="pct"/>
                  <w:vAlign w:val="center"/>
                </w:tcPr>
                <w:p w14:paraId="06DE519B">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1-6. 【生态/综合类】加强对生态空间的保护，生态保护红线、一般生态空间严格按照国家、省有关要求进行管控。单元内属五桂山生态保护区的区域参照执行《中山市五桂山生态保护规划（2020）》分区分级管理。</w:t>
                  </w:r>
                </w:p>
                <w:p w14:paraId="388091E5">
                  <w:pPr>
                    <w:pStyle w:val="15"/>
                    <w:jc w:val="left"/>
                    <w:rPr>
                      <w:rFonts w:hint="eastAsia" w:ascii="Times New Roman" w:hAnsi="Times New Roman" w:eastAsia="宋体"/>
                      <w:color w:val="auto"/>
                      <w:sz w:val="21"/>
                      <w:szCs w:val="21"/>
                    </w:rPr>
                  </w:pPr>
                </w:p>
              </w:tc>
              <w:tc>
                <w:tcPr>
                  <w:tcW w:w="1470" w:type="pct"/>
                  <w:vAlign w:val="center"/>
                </w:tcPr>
                <w:p w14:paraId="7C7F7C89">
                  <w:pPr>
                    <w:pStyle w:val="15"/>
                    <w:jc w:val="center"/>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rPr>
                    <w:t>项目不</w:t>
                  </w:r>
                  <w:r>
                    <w:rPr>
                      <w:rFonts w:hint="eastAsia" w:ascii="Times New Roman" w:hAnsi="Times New Roman" w:eastAsia="宋体"/>
                      <w:color w:val="auto"/>
                      <w:sz w:val="21"/>
                      <w:szCs w:val="21"/>
                      <w:lang w:val="en-US" w:eastAsia="zh-CN"/>
                    </w:rPr>
                    <w:t>在</w:t>
                  </w:r>
                  <w:r>
                    <w:rPr>
                      <w:rFonts w:hint="eastAsia" w:ascii="Times New Roman" w:hAnsi="Times New Roman" w:eastAsia="宋体"/>
                      <w:color w:val="auto"/>
                      <w:sz w:val="21"/>
                      <w:szCs w:val="21"/>
                    </w:rPr>
                    <w:t>五桂山生态保护区的区域</w:t>
                  </w:r>
                  <w:r>
                    <w:rPr>
                      <w:rFonts w:hint="eastAsia" w:ascii="Times New Roman" w:hAnsi="Times New Roman" w:eastAsia="宋体"/>
                      <w:color w:val="auto"/>
                      <w:sz w:val="21"/>
                      <w:szCs w:val="21"/>
                      <w:lang w:val="en-US" w:eastAsia="zh-CN"/>
                    </w:rPr>
                    <w:t>内。</w:t>
                  </w:r>
                </w:p>
                <w:p w14:paraId="77825FF2">
                  <w:pPr>
                    <w:pStyle w:val="15"/>
                    <w:jc w:val="left"/>
                    <w:rPr>
                      <w:rFonts w:hint="eastAsia" w:ascii="Times New Roman" w:hAnsi="Times New Roman" w:eastAsia="宋体"/>
                      <w:color w:val="auto"/>
                      <w:sz w:val="21"/>
                      <w:szCs w:val="21"/>
                    </w:rPr>
                  </w:pPr>
                </w:p>
              </w:tc>
              <w:tc>
                <w:tcPr>
                  <w:tcW w:w="325" w:type="pct"/>
                  <w:vMerge w:val="continue"/>
                  <w:vAlign w:val="center"/>
                </w:tcPr>
                <w:p w14:paraId="0328EB5A">
                  <w:pPr>
                    <w:pStyle w:val="15"/>
                    <w:jc w:val="left"/>
                    <w:rPr>
                      <w:rFonts w:hint="eastAsia" w:ascii="Times New Roman" w:hAnsi="Times New Roman" w:eastAsia="宋体"/>
                      <w:color w:val="auto"/>
                      <w:sz w:val="21"/>
                      <w:szCs w:val="21"/>
                    </w:rPr>
                  </w:pPr>
                </w:p>
              </w:tc>
            </w:tr>
            <w:tr w14:paraId="0657A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9" w:type="pct"/>
                  <w:vMerge w:val="continue"/>
                  <w:vAlign w:val="center"/>
                </w:tcPr>
                <w:p w14:paraId="00CA9D32">
                  <w:pPr>
                    <w:pStyle w:val="15"/>
                    <w:jc w:val="left"/>
                    <w:rPr>
                      <w:rFonts w:hint="eastAsia" w:ascii="Times New Roman" w:hAnsi="Times New Roman" w:eastAsia="宋体"/>
                      <w:color w:val="auto"/>
                      <w:sz w:val="21"/>
                      <w:szCs w:val="21"/>
                    </w:rPr>
                  </w:pPr>
                </w:p>
              </w:tc>
              <w:tc>
                <w:tcPr>
                  <w:tcW w:w="815" w:type="pct"/>
                  <w:vMerge w:val="continue"/>
                  <w:vAlign w:val="center"/>
                </w:tcPr>
                <w:p w14:paraId="6F9E9235">
                  <w:pPr>
                    <w:pStyle w:val="15"/>
                    <w:jc w:val="left"/>
                    <w:rPr>
                      <w:rFonts w:hint="eastAsia" w:ascii="Times New Roman" w:hAnsi="Times New Roman" w:eastAsia="宋体"/>
                      <w:color w:val="auto"/>
                      <w:sz w:val="21"/>
                      <w:szCs w:val="21"/>
                    </w:rPr>
                  </w:pPr>
                </w:p>
              </w:tc>
              <w:tc>
                <w:tcPr>
                  <w:tcW w:w="2119" w:type="pct"/>
                  <w:vAlign w:val="center"/>
                </w:tcPr>
                <w:p w14:paraId="6A2C604F">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1-7. 【水/鼓励引导类】未达到水质目标的饮用水水源保护区、重要水库汇水区等敏感区域要建设生态沟渠、污水净化塘、地表径流集蓄池等设施，净化农田排水及地表径流。</w:t>
                  </w:r>
                </w:p>
                <w:p w14:paraId="39EDA77A">
                  <w:pPr>
                    <w:pStyle w:val="15"/>
                    <w:jc w:val="left"/>
                    <w:rPr>
                      <w:rFonts w:ascii="Times New Roman" w:hAnsi="Times New Roman" w:eastAsia="宋体"/>
                      <w:color w:val="auto"/>
                      <w:sz w:val="21"/>
                      <w:szCs w:val="21"/>
                    </w:rPr>
                  </w:pPr>
                  <w:r>
                    <w:rPr>
                      <w:rFonts w:hint="eastAsia" w:ascii="Times New Roman" w:hAnsi="Times New Roman" w:eastAsia="宋体"/>
                      <w:color w:val="auto"/>
                      <w:sz w:val="21"/>
                      <w:szCs w:val="21"/>
                    </w:rPr>
                    <w:t>1-8. 【水/禁止类】单元内莲花地水库、横迳水库饮用水水源一级保护区和二级保护区以及长江水库二级保护区内，按照《中华人民共和国水污染防治法》《广东省水污染防治条例》等相关法律法规实施管理。禁止在饮用水水源一级保护区内新建、改建、扩建与供水设施和保护水源无关的建设项目，禁止在饮用水水源二级保护区内新建、改建、扩建排放污染物的建设项目。</w:t>
                  </w:r>
                </w:p>
                <w:p w14:paraId="4589ED11">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1-9. 【水/限制类】严格限制重要水库集雨区与水源涵养区域变更土地利用方式。</w:t>
                  </w:r>
                </w:p>
              </w:tc>
              <w:tc>
                <w:tcPr>
                  <w:tcW w:w="1470" w:type="pct"/>
                  <w:vAlign w:val="center"/>
                </w:tcPr>
                <w:p w14:paraId="165931A4">
                  <w:pPr>
                    <w:pStyle w:val="15"/>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项目不涉及饮用水水源保护区、重要水库汇水区等敏感区域</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不位于莲花地水库</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横迳水库饮用水水源一级保护区和二级保护区内以及</w:t>
                  </w:r>
                  <w:r>
                    <w:rPr>
                      <w:rFonts w:hint="eastAsia" w:ascii="Times New Roman" w:hAnsi="Times New Roman" w:eastAsia="宋体"/>
                      <w:color w:val="auto"/>
                      <w:sz w:val="21"/>
                      <w:szCs w:val="21"/>
                      <w:lang w:val="en-US" w:eastAsia="zh-CN"/>
                    </w:rPr>
                    <w:t>长江</w:t>
                  </w:r>
                  <w:r>
                    <w:rPr>
                      <w:rFonts w:hint="eastAsia" w:ascii="Times New Roman" w:hAnsi="Times New Roman" w:eastAsia="宋体"/>
                      <w:color w:val="auto"/>
                      <w:sz w:val="21"/>
                      <w:szCs w:val="21"/>
                    </w:rPr>
                    <w:t>水库</w:t>
                  </w:r>
                  <w:r>
                    <w:rPr>
                      <w:rFonts w:hint="eastAsia" w:ascii="Times New Roman" w:hAnsi="Times New Roman" w:eastAsia="宋体"/>
                      <w:color w:val="auto"/>
                      <w:sz w:val="21"/>
                      <w:szCs w:val="21"/>
                      <w:lang w:val="en-US" w:eastAsia="zh-CN"/>
                    </w:rPr>
                    <w:t>二</w:t>
                  </w:r>
                  <w:r>
                    <w:rPr>
                      <w:rFonts w:hint="eastAsia" w:ascii="Times New Roman" w:hAnsi="Times New Roman" w:eastAsia="宋体"/>
                      <w:color w:val="auto"/>
                      <w:sz w:val="21"/>
                      <w:szCs w:val="21"/>
                    </w:rPr>
                    <w:t>级保护区内</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不属于重要水库集雨区与水源涵养区域</w:t>
                  </w:r>
                  <w:r>
                    <w:rPr>
                      <w:rFonts w:hint="eastAsia" w:ascii="Times New Roman" w:hAnsi="Times New Roman" w:eastAsia="宋体"/>
                      <w:color w:val="auto"/>
                      <w:sz w:val="21"/>
                      <w:szCs w:val="21"/>
                      <w:lang w:eastAsia="zh-CN"/>
                    </w:rPr>
                    <w:t>。</w:t>
                  </w:r>
                </w:p>
                <w:p w14:paraId="3F7E7F30">
                  <w:pPr>
                    <w:pStyle w:val="15"/>
                    <w:jc w:val="center"/>
                    <w:rPr>
                      <w:rFonts w:hint="eastAsia" w:ascii="Times New Roman" w:hAnsi="Times New Roman" w:eastAsia="宋体"/>
                      <w:color w:val="auto"/>
                      <w:sz w:val="21"/>
                      <w:szCs w:val="21"/>
                    </w:rPr>
                  </w:pPr>
                </w:p>
                <w:p w14:paraId="58C8E11A">
                  <w:pPr>
                    <w:pStyle w:val="15"/>
                    <w:jc w:val="center"/>
                    <w:rPr>
                      <w:rFonts w:ascii="Times New Roman" w:hAnsi="Times New Roman" w:eastAsia="宋体"/>
                      <w:color w:val="auto"/>
                      <w:sz w:val="21"/>
                      <w:szCs w:val="21"/>
                    </w:rPr>
                  </w:pPr>
                </w:p>
                <w:p w14:paraId="715FC405">
                  <w:pPr>
                    <w:pStyle w:val="15"/>
                    <w:jc w:val="left"/>
                    <w:rPr>
                      <w:rFonts w:hint="eastAsia" w:ascii="Times New Roman" w:hAnsi="Times New Roman" w:eastAsia="宋体"/>
                      <w:color w:val="auto"/>
                      <w:sz w:val="21"/>
                      <w:szCs w:val="21"/>
                    </w:rPr>
                  </w:pPr>
                </w:p>
              </w:tc>
              <w:tc>
                <w:tcPr>
                  <w:tcW w:w="325" w:type="pct"/>
                  <w:vMerge w:val="continue"/>
                  <w:vAlign w:val="center"/>
                </w:tcPr>
                <w:p w14:paraId="72CFEA54">
                  <w:pPr>
                    <w:pStyle w:val="15"/>
                    <w:jc w:val="left"/>
                    <w:rPr>
                      <w:rFonts w:hint="eastAsia" w:ascii="Times New Roman" w:hAnsi="Times New Roman" w:eastAsia="宋体"/>
                      <w:color w:val="auto"/>
                      <w:sz w:val="21"/>
                      <w:szCs w:val="21"/>
                    </w:rPr>
                  </w:pPr>
                </w:p>
              </w:tc>
            </w:tr>
            <w:tr w14:paraId="79137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9" w:type="pct"/>
                  <w:vMerge w:val="continue"/>
                  <w:vAlign w:val="center"/>
                </w:tcPr>
                <w:p w14:paraId="53B6D4C7">
                  <w:pPr>
                    <w:pStyle w:val="15"/>
                    <w:jc w:val="left"/>
                    <w:rPr>
                      <w:color w:val="auto"/>
                      <w:sz w:val="21"/>
                      <w:szCs w:val="21"/>
                    </w:rPr>
                  </w:pPr>
                </w:p>
              </w:tc>
              <w:tc>
                <w:tcPr>
                  <w:tcW w:w="815" w:type="pct"/>
                  <w:vMerge w:val="continue"/>
                  <w:vAlign w:val="center"/>
                </w:tcPr>
                <w:p w14:paraId="77577343">
                  <w:pPr>
                    <w:pStyle w:val="15"/>
                    <w:jc w:val="left"/>
                    <w:rPr>
                      <w:color w:val="auto"/>
                      <w:sz w:val="21"/>
                      <w:szCs w:val="21"/>
                    </w:rPr>
                  </w:pPr>
                </w:p>
              </w:tc>
              <w:tc>
                <w:tcPr>
                  <w:tcW w:w="2119" w:type="pct"/>
                  <w:vAlign w:val="center"/>
                </w:tcPr>
                <w:p w14:paraId="4C829936">
                  <w:pPr>
                    <w:pStyle w:val="15"/>
                    <w:jc w:val="left"/>
                    <w:rPr>
                      <w:rFonts w:ascii="Times New Roman" w:hAnsi="Times New Roman" w:eastAsia="宋体"/>
                      <w:color w:val="auto"/>
                      <w:sz w:val="21"/>
                      <w:szCs w:val="21"/>
                    </w:rPr>
                  </w:pPr>
                  <w:r>
                    <w:rPr>
                      <w:rFonts w:hint="eastAsia" w:ascii="Times New Roman" w:hAnsi="Times New Roman" w:eastAsia="宋体"/>
                      <w:color w:val="auto"/>
                      <w:sz w:val="21"/>
                      <w:szCs w:val="21"/>
                    </w:rPr>
                    <w:t>1-10. 【大气/禁止类】环境空气质量一类功能区实施严格保护，禁止新建、扩建大气污染物排放工业项目（国家和省规定不纳入环评管理的项目除外）。</w:t>
                  </w:r>
                </w:p>
                <w:p w14:paraId="52FAB6FD">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1-11. 【大气/限制类】原则上不再审批或备案新建、扩建涉使用非低（无）VOCs涂料、油墨、胶粘剂原辅材料的工业类项目，相关豁免情形除外。</w:t>
                  </w:r>
                </w:p>
              </w:tc>
              <w:tc>
                <w:tcPr>
                  <w:tcW w:w="1470" w:type="pct"/>
                  <w:vAlign w:val="center"/>
                </w:tcPr>
                <w:p w14:paraId="10FB6179">
                  <w:pPr>
                    <w:pStyle w:val="15"/>
                    <w:jc w:val="left"/>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rPr>
                    <w:t>项目</w:t>
                  </w:r>
                  <w:r>
                    <w:rPr>
                      <w:rFonts w:hint="eastAsia" w:ascii="Times New Roman" w:hAnsi="Times New Roman" w:eastAsia="宋体"/>
                      <w:color w:val="auto"/>
                      <w:sz w:val="21"/>
                      <w:szCs w:val="21"/>
                      <w:lang w:val="en-US" w:eastAsia="zh-CN"/>
                    </w:rPr>
                    <w:t>位于南朗镇</w:t>
                  </w:r>
                  <w:r>
                    <w:rPr>
                      <w:rFonts w:hint="eastAsia" w:ascii="Times New Roman" w:hAnsi="Times New Roman" w:cs="AdobeSongStd-Light-Acro"/>
                      <w:color w:val="auto"/>
                      <w:kern w:val="0"/>
                      <w:sz w:val="21"/>
                      <w:szCs w:val="21"/>
                    </w:rPr>
                    <w:t xml:space="preserve">第一工业区龙基路南燕玻璃马赛克有限公司6#厂房(原玻璃车间) </w:t>
                  </w:r>
                  <w:r>
                    <w:rPr>
                      <w:rFonts w:hint="eastAsia" w:ascii="Times New Roman" w:hAnsi="Times New Roman" w:eastAsia="宋体"/>
                      <w:color w:val="auto"/>
                      <w:sz w:val="21"/>
                      <w:szCs w:val="21"/>
                      <w:lang w:val="en-US" w:eastAsia="zh-CN"/>
                    </w:rPr>
                    <w:t>，</w:t>
                  </w:r>
                  <w:r>
                    <w:rPr>
                      <w:rFonts w:hint="eastAsia" w:ascii="Times New Roman" w:hAnsi="Times New Roman" w:eastAsia="宋体"/>
                      <w:color w:val="auto"/>
                      <w:sz w:val="21"/>
                      <w:szCs w:val="21"/>
                    </w:rPr>
                    <w:t>不</w:t>
                  </w:r>
                  <w:r>
                    <w:rPr>
                      <w:rFonts w:hint="eastAsia" w:ascii="Times New Roman" w:hAnsi="Times New Roman" w:eastAsia="宋体"/>
                      <w:color w:val="auto"/>
                      <w:sz w:val="21"/>
                      <w:szCs w:val="21"/>
                      <w:lang w:val="en-US" w:eastAsia="zh-CN"/>
                    </w:rPr>
                    <w:t>属于</w:t>
                  </w:r>
                  <w:r>
                    <w:rPr>
                      <w:rFonts w:hint="eastAsia" w:ascii="Times New Roman" w:hAnsi="Times New Roman" w:eastAsia="宋体"/>
                      <w:color w:val="auto"/>
                      <w:sz w:val="21"/>
                      <w:szCs w:val="21"/>
                    </w:rPr>
                    <w:t>环境空气质量一类功能区</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不涉及</w:t>
                  </w:r>
                  <w:r>
                    <w:rPr>
                      <w:rFonts w:hint="eastAsia" w:ascii="Times New Roman" w:hAnsi="Times New Roman" w:eastAsia="宋体"/>
                      <w:color w:val="auto"/>
                      <w:sz w:val="21"/>
                      <w:szCs w:val="21"/>
                    </w:rPr>
                    <w:t>使用非低（无）VOCs油墨、胶粘剂原辅材料</w:t>
                  </w:r>
                  <w:r>
                    <w:rPr>
                      <w:rFonts w:hint="eastAsia" w:ascii="Times New Roman" w:hAnsi="Times New Roman" w:eastAsia="宋体"/>
                      <w:color w:val="auto"/>
                      <w:sz w:val="21"/>
                      <w:szCs w:val="21"/>
                      <w:lang w:eastAsia="zh-CN"/>
                    </w:rPr>
                    <w:t>。</w:t>
                  </w:r>
                  <w:r>
                    <w:rPr>
                      <w:rFonts w:hint="eastAsia"/>
                      <w:color w:val="auto"/>
                      <w:sz w:val="21"/>
                      <w:szCs w:val="21"/>
                      <w:lang w:val="en-US" w:eastAsia="zh-CN"/>
                    </w:rPr>
                    <w:t>根据《低挥发性有机化合物含量涂料产品技术要求》（GB/T 38597-2020）8.1粉末涂料、无机建筑涂料（含建筑无机粉体涂装材料）、建筑用有机粉体涂料产品中VOC含量通常很少，属于低挥发性有机化合物含量涂料产品，故本项目使用粉末涂料为低</w:t>
                  </w:r>
                  <w:r>
                    <w:rPr>
                      <w:rFonts w:hint="eastAsia"/>
                      <w:color w:val="auto"/>
                      <w:sz w:val="21"/>
                      <w:szCs w:val="21"/>
                    </w:rPr>
                    <w:t>VOCs含量涂料</w:t>
                  </w:r>
                  <w:r>
                    <w:rPr>
                      <w:rFonts w:hint="eastAsia"/>
                      <w:color w:val="auto"/>
                      <w:sz w:val="21"/>
                      <w:szCs w:val="21"/>
                      <w:lang w:eastAsia="zh-CN"/>
                    </w:rPr>
                    <w:t>。</w:t>
                  </w:r>
                </w:p>
                <w:p w14:paraId="11BDDB30">
                  <w:pPr>
                    <w:pStyle w:val="15"/>
                    <w:jc w:val="center"/>
                    <w:rPr>
                      <w:rFonts w:ascii="Times New Roman" w:hAnsi="Times New Roman" w:eastAsia="宋体"/>
                      <w:color w:val="auto"/>
                      <w:sz w:val="21"/>
                      <w:szCs w:val="21"/>
                    </w:rPr>
                  </w:pPr>
                </w:p>
                <w:p w14:paraId="58328A08">
                  <w:pPr>
                    <w:pStyle w:val="15"/>
                    <w:jc w:val="left"/>
                    <w:rPr>
                      <w:rFonts w:hint="eastAsia" w:ascii="Times New Roman" w:hAnsi="Times New Roman" w:eastAsia="宋体"/>
                      <w:color w:val="auto"/>
                      <w:sz w:val="21"/>
                      <w:szCs w:val="21"/>
                    </w:rPr>
                  </w:pPr>
                </w:p>
              </w:tc>
              <w:tc>
                <w:tcPr>
                  <w:tcW w:w="325" w:type="pct"/>
                  <w:vMerge w:val="continue"/>
                  <w:vAlign w:val="center"/>
                </w:tcPr>
                <w:p w14:paraId="25DFBBA6">
                  <w:pPr>
                    <w:pStyle w:val="15"/>
                    <w:jc w:val="left"/>
                    <w:rPr>
                      <w:rFonts w:hint="eastAsia" w:ascii="Times New Roman" w:hAnsi="Times New Roman" w:eastAsia="宋体"/>
                      <w:color w:val="auto"/>
                      <w:sz w:val="21"/>
                      <w:szCs w:val="21"/>
                    </w:rPr>
                  </w:pPr>
                </w:p>
              </w:tc>
            </w:tr>
            <w:tr w14:paraId="2319C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69" w:type="pct"/>
                  <w:vMerge w:val="continue"/>
                  <w:vAlign w:val="center"/>
                </w:tcPr>
                <w:p w14:paraId="0BE2E897">
                  <w:pPr>
                    <w:pStyle w:val="15"/>
                    <w:jc w:val="left"/>
                    <w:rPr>
                      <w:rFonts w:hint="eastAsia" w:ascii="Times New Roman" w:hAnsi="Times New Roman" w:eastAsia="宋体"/>
                      <w:color w:val="auto"/>
                      <w:sz w:val="21"/>
                      <w:szCs w:val="21"/>
                    </w:rPr>
                  </w:pPr>
                </w:p>
              </w:tc>
              <w:tc>
                <w:tcPr>
                  <w:tcW w:w="815" w:type="pct"/>
                  <w:vMerge w:val="continue"/>
                  <w:vAlign w:val="center"/>
                </w:tcPr>
                <w:p w14:paraId="61E0968D">
                  <w:pPr>
                    <w:pStyle w:val="15"/>
                    <w:jc w:val="left"/>
                    <w:rPr>
                      <w:rFonts w:hint="eastAsia" w:ascii="Times New Roman" w:hAnsi="Times New Roman" w:eastAsia="宋体"/>
                      <w:color w:val="auto"/>
                      <w:sz w:val="21"/>
                      <w:szCs w:val="21"/>
                    </w:rPr>
                  </w:pPr>
                </w:p>
              </w:tc>
              <w:tc>
                <w:tcPr>
                  <w:tcW w:w="2119" w:type="pct"/>
                  <w:vAlign w:val="center"/>
                </w:tcPr>
                <w:p w14:paraId="1EDB86A3">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1-12. 【土壤/综合类】禁止在农用地优先保护区域建设重点行业项目，严格控制优先保护区域周边新建重点行业项目，已建成的项目应严格做好污染治理和风险管控措施，积极采用新技术、新工艺，加快提标升级改造，防控土壤污染。</w:t>
                  </w:r>
                </w:p>
                <w:p w14:paraId="19DF12A4">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1-13. 【土壤/限制类】建设用地地块用途变更为住宅、公共管理与公共服务用地时，变更前应当按照规定进行土壤污染状况调查。</w:t>
                  </w:r>
                </w:p>
              </w:tc>
              <w:tc>
                <w:tcPr>
                  <w:tcW w:w="1470" w:type="pct"/>
                  <w:vAlign w:val="center"/>
                </w:tcPr>
                <w:p w14:paraId="7EB744E1">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项目选址不位于农用地优先保护区域</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不涉及建设用地地块用途变更情况。</w:t>
                  </w:r>
                </w:p>
              </w:tc>
              <w:tc>
                <w:tcPr>
                  <w:tcW w:w="325" w:type="pct"/>
                  <w:vMerge w:val="continue"/>
                  <w:vAlign w:val="center"/>
                </w:tcPr>
                <w:p w14:paraId="76FE5880">
                  <w:pPr>
                    <w:pStyle w:val="15"/>
                    <w:jc w:val="left"/>
                    <w:rPr>
                      <w:rFonts w:hint="eastAsia" w:ascii="Times New Roman" w:hAnsi="Times New Roman" w:eastAsia="宋体"/>
                      <w:color w:val="auto"/>
                      <w:sz w:val="21"/>
                      <w:szCs w:val="21"/>
                    </w:rPr>
                  </w:pPr>
                </w:p>
              </w:tc>
            </w:tr>
            <w:tr w14:paraId="38166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Merge w:val="continue"/>
                  <w:vAlign w:val="center"/>
                </w:tcPr>
                <w:p w14:paraId="10A3718C">
                  <w:pPr>
                    <w:pStyle w:val="15"/>
                    <w:jc w:val="center"/>
                    <w:rPr>
                      <w:rFonts w:ascii="Times New Roman" w:hAnsi="Times New Roman" w:eastAsia="宋体"/>
                      <w:color w:val="auto"/>
                      <w:sz w:val="21"/>
                      <w:szCs w:val="21"/>
                    </w:rPr>
                  </w:pPr>
                </w:p>
              </w:tc>
              <w:tc>
                <w:tcPr>
                  <w:tcW w:w="815" w:type="pct"/>
                  <w:vMerge w:val="continue"/>
                  <w:vAlign w:val="center"/>
                </w:tcPr>
                <w:p w14:paraId="13BF14A8">
                  <w:pPr>
                    <w:pStyle w:val="15"/>
                    <w:jc w:val="center"/>
                    <w:rPr>
                      <w:rFonts w:ascii="Times New Roman" w:hAnsi="Times New Roman" w:eastAsia="宋体"/>
                      <w:color w:val="auto"/>
                      <w:sz w:val="21"/>
                      <w:szCs w:val="21"/>
                    </w:rPr>
                  </w:pPr>
                </w:p>
              </w:tc>
              <w:tc>
                <w:tcPr>
                  <w:tcW w:w="2119" w:type="pct"/>
                  <w:vAlign w:val="center"/>
                </w:tcPr>
                <w:p w14:paraId="17DDB4F9">
                  <w:pPr>
                    <w:pStyle w:val="15"/>
                    <w:jc w:val="both"/>
                    <w:rPr>
                      <w:rFonts w:hint="eastAsia" w:ascii="Times New Roman" w:hAnsi="Times New Roman" w:eastAsia="宋体"/>
                      <w:color w:val="auto"/>
                      <w:sz w:val="21"/>
                      <w:szCs w:val="21"/>
                    </w:rPr>
                  </w:pPr>
                  <w:r>
                    <w:rPr>
                      <w:rFonts w:hint="eastAsia" w:ascii="Times New Roman" w:hAnsi="Times New Roman" w:eastAsia="宋体"/>
                      <w:color w:val="auto"/>
                      <w:sz w:val="21"/>
                      <w:szCs w:val="21"/>
                    </w:rPr>
                    <w:t>能源资源利用：</w:t>
                  </w:r>
                </w:p>
                <w:p w14:paraId="427D862F">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2-1. 【能源/鼓励引导类】鼓励翠亨新区开展近零碳排放示范区及低碳社区建设相关工作。</w:t>
                  </w:r>
                </w:p>
                <w:p w14:paraId="72B77EEE">
                  <w:pPr>
                    <w:pStyle w:val="15"/>
                    <w:jc w:val="center"/>
                    <w:rPr>
                      <w:rFonts w:ascii="Times New Roman" w:hAnsi="Times New Roman" w:eastAsia="宋体"/>
                      <w:color w:val="auto"/>
                      <w:sz w:val="21"/>
                      <w:szCs w:val="21"/>
                    </w:rPr>
                  </w:pPr>
                  <w:r>
                    <w:rPr>
                      <w:rFonts w:hint="eastAsia" w:ascii="Times New Roman" w:hAnsi="Times New Roman" w:eastAsia="宋体"/>
                      <w:color w:val="auto"/>
                      <w:sz w:val="21"/>
                      <w:szCs w:val="21"/>
                    </w:rPr>
                    <w:t>2-2. 【能源/限制类】①提高资源能源利用效率，推行清洁生产，对于国家已颁布清洁生产标准及清洁生产评价指标体系的行业，新建、改建、扩建项目均要达到行业清洁生产先进水平。②集中供热区域内达到供热条件的企业不再建设分散供热锅炉。③新建锅炉、炉窑只允许使用天然气、液化石油气、电及其它可再生能源。燃用生物质成型燃料的锅炉、炉窑须配套专用燃烧设备。</w:t>
                  </w:r>
                </w:p>
              </w:tc>
              <w:tc>
                <w:tcPr>
                  <w:tcW w:w="1470" w:type="pct"/>
                  <w:vAlign w:val="center"/>
                </w:tcPr>
                <w:p w14:paraId="3707CB0C">
                  <w:pPr>
                    <w:pStyle w:val="15"/>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rPr>
                    <w:t>项目新建</w:t>
                  </w:r>
                  <w:r>
                    <w:rPr>
                      <w:rFonts w:hint="eastAsia" w:ascii="Times New Roman" w:hAnsi="Times New Roman" w:eastAsia="宋体"/>
                      <w:color w:val="auto"/>
                      <w:sz w:val="21"/>
                      <w:szCs w:val="21"/>
                      <w:lang w:val="en-US"/>
                    </w:rPr>
                    <w:t>炉窑耗能</w:t>
                  </w:r>
                  <w:r>
                    <w:rPr>
                      <w:rFonts w:hint="eastAsia" w:ascii="Times New Roman" w:hAnsi="Times New Roman" w:eastAsia="宋体"/>
                      <w:color w:val="auto"/>
                      <w:sz w:val="21"/>
                      <w:szCs w:val="21"/>
                    </w:rPr>
                    <w:t>为</w:t>
                  </w:r>
                  <w:r>
                    <w:rPr>
                      <w:rFonts w:hint="eastAsia" w:ascii="Times New Roman" w:hAnsi="Times New Roman" w:eastAsia="宋体"/>
                      <w:color w:val="auto"/>
                      <w:sz w:val="21"/>
                      <w:szCs w:val="21"/>
                      <w:lang w:val="en-US"/>
                    </w:rPr>
                    <w:t>液化石油气，</w:t>
                  </w:r>
                  <w:r>
                    <w:rPr>
                      <w:rStyle w:val="45"/>
                      <w:rFonts w:hint="eastAsia" w:ascii="Times New Roman" w:hAnsi="Times New Roman" w:eastAsia="宋体"/>
                      <w:color w:val="auto"/>
                      <w:kern w:val="2"/>
                      <w:sz w:val="21"/>
                      <w:szCs w:val="21"/>
                      <w:lang w:val="en-US" w:eastAsia="zh-CN"/>
                    </w:rPr>
                    <w:t>其他生产设备能耗均为电能。</w:t>
                  </w:r>
                </w:p>
              </w:tc>
              <w:tc>
                <w:tcPr>
                  <w:tcW w:w="325" w:type="pct"/>
                  <w:vMerge w:val="restart"/>
                  <w:vAlign w:val="center"/>
                </w:tcPr>
                <w:p w14:paraId="3D867536">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r w14:paraId="71D7D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0" w:hRule="atLeast"/>
              </w:trPr>
              <w:tc>
                <w:tcPr>
                  <w:tcW w:w="269" w:type="pct"/>
                  <w:vMerge w:val="continue"/>
                  <w:vAlign w:val="center"/>
                </w:tcPr>
                <w:p w14:paraId="6D93625A">
                  <w:pPr>
                    <w:pStyle w:val="15"/>
                    <w:jc w:val="center"/>
                    <w:rPr>
                      <w:rFonts w:ascii="Times New Roman" w:hAnsi="Times New Roman" w:eastAsia="宋体"/>
                      <w:color w:val="auto"/>
                      <w:sz w:val="21"/>
                      <w:szCs w:val="21"/>
                    </w:rPr>
                  </w:pPr>
                </w:p>
              </w:tc>
              <w:tc>
                <w:tcPr>
                  <w:tcW w:w="815" w:type="pct"/>
                  <w:vMerge w:val="continue"/>
                  <w:vAlign w:val="center"/>
                </w:tcPr>
                <w:p w14:paraId="56E933E2">
                  <w:pPr>
                    <w:pStyle w:val="15"/>
                    <w:jc w:val="center"/>
                    <w:rPr>
                      <w:rFonts w:ascii="Times New Roman" w:hAnsi="Times New Roman" w:eastAsia="宋体"/>
                      <w:color w:val="auto"/>
                      <w:sz w:val="21"/>
                      <w:szCs w:val="21"/>
                    </w:rPr>
                  </w:pPr>
                </w:p>
              </w:tc>
              <w:tc>
                <w:tcPr>
                  <w:tcW w:w="2119" w:type="pct"/>
                  <w:vAlign w:val="center"/>
                </w:tcPr>
                <w:p w14:paraId="553E1072">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污染物排放管控：</w:t>
                  </w:r>
                </w:p>
                <w:p w14:paraId="2D08A16F">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3-1. 【水/鼓励引导类】全力推进南朗街道流域未达标水体综合整治工程，零星分布、距离污水管网较远的行政村，可结合实际情况建设分散式污水处理设施。</w:t>
                  </w:r>
                </w:p>
                <w:p w14:paraId="6E7FBCB5">
                  <w:pPr>
                    <w:pStyle w:val="15"/>
                    <w:jc w:val="left"/>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3-2. 【水/限制类】涉新增化学需氧量、氨氮排放的项目，原则上实行等量替代，若上一年度水环境质量未达到要求，须实行两倍削减替代。</w:t>
                  </w:r>
                </w:p>
              </w:tc>
              <w:tc>
                <w:tcPr>
                  <w:tcW w:w="1470" w:type="pct"/>
                  <w:vAlign w:val="center"/>
                </w:tcPr>
                <w:p w14:paraId="025AE49C">
                  <w:pPr>
                    <w:pStyle w:val="15"/>
                    <w:jc w:val="center"/>
                    <w:rPr>
                      <w:rFonts w:ascii="Times New Roman" w:hAnsi="Times New Roman" w:eastAsia="宋体"/>
                      <w:color w:val="auto"/>
                      <w:sz w:val="21"/>
                      <w:szCs w:val="21"/>
                      <w:lang w:val="en-US"/>
                    </w:rPr>
                  </w:pPr>
                  <w:r>
                    <w:rPr>
                      <w:rFonts w:hint="eastAsia" w:ascii="Times New Roman" w:hAnsi="Times New Roman" w:eastAsia="宋体"/>
                      <w:color w:val="auto"/>
                      <w:sz w:val="21"/>
                      <w:szCs w:val="21"/>
                      <w:u w:val="none"/>
                    </w:rPr>
                    <w:t>项目生活污水</w:t>
                  </w:r>
                  <w:r>
                    <w:rPr>
                      <w:rFonts w:hint="eastAsia" w:ascii="Times New Roman" w:hAnsi="Times New Roman" w:eastAsia="宋体"/>
                      <w:color w:val="auto"/>
                      <w:sz w:val="21"/>
                      <w:szCs w:val="21"/>
                      <w:u w:val="none"/>
                      <w:lang w:eastAsia="zh-CN"/>
                    </w:rPr>
                    <w:t>经预处理达标后经市政管网</w:t>
                  </w:r>
                  <w:r>
                    <w:rPr>
                      <w:rFonts w:hint="eastAsia"/>
                      <w:color w:val="auto"/>
                      <w:sz w:val="21"/>
                      <w:szCs w:val="21"/>
                      <w:u w:val="none"/>
                      <w:lang w:val="en-US" w:eastAsia="zh-CN"/>
                    </w:rPr>
                    <w:t>进</w:t>
                  </w:r>
                  <w:r>
                    <w:rPr>
                      <w:rFonts w:hint="eastAsia" w:ascii="Times New Roman" w:hAnsi="Times New Roman" w:eastAsia="宋体"/>
                      <w:color w:val="auto"/>
                      <w:sz w:val="21"/>
                      <w:szCs w:val="21"/>
                      <w:u w:val="none"/>
                      <w:lang w:eastAsia="zh-CN"/>
                    </w:rPr>
                    <w:t>入</w:t>
                  </w:r>
                  <w:r>
                    <w:rPr>
                      <w:rFonts w:hint="eastAsia" w:ascii="Times New Roman" w:hAnsi="Times New Roman" w:eastAsia="宋体"/>
                      <w:color w:val="auto"/>
                      <w:sz w:val="21"/>
                      <w:szCs w:val="21"/>
                      <w:u w:val="none"/>
                    </w:rPr>
                    <w:t>南朗</w:t>
                  </w:r>
                  <w:r>
                    <w:rPr>
                      <w:rFonts w:hint="eastAsia" w:ascii="Times New Roman" w:hAnsi="Times New Roman" w:eastAsia="宋体"/>
                      <w:color w:val="auto"/>
                      <w:sz w:val="21"/>
                      <w:szCs w:val="21"/>
                      <w:u w:val="none"/>
                      <w:lang w:val="en-US" w:eastAsia="zh-CN"/>
                    </w:rPr>
                    <w:t>横门污水处理</w:t>
                  </w:r>
                  <w:r>
                    <w:rPr>
                      <w:rFonts w:hint="eastAsia" w:ascii="Times New Roman" w:hAnsi="Times New Roman" w:eastAsia="宋体"/>
                      <w:color w:val="auto"/>
                      <w:sz w:val="21"/>
                      <w:szCs w:val="21"/>
                      <w:u w:val="none"/>
                    </w:rPr>
                    <w:t>厂集中治理排放</w:t>
                  </w:r>
                  <w:r>
                    <w:rPr>
                      <w:rFonts w:hint="eastAsia" w:ascii="Times New Roman" w:hAnsi="Times New Roman" w:eastAsia="宋体"/>
                      <w:color w:val="auto"/>
                      <w:sz w:val="21"/>
                      <w:szCs w:val="21"/>
                      <w:u w:val="none"/>
                      <w:lang w:eastAsia="zh-CN"/>
                    </w:rPr>
                    <w:t>，化学需氧量、氨氮总量计入南朗横门污水处理厂。</w:t>
                  </w:r>
                  <w:r>
                    <w:rPr>
                      <w:rFonts w:hint="eastAsia" w:ascii="Times New Roman" w:hAnsi="Times New Roman" w:eastAsia="宋体" w:cs="Times New Roman"/>
                      <w:color w:val="auto"/>
                      <w:kern w:val="2"/>
                      <w:sz w:val="21"/>
                      <w:szCs w:val="21"/>
                      <w:lang w:val="en-US" w:eastAsia="zh-CN" w:bidi="ar-SA"/>
                    </w:rPr>
                    <w:t>生产废水（清洗废水）收集后定期委托给有处理能力的废水处理机构处理</w:t>
                  </w:r>
                  <w:r>
                    <w:rPr>
                      <w:rFonts w:hint="eastAsia"/>
                      <w:color w:val="auto"/>
                      <w:sz w:val="21"/>
                      <w:szCs w:val="21"/>
                      <w:u w:val="none"/>
                      <w:lang w:eastAsia="zh-CN"/>
                    </w:rPr>
                    <w:t>。</w:t>
                  </w:r>
                </w:p>
              </w:tc>
              <w:tc>
                <w:tcPr>
                  <w:tcW w:w="325" w:type="pct"/>
                  <w:vMerge w:val="continue"/>
                  <w:vAlign w:val="center"/>
                </w:tcPr>
                <w:p w14:paraId="7EF5F0C9">
                  <w:pPr>
                    <w:pStyle w:val="15"/>
                    <w:jc w:val="center"/>
                    <w:rPr>
                      <w:rFonts w:ascii="Times New Roman" w:hAnsi="Times New Roman" w:eastAsia="宋体"/>
                      <w:color w:val="auto"/>
                      <w:sz w:val="21"/>
                      <w:szCs w:val="21"/>
                    </w:rPr>
                  </w:pPr>
                </w:p>
              </w:tc>
            </w:tr>
            <w:tr w14:paraId="5BA71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5" w:hRule="atLeast"/>
              </w:trPr>
              <w:tc>
                <w:tcPr>
                  <w:tcW w:w="269" w:type="pct"/>
                  <w:vMerge w:val="continue"/>
                  <w:vAlign w:val="center"/>
                </w:tcPr>
                <w:p w14:paraId="46A2E5B7">
                  <w:pPr>
                    <w:pStyle w:val="15"/>
                    <w:jc w:val="center"/>
                    <w:rPr>
                      <w:color w:val="auto"/>
                      <w:sz w:val="21"/>
                      <w:szCs w:val="21"/>
                    </w:rPr>
                  </w:pPr>
                </w:p>
              </w:tc>
              <w:tc>
                <w:tcPr>
                  <w:tcW w:w="815" w:type="pct"/>
                  <w:vMerge w:val="continue"/>
                  <w:vAlign w:val="center"/>
                </w:tcPr>
                <w:p w14:paraId="47E89985">
                  <w:pPr>
                    <w:pStyle w:val="15"/>
                    <w:jc w:val="center"/>
                    <w:rPr>
                      <w:color w:val="auto"/>
                      <w:sz w:val="21"/>
                      <w:szCs w:val="21"/>
                    </w:rPr>
                  </w:pPr>
                </w:p>
              </w:tc>
              <w:tc>
                <w:tcPr>
                  <w:tcW w:w="2119" w:type="pct"/>
                  <w:vAlign w:val="center"/>
                </w:tcPr>
                <w:p w14:paraId="1CC7D3C7">
                  <w:pPr>
                    <w:pStyle w:val="15"/>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rPr>
                    <w:t>3-3. 【水/综合类】①规范入海排污口设置。②完善临海水质净化厂配套管网，加快推进翠亨新区综合管廊建设，实行雨污分流，新、扩建污水处理设施和配套管网须同步设计、同步建设、同时投运。③推进养殖尾水资源化利用和达标排放。④完善农村垃圾收集转运体系，防止垃圾直接入河或在水体边随意堆放。</w:t>
                  </w:r>
                </w:p>
              </w:tc>
              <w:tc>
                <w:tcPr>
                  <w:tcW w:w="1470" w:type="pct"/>
                  <w:vAlign w:val="center"/>
                </w:tcPr>
                <w:p w14:paraId="667A1D7B">
                  <w:pPr>
                    <w:pStyle w:val="15"/>
                    <w:jc w:val="center"/>
                    <w:rPr>
                      <w:rFonts w:hint="default" w:ascii="Times New Roman" w:hAnsi="Times New Roman" w:eastAsia="宋体"/>
                      <w:color w:val="auto"/>
                      <w:sz w:val="21"/>
                      <w:szCs w:val="21"/>
                      <w:lang w:val="en-US" w:eastAsia="zh-CN"/>
                    </w:rPr>
                  </w:pPr>
                  <w:r>
                    <w:rPr>
                      <w:rFonts w:hint="eastAsia"/>
                      <w:color w:val="auto"/>
                      <w:sz w:val="21"/>
                      <w:szCs w:val="21"/>
                      <w:lang w:val="en-US" w:eastAsia="zh-CN"/>
                    </w:rPr>
                    <w:t>项目不涉及。</w:t>
                  </w:r>
                </w:p>
              </w:tc>
              <w:tc>
                <w:tcPr>
                  <w:tcW w:w="325" w:type="pct"/>
                  <w:vMerge w:val="continue"/>
                  <w:vAlign w:val="center"/>
                </w:tcPr>
                <w:p w14:paraId="0A91B80E">
                  <w:pPr>
                    <w:pStyle w:val="15"/>
                    <w:jc w:val="center"/>
                    <w:rPr>
                      <w:rFonts w:hint="eastAsia" w:ascii="Times New Roman" w:hAnsi="Times New Roman" w:eastAsia="宋体"/>
                      <w:color w:val="auto"/>
                      <w:sz w:val="21"/>
                      <w:szCs w:val="21"/>
                    </w:rPr>
                  </w:pPr>
                </w:p>
              </w:tc>
            </w:tr>
            <w:tr w14:paraId="2150E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269" w:type="pct"/>
                  <w:vMerge w:val="continue"/>
                  <w:vAlign w:val="center"/>
                </w:tcPr>
                <w:p w14:paraId="4A51CA44">
                  <w:pPr>
                    <w:pStyle w:val="15"/>
                    <w:jc w:val="left"/>
                    <w:rPr>
                      <w:color w:val="auto"/>
                      <w:sz w:val="21"/>
                      <w:szCs w:val="21"/>
                    </w:rPr>
                  </w:pPr>
                </w:p>
              </w:tc>
              <w:tc>
                <w:tcPr>
                  <w:tcW w:w="815" w:type="pct"/>
                  <w:vMerge w:val="continue"/>
                  <w:vAlign w:val="center"/>
                </w:tcPr>
                <w:p w14:paraId="1A642274">
                  <w:pPr>
                    <w:pStyle w:val="15"/>
                    <w:jc w:val="left"/>
                    <w:rPr>
                      <w:color w:val="auto"/>
                      <w:sz w:val="21"/>
                      <w:szCs w:val="21"/>
                    </w:rPr>
                  </w:pPr>
                </w:p>
              </w:tc>
              <w:tc>
                <w:tcPr>
                  <w:tcW w:w="2119" w:type="pct"/>
                  <w:vAlign w:val="center"/>
                </w:tcPr>
                <w:p w14:paraId="1A566DAD">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3-4. 【大气/限制类】①涉新增氮氧化物排放的项目实行等量替代，涉新增挥发性有机物排放的项目实行两倍削减替代。</w:t>
                  </w:r>
                </w:p>
              </w:tc>
              <w:tc>
                <w:tcPr>
                  <w:tcW w:w="1470" w:type="pct"/>
                  <w:vAlign w:val="center"/>
                </w:tcPr>
                <w:p w14:paraId="19CFDB74">
                  <w:pPr>
                    <w:pStyle w:val="15"/>
                    <w:jc w:val="left"/>
                    <w:rPr>
                      <w:rFonts w:hint="eastAsia" w:ascii="Times New Roman" w:hAnsi="Times New Roman" w:eastAsia="宋体"/>
                      <w:color w:val="auto"/>
                      <w:sz w:val="21"/>
                      <w:szCs w:val="21"/>
                      <w:lang w:eastAsia="zh-CN"/>
                    </w:rPr>
                  </w:pPr>
                  <w:r>
                    <w:rPr>
                      <w:rFonts w:hint="eastAsia" w:ascii="Times New Roman" w:hAnsi="Times New Roman" w:eastAsia="宋体" w:cs="Times New Roman"/>
                      <w:strike w:val="0"/>
                      <w:dstrike w:val="0"/>
                      <w:color w:val="auto"/>
                      <w:kern w:val="2"/>
                      <w:sz w:val="21"/>
                      <w:szCs w:val="21"/>
                      <w:lang w:val="en-US" w:eastAsia="zh-CN" w:bidi="ar-SA"/>
                    </w:rPr>
                    <w:t>项目涉及新增氮氧化物</w:t>
                  </w:r>
                  <w:r>
                    <w:rPr>
                      <w:rFonts w:hint="eastAsia" w:cs="Times New Roman"/>
                      <w:strike w:val="0"/>
                      <w:dstrike w:val="0"/>
                      <w:color w:val="auto"/>
                      <w:kern w:val="2"/>
                      <w:sz w:val="21"/>
                      <w:szCs w:val="21"/>
                      <w:lang w:val="en-US" w:eastAsia="zh-CN" w:bidi="ar-SA"/>
                    </w:rPr>
                    <w:t>0.2818</w:t>
                  </w:r>
                  <w:r>
                    <w:rPr>
                      <w:rFonts w:hint="eastAsia" w:ascii="Times New Roman" w:hAnsi="Times New Roman" w:eastAsia="宋体" w:cs="Times New Roman"/>
                      <w:strike w:val="0"/>
                      <w:dstrike w:val="0"/>
                      <w:color w:val="auto"/>
                      <w:kern w:val="2"/>
                      <w:sz w:val="21"/>
                      <w:szCs w:val="21"/>
                      <w:lang w:val="en-US" w:eastAsia="zh-CN" w:bidi="ar-SA"/>
                    </w:rPr>
                    <w:t>t/a，新增挥发性有机物（TVOC、非甲烷总烃）</w:t>
                  </w:r>
                  <w:r>
                    <w:rPr>
                      <w:rFonts w:hint="eastAsia" w:cs="Times New Roman"/>
                      <w:strike w:val="0"/>
                      <w:dstrike w:val="0"/>
                      <w:color w:val="auto"/>
                      <w:kern w:val="2"/>
                      <w:sz w:val="21"/>
                      <w:szCs w:val="21"/>
                      <w:lang w:val="en-US" w:eastAsia="zh-CN" w:bidi="ar-SA"/>
                    </w:rPr>
                    <w:t>0.0442</w:t>
                  </w:r>
                  <w:r>
                    <w:rPr>
                      <w:rFonts w:hint="eastAsia" w:ascii="Times New Roman" w:hAnsi="Times New Roman" w:eastAsia="宋体" w:cs="Times New Roman"/>
                      <w:strike w:val="0"/>
                      <w:dstrike w:val="0"/>
                      <w:color w:val="auto"/>
                      <w:kern w:val="2"/>
                      <w:sz w:val="21"/>
                      <w:szCs w:val="21"/>
                      <w:lang w:val="en-US" w:eastAsia="zh-CN" w:bidi="ar-SA"/>
                    </w:rPr>
                    <w:t>t/a，</w:t>
                  </w:r>
                  <w:r>
                    <w:rPr>
                      <w:rFonts w:hint="eastAsia" w:ascii="Times New Roman" w:hAnsi="Times New Roman" w:eastAsia="宋体" w:cs="Times New Roman"/>
                      <w:color w:val="auto"/>
                      <w:kern w:val="2"/>
                      <w:sz w:val="21"/>
                      <w:szCs w:val="21"/>
                      <w:lang w:val="en-US" w:eastAsia="zh-CN" w:bidi="ar-SA"/>
                    </w:rPr>
                    <w:t>按照《中山市主要污染物排放总量控制领导小组办公室关于加强我市重点污染物排放总量指标管理的通知》，由相关管理部门对排放总量指标统一分配</w:t>
                  </w:r>
                  <w:r>
                    <w:rPr>
                      <w:rFonts w:hint="eastAsia" w:ascii="Times New Roman" w:hAnsi="Times New Roman" w:eastAsia="宋体"/>
                      <w:color w:val="auto"/>
                      <w:sz w:val="21"/>
                      <w:szCs w:val="21"/>
                      <w:u w:val="none"/>
                      <w:lang w:eastAsia="zh-CN"/>
                    </w:rPr>
                    <w:t>。</w:t>
                  </w:r>
                </w:p>
              </w:tc>
              <w:tc>
                <w:tcPr>
                  <w:tcW w:w="325" w:type="pct"/>
                  <w:vMerge w:val="continue"/>
                  <w:vAlign w:val="center"/>
                </w:tcPr>
                <w:p w14:paraId="4C717F7E">
                  <w:pPr>
                    <w:pStyle w:val="15"/>
                    <w:jc w:val="left"/>
                    <w:rPr>
                      <w:rFonts w:hint="eastAsia" w:ascii="Times New Roman" w:hAnsi="Times New Roman" w:eastAsia="宋体"/>
                      <w:color w:val="auto"/>
                      <w:sz w:val="21"/>
                      <w:szCs w:val="21"/>
                    </w:rPr>
                  </w:pPr>
                </w:p>
              </w:tc>
            </w:tr>
            <w:tr w14:paraId="117FA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269" w:type="pct"/>
                  <w:vMerge w:val="continue"/>
                  <w:vAlign w:val="center"/>
                </w:tcPr>
                <w:p w14:paraId="594D29A6">
                  <w:pPr>
                    <w:pStyle w:val="15"/>
                    <w:jc w:val="left"/>
                    <w:rPr>
                      <w:rFonts w:hint="eastAsia" w:ascii="Times New Roman" w:hAnsi="Times New Roman" w:eastAsia="宋体"/>
                      <w:color w:val="auto"/>
                      <w:sz w:val="21"/>
                      <w:szCs w:val="21"/>
                    </w:rPr>
                  </w:pPr>
                </w:p>
              </w:tc>
              <w:tc>
                <w:tcPr>
                  <w:tcW w:w="815" w:type="pct"/>
                  <w:vMerge w:val="continue"/>
                  <w:vAlign w:val="center"/>
                </w:tcPr>
                <w:p w14:paraId="2C383F3D">
                  <w:pPr>
                    <w:pStyle w:val="15"/>
                    <w:jc w:val="left"/>
                    <w:rPr>
                      <w:rFonts w:hint="eastAsia" w:ascii="Times New Roman" w:hAnsi="Times New Roman" w:eastAsia="宋体"/>
                      <w:color w:val="auto"/>
                      <w:sz w:val="21"/>
                      <w:szCs w:val="21"/>
                    </w:rPr>
                  </w:pPr>
                </w:p>
              </w:tc>
              <w:tc>
                <w:tcPr>
                  <w:tcW w:w="2119" w:type="pct"/>
                  <w:vAlign w:val="center"/>
                </w:tcPr>
                <w:p w14:paraId="256436FB">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3-5. 【土壤/综合类】推广低毒、低残留农药使用补助试点经验，开展农作物病虫害绿色防控和统防统治。推广测土配方施肥技术，持续推进化肥农药减量增效。</w:t>
                  </w:r>
                </w:p>
              </w:tc>
              <w:tc>
                <w:tcPr>
                  <w:tcW w:w="1470" w:type="pct"/>
                  <w:vAlign w:val="center"/>
                </w:tcPr>
                <w:p w14:paraId="4871441B">
                  <w:pPr>
                    <w:pStyle w:val="15"/>
                    <w:jc w:val="left"/>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u w:val="none"/>
                    </w:rPr>
                    <w:t>项目不涉及化肥农药</w:t>
                  </w:r>
                  <w:r>
                    <w:rPr>
                      <w:rFonts w:hint="eastAsia" w:ascii="Times New Roman" w:hAnsi="Times New Roman" w:eastAsia="宋体"/>
                      <w:color w:val="auto"/>
                      <w:sz w:val="21"/>
                      <w:szCs w:val="21"/>
                      <w:u w:val="none"/>
                      <w:lang w:eastAsia="zh-CN"/>
                    </w:rPr>
                    <w:t>。</w:t>
                  </w:r>
                </w:p>
              </w:tc>
              <w:tc>
                <w:tcPr>
                  <w:tcW w:w="325" w:type="pct"/>
                  <w:vMerge w:val="continue"/>
                  <w:vAlign w:val="center"/>
                </w:tcPr>
                <w:p w14:paraId="5E084EFA">
                  <w:pPr>
                    <w:pStyle w:val="15"/>
                    <w:jc w:val="left"/>
                    <w:rPr>
                      <w:rFonts w:hint="eastAsia" w:ascii="Times New Roman" w:hAnsi="Times New Roman" w:eastAsia="宋体"/>
                      <w:color w:val="auto"/>
                      <w:sz w:val="21"/>
                      <w:szCs w:val="21"/>
                    </w:rPr>
                  </w:pPr>
                </w:p>
              </w:tc>
            </w:tr>
            <w:tr w14:paraId="61B74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269" w:type="pct"/>
                  <w:vMerge w:val="continue"/>
                  <w:vAlign w:val="center"/>
                </w:tcPr>
                <w:p w14:paraId="7ABA5D2E">
                  <w:pPr>
                    <w:pStyle w:val="15"/>
                    <w:jc w:val="left"/>
                    <w:rPr>
                      <w:rFonts w:hint="eastAsia" w:ascii="Times New Roman" w:hAnsi="Times New Roman" w:eastAsia="宋体"/>
                      <w:color w:val="auto"/>
                      <w:sz w:val="21"/>
                      <w:szCs w:val="21"/>
                    </w:rPr>
                  </w:pPr>
                </w:p>
              </w:tc>
              <w:tc>
                <w:tcPr>
                  <w:tcW w:w="815" w:type="pct"/>
                  <w:vMerge w:val="continue"/>
                  <w:vAlign w:val="center"/>
                </w:tcPr>
                <w:p w14:paraId="44CEE88A">
                  <w:pPr>
                    <w:pStyle w:val="15"/>
                    <w:jc w:val="left"/>
                    <w:rPr>
                      <w:rFonts w:hint="eastAsia" w:ascii="Times New Roman" w:hAnsi="Times New Roman" w:eastAsia="宋体"/>
                      <w:color w:val="auto"/>
                      <w:sz w:val="21"/>
                      <w:szCs w:val="21"/>
                    </w:rPr>
                  </w:pPr>
                </w:p>
              </w:tc>
              <w:tc>
                <w:tcPr>
                  <w:tcW w:w="2119" w:type="pct"/>
                  <w:vAlign w:val="center"/>
                </w:tcPr>
                <w:p w14:paraId="731F00B0">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3-6. 【其他/综合类】加强中心组团垃圾处理基地污染防控措施，确保废水、废气、噪声的达标排放，危险废物合法处置或转移。定期监控土壤、地下水污染情况</w:t>
                  </w:r>
                  <w:r>
                    <w:rPr>
                      <w:rFonts w:hint="eastAsia" w:ascii="Times New Roman" w:hAnsi="Times New Roman" w:eastAsia="宋体"/>
                      <w:color w:val="auto"/>
                      <w:sz w:val="21"/>
                      <w:szCs w:val="21"/>
                      <w:lang w:eastAsia="zh-CN"/>
                    </w:rPr>
                    <w:t>。</w:t>
                  </w:r>
                </w:p>
              </w:tc>
              <w:tc>
                <w:tcPr>
                  <w:tcW w:w="1470" w:type="pct"/>
                  <w:vAlign w:val="center"/>
                </w:tcPr>
                <w:p w14:paraId="5726C4A6">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highlight w:val="none"/>
                      <w:u w:val="none"/>
                    </w:rPr>
                    <w:t>项目</w:t>
                  </w:r>
                  <w:r>
                    <w:rPr>
                      <w:rFonts w:hint="eastAsia" w:ascii="Times New Roman" w:hAnsi="Times New Roman" w:eastAsia="宋体"/>
                      <w:color w:val="auto"/>
                      <w:sz w:val="21"/>
                      <w:szCs w:val="21"/>
                      <w:highlight w:val="none"/>
                      <w:u w:val="none"/>
                      <w:lang w:val="en-US" w:eastAsia="zh-CN"/>
                    </w:rPr>
                    <w:t>不属于中心组团垃圾处理基地范围</w:t>
                  </w:r>
                  <w:r>
                    <w:rPr>
                      <w:rFonts w:hint="eastAsia" w:ascii="Times New Roman" w:hAnsi="Times New Roman" w:eastAsia="宋体"/>
                      <w:color w:val="auto"/>
                      <w:sz w:val="21"/>
                      <w:szCs w:val="21"/>
                      <w:highlight w:val="none"/>
                      <w:u w:val="none"/>
                      <w:lang w:eastAsia="zh-CN"/>
                    </w:rPr>
                    <w:t>。</w:t>
                  </w:r>
                </w:p>
              </w:tc>
              <w:tc>
                <w:tcPr>
                  <w:tcW w:w="325" w:type="pct"/>
                  <w:vMerge w:val="continue"/>
                  <w:vAlign w:val="center"/>
                </w:tcPr>
                <w:p w14:paraId="6DE23EA3">
                  <w:pPr>
                    <w:pStyle w:val="15"/>
                    <w:jc w:val="left"/>
                    <w:rPr>
                      <w:rFonts w:hint="eastAsia" w:ascii="Times New Roman" w:hAnsi="Times New Roman" w:eastAsia="宋体"/>
                      <w:color w:val="auto"/>
                      <w:sz w:val="21"/>
                      <w:szCs w:val="21"/>
                    </w:rPr>
                  </w:pPr>
                </w:p>
              </w:tc>
            </w:tr>
            <w:tr w14:paraId="7DC96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269" w:type="pct"/>
                  <w:vMerge w:val="continue"/>
                  <w:vAlign w:val="center"/>
                </w:tcPr>
                <w:p w14:paraId="3EF80E1F">
                  <w:pPr>
                    <w:pStyle w:val="15"/>
                    <w:jc w:val="center"/>
                    <w:rPr>
                      <w:rFonts w:ascii="Times New Roman" w:hAnsi="Times New Roman" w:eastAsia="宋体"/>
                      <w:color w:val="auto"/>
                      <w:sz w:val="21"/>
                      <w:szCs w:val="21"/>
                    </w:rPr>
                  </w:pPr>
                </w:p>
              </w:tc>
              <w:tc>
                <w:tcPr>
                  <w:tcW w:w="815" w:type="pct"/>
                  <w:vMerge w:val="continue"/>
                  <w:vAlign w:val="center"/>
                </w:tcPr>
                <w:p w14:paraId="30C6F33A">
                  <w:pPr>
                    <w:pStyle w:val="15"/>
                    <w:jc w:val="center"/>
                    <w:rPr>
                      <w:rFonts w:ascii="Times New Roman" w:hAnsi="Times New Roman" w:eastAsia="宋体"/>
                      <w:color w:val="auto"/>
                      <w:sz w:val="21"/>
                      <w:szCs w:val="21"/>
                    </w:rPr>
                  </w:pPr>
                </w:p>
              </w:tc>
              <w:tc>
                <w:tcPr>
                  <w:tcW w:w="2119" w:type="pct"/>
                  <w:vAlign w:val="center"/>
                </w:tcPr>
                <w:p w14:paraId="6742E800">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环境风险防控：</w:t>
                  </w:r>
                </w:p>
                <w:p w14:paraId="2E8045DB">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4-1. 【水/综合类】①集中污水处理厂应采取有效措施，防止事故废水直接排入水体，完善污水处理厂在线监控系统联网，实现污水处理厂的实时、动态监管。</w:t>
                  </w:r>
                </w:p>
                <w:p w14:paraId="5C9879FA">
                  <w:pPr>
                    <w:pStyle w:val="15"/>
                    <w:jc w:val="left"/>
                    <w:rPr>
                      <w:rFonts w:ascii="Times New Roman" w:hAnsi="Times New Roman" w:eastAsia="宋体"/>
                      <w:color w:val="auto"/>
                      <w:sz w:val="21"/>
                      <w:szCs w:val="21"/>
                    </w:rPr>
                  </w:pPr>
                  <w:r>
                    <w:rPr>
                      <w:rFonts w:hint="eastAsia" w:ascii="Times New Roman" w:hAnsi="Times New Roman" w:eastAsia="宋体"/>
                      <w:color w:val="auto"/>
                      <w:sz w:val="21"/>
                      <w:szCs w:val="21"/>
                    </w:rPr>
                    <w:t>②单元内涉及省生态环境厅发布《突发环境事件应急预案备案行业名录（指导性意见）》所属行业类型的企业，应按要求编制突发环境事件应急预案，需设计、建设有效防止泄漏化学物质、消防废水、污染雨水等扩散至外环境的拦截、收集设施，相关设施须符合防渗、防漏要求。</w:t>
                  </w:r>
                </w:p>
              </w:tc>
              <w:tc>
                <w:tcPr>
                  <w:tcW w:w="1470" w:type="pct"/>
                  <w:vAlign w:val="center"/>
                </w:tcPr>
                <w:p w14:paraId="57186457">
                  <w:pPr>
                    <w:pStyle w:val="15"/>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项目生活污水经化粪池处理后经市政管网排入南朗横门污水处理厂</w:t>
                  </w:r>
                  <w:r>
                    <w:rPr>
                      <w:rFonts w:hint="eastAsia"/>
                      <w:color w:val="auto"/>
                      <w:sz w:val="21"/>
                      <w:szCs w:val="21"/>
                      <w:lang w:eastAsia="zh-CN"/>
                    </w:rPr>
                    <w:t>，</w:t>
                  </w:r>
                  <w:r>
                    <w:rPr>
                      <w:rFonts w:hint="eastAsia" w:ascii="Times New Roman" w:hAnsi="Times New Roman" w:eastAsia="宋体" w:cs="Times New Roman"/>
                      <w:color w:val="auto"/>
                      <w:kern w:val="2"/>
                      <w:sz w:val="21"/>
                      <w:szCs w:val="21"/>
                      <w:lang w:val="en-US" w:eastAsia="zh-CN" w:bidi="ar-SA"/>
                    </w:rPr>
                    <w:t>生产废水（清洗废水）收集后定期委托给有处理能力的废水处理机构处理</w:t>
                  </w:r>
                  <w:r>
                    <w:rPr>
                      <w:rFonts w:hint="eastAsia" w:ascii="Times New Roman" w:hAnsi="Times New Roman" w:eastAsia="宋体"/>
                      <w:color w:val="auto"/>
                      <w:sz w:val="21"/>
                      <w:szCs w:val="21"/>
                    </w:rPr>
                    <w:t>；按照要求设计、建设有效防止泄漏化学物质、消防废水、污染雨水等扩散至外环境的拦截、收集设施，相关设施符合防渗、防漏要求。</w:t>
                  </w:r>
                </w:p>
              </w:tc>
              <w:tc>
                <w:tcPr>
                  <w:tcW w:w="325" w:type="pct"/>
                  <w:vMerge w:val="continue"/>
                  <w:vAlign w:val="center"/>
                </w:tcPr>
                <w:p w14:paraId="0C7DD416">
                  <w:pPr>
                    <w:pStyle w:val="15"/>
                    <w:jc w:val="center"/>
                    <w:rPr>
                      <w:rFonts w:ascii="Times New Roman" w:hAnsi="Times New Roman" w:eastAsia="宋体"/>
                      <w:color w:val="auto"/>
                      <w:sz w:val="21"/>
                      <w:szCs w:val="21"/>
                    </w:rPr>
                  </w:pPr>
                </w:p>
              </w:tc>
            </w:tr>
            <w:tr w14:paraId="39C7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269" w:type="pct"/>
                  <w:vMerge w:val="continue"/>
                  <w:vAlign w:val="center"/>
                </w:tcPr>
                <w:p w14:paraId="3A4EF999">
                  <w:pPr>
                    <w:pStyle w:val="15"/>
                    <w:jc w:val="left"/>
                    <w:rPr>
                      <w:color w:val="auto"/>
                      <w:sz w:val="21"/>
                      <w:szCs w:val="21"/>
                    </w:rPr>
                  </w:pPr>
                </w:p>
              </w:tc>
              <w:tc>
                <w:tcPr>
                  <w:tcW w:w="815" w:type="pct"/>
                  <w:vMerge w:val="continue"/>
                  <w:vAlign w:val="center"/>
                </w:tcPr>
                <w:p w14:paraId="1DE52C58">
                  <w:pPr>
                    <w:pStyle w:val="15"/>
                    <w:jc w:val="left"/>
                    <w:rPr>
                      <w:color w:val="auto"/>
                      <w:sz w:val="21"/>
                      <w:szCs w:val="21"/>
                    </w:rPr>
                  </w:pPr>
                </w:p>
              </w:tc>
              <w:tc>
                <w:tcPr>
                  <w:tcW w:w="2119" w:type="pct"/>
                  <w:vAlign w:val="center"/>
                </w:tcPr>
                <w:p w14:paraId="3FE8DB20">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4-2. 【土壤/综合类】土壤环境污染重点监管工业企业要落实</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工矿用地土壤环境管理办法（试行）</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rPr>
                    <w:t>要求，在项目环评、设计建设、拆除设施、终止经营等环节落实好土壤和地下水污染防治工作。</w:t>
                  </w:r>
                </w:p>
              </w:tc>
              <w:tc>
                <w:tcPr>
                  <w:tcW w:w="1470" w:type="pct"/>
                  <w:vAlign w:val="center"/>
                </w:tcPr>
                <w:p w14:paraId="67F1F026">
                  <w:pPr>
                    <w:pStyle w:val="15"/>
                    <w:jc w:val="left"/>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建设单位不属于土壤环境污染重点监管工业企业</w:t>
                  </w:r>
                  <w:r>
                    <w:rPr>
                      <w:rFonts w:hint="eastAsia" w:ascii="Times New Roman" w:hAnsi="Times New Roman" w:eastAsia="宋体"/>
                      <w:color w:val="auto"/>
                      <w:sz w:val="21"/>
                      <w:szCs w:val="21"/>
                      <w:lang w:eastAsia="zh-CN"/>
                    </w:rPr>
                    <w:t>。</w:t>
                  </w:r>
                </w:p>
              </w:tc>
              <w:tc>
                <w:tcPr>
                  <w:tcW w:w="325" w:type="pct"/>
                  <w:vMerge w:val="continue"/>
                  <w:vAlign w:val="center"/>
                </w:tcPr>
                <w:p w14:paraId="4E3E3CB2">
                  <w:pPr>
                    <w:pStyle w:val="15"/>
                    <w:jc w:val="left"/>
                    <w:rPr>
                      <w:rFonts w:hint="eastAsia" w:ascii="Times New Roman" w:hAnsi="Times New Roman" w:eastAsia="宋体"/>
                      <w:color w:val="auto"/>
                      <w:sz w:val="21"/>
                      <w:szCs w:val="21"/>
                    </w:rPr>
                  </w:pPr>
                </w:p>
              </w:tc>
            </w:tr>
            <w:tr w14:paraId="64E54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269" w:type="pct"/>
                  <w:vMerge w:val="continue"/>
                  <w:vAlign w:val="center"/>
                </w:tcPr>
                <w:p w14:paraId="18B0615C">
                  <w:pPr>
                    <w:pStyle w:val="15"/>
                    <w:jc w:val="left"/>
                    <w:rPr>
                      <w:rFonts w:hint="eastAsia" w:ascii="Times New Roman" w:hAnsi="Times New Roman" w:eastAsia="宋体"/>
                      <w:color w:val="auto"/>
                      <w:sz w:val="21"/>
                      <w:szCs w:val="21"/>
                    </w:rPr>
                  </w:pPr>
                </w:p>
              </w:tc>
              <w:tc>
                <w:tcPr>
                  <w:tcW w:w="815" w:type="pct"/>
                  <w:vMerge w:val="continue"/>
                  <w:vAlign w:val="center"/>
                </w:tcPr>
                <w:p w14:paraId="2ABB33D2">
                  <w:pPr>
                    <w:pStyle w:val="15"/>
                    <w:jc w:val="left"/>
                    <w:rPr>
                      <w:rFonts w:hint="eastAsia" w:ascii="Times New Roman" w:hAnsi="Times New Roman" w:eastAsia="宋体"/>
                      <w:color w:val="auto"/>
                      <w:sz w:val="21"/>
                      <w:szCs w:val="21"/>
                    </w:rPr>
                  </w:pPr>
                </w:p>
              </w:tc>
              <w:tc>
                <w:tcPr>
                  <w:tcW w:w="2119" w:type="pct"/>
                  <w:vAlign w:val="center"/>
                </w:tcPr>
                <w:p w14:paraId="1933AD96">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rPr>
                    <w:t>4-3. 【其他/综合类】加强中心组团垃圾处理基地环境风险防控，制定应急预案并定期演练。</w:t>
                  </w:r>
                </w:p>
              </w:tc>
              <w:tc>
                <w:tcPr>
                  <w:tcW w:w="1470" w:type="pct"/>
                  <w:vAlign w:val="center"/>
                </w:tcPr>
                <w:p w14:paraId="51A4A374">
                  <w:pPr>
                    <w:pStyle w:val="15"/>
                    <w:jc w:val="left"/>
                    <w:rPr>
                      <w:rFonts w:hint="eastAsia" w:ascii="Times New Roman" w:hAnsi="Times New Roman" w:eastAsia="宋体"/>
                      <w:color w:val="auto"/>
                      <w:sz w:val="21"/>
                      <w:szCs w:val="21"/>
                    </w:rPr>
                  </w:pPr>
                  <w:r>
                    <w:rPr>
                      <w:rFonts w:hint="eastAsia" w:ascii="Times New Roman" w:hAnsi="Times New Roman" w:eastAsia="宋体"/>
                      <w:color w:val="auto"/>
                      <w:sz w:val="21"/>
                      <w:szCs w:val="21"/>
                      <w:highlight w:val="none"/>
                      <w:u w:val="none"/>
                    </w:rPr>
                    <w:t>项目</w:t>
                  </w:r>
                  <w:r>
                    <w:rPr>
                      <w:rFonts w:hint="eastAsia" w:ascii="Times New Roman" w:hAnsi="Times New Roman" w:eastAsia="宋体"/>
                      <w:color w:val="auto"/>
                      <w:sz w:val="21"/>
                      <w:szCs w:val="21"/>
                      <w:highlight w:val="none"/>
                      <w:u w:val="none"/>
                      <w:lang w:val="en-US" w:eastAsia="zh-CN"/>
                    </w:rPr>
                    <w:t>不属于中心组团垃圾处理基地范围</w:t>
                  </w:r>
                  <w:r>
                    <w:rPr>
                      <w:rFonts w:hint="eastAsia" w:ascii="Times New Roman" w:hAnsi="Times New Roman" w:eastAsia="宋体"/>
                      <w:color w:val="auto"/>
                      <w:sz w:val="21"/>
                      <w:szCs w:val="21"/>
                      <w:highlight w:val="none"/>
                      <w:u w:val="none"/>
                      <w:lang w:eastAsia="zh-CN"/>
                    </w:rPr>
                    <w:t>。</w:t>
                  </w:r>
                </w:p>
              </w:tc>
              <w:tc>
                <w:tcPr>
                  <w:tcW w:w="325" w:type="pct"/>
                  <w:vMerge w:val="continue"/>
                  <w:vAlign w:val="center"/>
                </w:tcPr>
                <w:p w14:paraId="3842642D">
                  <w:pPr>
                    <w:pStyle w:val="15"/>
                    <w:jc w:val="left"/>
                    <w:rPr>
                      <w:rFonts w:hint="eastAsia" w:ascii="Times New Roman" w:hAnsi="Times New Roman" w:eastAsia="宋体"/>
                      <w:color w:val="auto"/>
                      <w:sz w:val="21"/>
                      <w:szCs w:val="21"/>
                    </w:rPr>
                  </w:pPr>
                </w:p>
              </w:tc>
            </w:tr>
            <w:tr w14:paraId="7A724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Align w:val="center"/>
                </w:tcPr>
                <w:p w14:paraId="499AFFA2">
                  <w:pPr>
                    <w:pStyle w:val="15"/>
                    <w:jc w:val="center"/>
                    <w:rPr>
                      <w:rFonts w:hint="eastAsia" w:ascii="Times New Roman" w:hAnsi="Times New Roman" w:eastAsia="宋体"/>
                      <w:color w:val="auto"/>
                      <w:sz w:val="21"/>
                      <w:szCs w:val="21"/>
                      <w:lang w:val="en-US" w:eastAsia="zh-CN"/>
                    </w:rPr>
                  </w:pPr>
                  <w:r>
                    <w:rPr>
                      <w:rFonts w:hint="eastAsia"/>
                      <w:color w:val="auto"/>
                      <w:sz w:val="21"/>
                      <w:szCs w:val="21"/>
                      <w:lang w:val="en-US" w:eastAsia="zh-CN"/>
                    </w:rPr>
                    <w:t>8</w:t>
                  </w:r>
                </w:p>
              </w:tc>
              <w:tc>
                <w:tcPr>
                  <w:tcW w:w="815" w:type="pct"/>
                  <w:vAlign w:val="center"/>
                </w:tcPr>
                <w:p w14:paraId="7DC5CB23">
                  <w:pPr>
                    <w:autoSpaceDE w:val="0"/>
                    <w:autoSpaceDN w:val="0"/>
                    <w:adjustRightInd w:val="0"/>
                    <w:snapToGrid w:val="0"/>
                    <w:jc w:val="both"/>
                    <w:rPr>
                      <w:rFonts w:hint="eastAsia" w:ascii="Times New Roman" w:hAnsi="Times New Roman" w:eastAsia="宋体"/>
                      <w:color w:val="auto"/>
                      <w:sz w:val="21"/>
                      <w:szCs w:val="21"/>
                    </w:rPr>
                  </w:pPr>
                  <w:r>
                    <w:rPr>
                      <w:rFonts w:hint="eastAsia" w:ascii="Times New Roman" w:hAnsi="Times New Roman" w:eastAsia="宋体" w:cs="Times New Roman"/>
                      <w:color w:val="auto"/>
                      <w:sz w:val="21"/>
                      <w:szCs w:val="21"/>
                      <w:highlight w:val="none"/>
                      <w:lang w:val="en-US" w:eastAsia="zh-CN"/>
                    </w:rPr>
                    <w:t>《中山市地下水污染防治重点区划定方案》</w:t>
                  </w:r>
                </w:p>
              </w:tc>
              <w:tc>
                <w:tcPr>
                  <w:tcW w:w="2119" w:type="pct"/>
                  <w:vAlign w:val="center"/>
                </w:tcPr>
                <w:p w14:paraId="19B0FEE1">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jc w:val="both"/>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根据地下水资源保护和污染防治管理需要，将地下水污染防治重点区分为保护类区域和管控类区域</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中山市地下水污染防治重点区划定图见</w:t>
                  </w:r>
                  <w:r>
                    <w:rPr>
                      <w:rFonts w:hint="default" w:ascii="Times New Roman" w:hAnsi="Times New Roman" w:eastAsia="宋体" w:cs="Times New Roman"/>
                      <w:color w:val="auto"/>
                      <w:sz w:val="21"/>
                      <w:szCs w:val="21"/>
                      <w:u w:val="none"/>
                      <w:lang w:val="en-US" w:eastAsia="zh-CN"/>
                    </w:rPr>
                    <w:t>附图</w:t>
                  </w:r>
                  <w:r>
                    <w:rPr>
                      <w:rFonts w:hint="eastAsia" w:cs="Times New Roman"/>
                      <w:color w:val="auto"/>
                      <w:sz w:val="21"/>
                      <w:szCs w:val="21"/>
                      <w:u w:val="none"/>
                      <w:lang w:val="en-US" w:eastAsia="zh-CN"/>
                    </w:rPr>
                    <w:t>10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，按照水源保护和污染防治的紧迫程度进行分级，提出差别化对策建议。划分结果为：</w:t>
                  </w:r>
                </w:p>
                <w:p w14:paraId="202A6346">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ind w:firstLine="210" w:firstLineChars="100"/>
                    <w:jc w:val="both"/>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①中山市地下水污染防治重点区包</w:t>
                  </w:r>
                  <w:r>
                    <w:rPr>
                      <w:rFonts w:hint="eastAsia" w:ascii="Times New Roman" w:hAnsi="Times New Roman" w:eastAsia="宋体" w:cs="Times New Roman"/>
                      <w:color w:val="auto"/>
                      <w:sz w:val="21"/>
                      <w:szCs w:val="21"/>
                      <w:lang w:val="en-US" w:eastAsia="zh-CN"/>
                    </w:rPr>
                    <w:t>括</w:t>
                  </w:r>
                  <w:r>
                    <w:rPr>
                      <w:rFonts w:hint="default" w:ascii="Times New Roman" w:hAnsi="Times New Roman" w:eastAsia="宋体" w:cs="Times New Roman"/>
                      <w:color w:val="auto"/>
                      <w:sz w:val="21"/>
                      <w:szCs w:val="21"/>
                    </w:rPr>
                    <w:t>保护类区域和管控类区域两种。</w:t>
                  </w:r>
                </w:p>
                <w:p w14:paraId="7673049E">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ind w:firstLine="210" w:firstLineChars="100"/>
                    <w:jc w:val="both"/>
                    <w:textAlignment w:val="auto"/>
                    <w:outlineLvl w:val="9"/>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②</w:t>
                  </w:r>
                  <w:r>
                    <w:rPr>
                      <w:rFonts w:hint="default" w:ascii="Times New Roman" w:hAnsi="Times New Roman" w:eastAsia="宋体" w:cs="Times New Roman"/>
                      <w:color w:val="auto"/>
                      <w:sz w:val="21"/>
                      <w:szCs w:val="21"/>
                    </w:rPr>
                    <w:t>保护类区域</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中山市无地下水型饮用水水源，有8个特殊地下水资源区域，其中6个为在产矿泉水企业，2个为地热田地热水区域。在产矿泉水企业包括</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南区文笔山饮用天然矿泉水、五桂山镇双合山饮用天然矿泉水、富山清泉饮用水天然矿泉水、五桂山镇桂南饮用天然矿泉水、南朗镇翠宝饮用天然矿泉水，三</w:t>
                  </w:r>
                  <w:r>
                    <w:rPr>
                      <w:rFonts w:hint="eastAsia" w:cs="Times New Roman"/>
                      <w:color w:val="auto"/>
                      <w:sz w:val="21"/>
                      <w:szCs w:val="21"/>
                      <w:lang w:val="en-US" w:eastAsia="zh-CN"/>
                    </w:rPr>
                    <w:t>乡</w:t>
                  </w:r>
                  <w:r>
                    <w:rPr>
                      <w:rFonts w:hint="default" w:ascii="Times New Roman" w:hAnsi="Times New Roman" w:eastAsia="宋体" w:cs="Times New Roman"/>
                      <w:color w:val="auto"/>
                      <w:sz w:val="21"/>
                      <w:szCs w:val="21"/>
                    </w:rPr>
                    <w:t>镇五龙饮用天然矿泉水</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2个地热田地热水区域包括虎池围地热田地热水、三</w:t>
                  </w:r>
                  <w:r>
                    <w:rPr>
                      <w:rFonts w:hint="eastAsia" w:cs="Times New Roman"/>
                      <w:color w:val="auto"/>
                      <w:sz w:val="21"/>
                      <w:szCs w:val="21"/>
                      <w:lang w:val="en-US" w:eastAsia="zh-CN"/>
                    </w:rPr>
                    <w:t>乡</w:t>
                  </w:r>
                  <w:r>
                    <w:rPr>
                      <w:rFonts w:hint="default" w:ascii="Times New Roman" w:hAnsi="Times New Roman" w:eastAsia="宋体" w:cs="Times New Roman"/>
                      <w:color w:val="auto"/>
                      <w:sz w:val="21"/>
                      <w:szCs w:val="21"/>
                    </w:rPr>
                    <w:t>镇雍陌(中山温泉)地热田热矿水。将8个特殊地下水资源区域保护区纳入中山市地下水污染防治重点区中的保护类区域，分区类型为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其他</w:t>
                  </w:r>
                  <w:r>
                    <w:rPr>
                      <w:rFonts w:hint="default" w:ascii="Times New Roman" w:hAnsi="Times New Roman" w:eastAsia="宋体" w:cs="Times New Roman"/>
                      <w:color w:val="auto"/>
                      <w:sz w:val="21"/>
                      <w:szCs w:val="21"/>
                      <w:lang w:eastAsia="zh-CN"/>
                    </w:rPr>
                    <w:t>”。</w:t>
                  </w:r>
                </w:p>
                <w:p w14:paraId="0466981D">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ind w:firstLine="210" w:firstLineChars="100"/>
                    <w:jc w:val="both"/>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③</w:t>
                  </w:r>
                  <w:r>
                    <w:rPr>
                      <w:rFonts w:hint="default" w:ascii="Times New Roman" w:hAnsi="Times New Roman" w:eastAsia="宋体" w:cs="Times New Roman"/>
                      <w:color w:val="auto"/>
                      <w:sz w:val="21"/>
                      <w:szCs w:val="21"/>
                    </w:rPr>
                    <w:t>管控类区域</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基于中山市地下水功能价值评估、地下水脆弱性评估结果，扣除保护类区域，划定管控类区域，并根据中山市地下水污染源荷载评估结果划分一级管控区和二级管控区。中山市地下水污染防治管控类区域内无污染源高荷载区域，故管控类区域均为二级管控区。主要分布于五桂山街道、南区街道、东区街道和三</w:t>
                  </w:r>
                  <w:r>
                    <w:rPr>
                      <w:rFonts w:hint="eastAsia" w:ascii="Times New Roman" w:hAnsi="Times New Roman" w:eastAsia="宋体" w:cs="Times New Roman"/>
                      <w:color w:val="auto"/>
                      <w:sz w:val="21"/>
                      <w:szCs w:val="21"/>
                      <w:lang w:val="en-US" w:eastAsia="zh-CN"/>
                    </w:rPr>
                    <w:t>乡</w:t>
                  </w:r>
                  <w:r>
                    <w:rPr>
                      <w:rFonts w:hint="default" w:ascii="Times New Roman" w:hAnsi="Times New Roman" w:eastAsia="宋体" w:cs="Times New Roman"/>
                      <w:color w:val="auto"/>
                      <w:sz w:val="21"/>
                      <w:szCs w:val="21"/>
                    </w:rPr>
                    <w:t>镇。</w:t>
                  </w:r>
                </w:p>
                <w:p w14:paraId="4D24C994">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ind w:left="0" w:leftChars="0" w:firstLine="210" w:firstLineChars="100"/>
                    <w:jc w:val="both"/>
                    <w:textAlignment w:val="auto"/>
                    <w:outlineLvl w:val="9"/>
                    <w:rPr>
                      <w:rFonts w:ascii="Times New Roman" w:hAnsi="Times New Roman" w:eastAsia="宋体"/>
                      <w:color w:val="auto"/>
                      <w:sz w:val="21"/>
                      <w:szCs w:val="21"/>
                    </w:rPr>
                  </w:pPr>
                  <w:r>
                    <w:rPr>
                      <w:rFonts w:hint="default" w:ascii="Times New Roman" w:hAnsi="Times New Roman" w:eastAsia="宋体" w:cs="Times New Roman"/>
                      <w:color w:val="auto"/>
                      <w:sz w:val="21"/>
                      <w:szCs w:val="21"/>
                      <w:lang w:val="en-US" w:eastAsia="zh-CN"/>
                    </w:rPr>
                    <w:t>④</w:t>
                  </w:r>
                  <w:r>
                    <w:rPr>
                      <w:rFonts w:hint="default" w:ascii="Times New Roman" w:hAnsi="Times New Roman" w:eastAsia="宋体" w:cs="Times New Roman"/>
                      <w:color w:val="auto"/>
                      <w:sz w:val="21"/>
                      <w:szCs w:val="21"/>
                    </w:rPr>
                    <w:t>一般区</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一般区为保护类区域和管控类区域以外的区域。按照相关法律法规、管理办法等开展常态化管理。</w:t>
                  </w:r>
                </w:p>
              </w:tc>
              <w:tc>
                <w:tcPr>
                  <w:tcW w:w="1470" w:type="pct"/>
                  <w:vAlign w:val="center"/>
                </w:tcPr>
                <w:p w14:paraId="27204B51">
                  <w:pPr>
                    <w:pStyle w:val="15"/>
                    <w:jc w:val="center"/>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本项目位于</w:t>
                  </w:r>
                  <w:r>
                    <w:rPr>
                      <w:rFonts w:hint="eastAsia" w:ascii="Times New Roman" w:hAnsi="Times New Roman" w:eastAsia="宋体" w:cs="宋体"/>
                      <w:color w:val="auto"/>
                      <w:sz w:val="21"/>
                      <w:szCs w:val="21"/>
                      <w:lang w:val="en-US"/>
                    </w:rPr>
                    <w:t>中山市南朗镇第一工业区龙基路南燕玻璃马赛克有限公司6#厂房(原玻璃车间)</w:t>
                  </w:r>
                  <w:r>
                    <w:rPr>
                      <w:rFonts w:hint="eastAsia" w:ascii="Times New Roman" w:hAnsi="Times New Roman" w:eastAsia="宋体" w:cs="宋体"/>
                      <w:color w:val="auto"/>
                      <w:sz w:val="21"/>
                      <w:szCs w:val="21"/>
                      <w:lang w:val="en-US" w:eastAsia="zh-CN"/>
                    </w:rPr>
                    <w:t>，</w:t>
                  </w:r>
                  <w:r>
                    <w:rPr>
                      <w:rFonts w:hint="default" w:ascii="Times New Roman" w:hAnsi="Times New Roman" w:eastAsia="宋体"/>
                      <w:color w:val="auto"/>
                      <w:sz w:val="21"/>
                      <w:szCs w:val="21"/>
                      <w:lang w:val="en-US" w:eastAsia="zh-CN"/>
                    </w:rPr>
                    <w:t>属于一般区，项目不使用地下水，且厂区地面全硬化，因此项目建设符合相关要求。</w:t>
                  </w:r>
                </w:p>
              </w:tc>
              <w:tc>
                <w:tcPr>
                  <w:tcW w:w="325" w:type="pct"/>
                  <w:vAlign w:val="center"/>
                </w:tcPr>
                <w:p w14:paraId="12CBBA8E">
                  <w:pPr>
                    <w:pStyle w:val="15"/>
                    <w:jc w:val="center"/>
                    <w:rPr>
                      <w:rFonts w:ascii="Times New Roman" w:hAnsi="Times New Roman" w:eastAsia="宋体"/>
                      <w:color w:val="auto"/>
                      <w:sz w:val="21"/>
                      <w:szCs w:val="21"/>
                    </w:rPr>
                  </w:pPr>
                </w:p>
              </w:tc>
            </w:tr>
            <w:tr w14:paraId="5BAFD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Align w:val="center"/>
                </w:tcPr>
                <w:p w14:paraId="751C907F">
                  <w:pPr>
                    <w:pStyle w:val="15"/>
                    <w:jc w:val="center"/>
                    <w:rPr>
                      <w:rFonts w:hint="eastAsia" w:ascii="Times New Roman" w:hAnsi="Times New Roman" w:eastAsia="宋体"/>
                      <w:color w:val="auto"/>
                      <w:sz w:val="21"/>
                      <w:szCs w:val="21"/>
                      <w:lang w:val="en-US" w:eastAsia="zh-CN"/>
                    </w:rPr>
                  </w:pPr>
                  <w:r>
                    <w:rPr>
                      <w:rFonts w:hint="eastAsia"/>
                      <w:color w:val="auto"/>
                      <w:sz w:val="21"/>
                      <w:szCs w:val="21"/>
                      <w:lang w:val="en-US" w:eastAsia="zh-CN"/>
                    </w:rPr>
                    <w:t>9</w:t>
                  </w:r>
                </w:p>
              </w:tc>
              <w:tc>
                <w:tcPr>
                  <w:tcW w:w="815" w:type="pct"/>
                  <w:vAlign w:val="center"/>
                </w:tcPr>
                <w:p w14:paraId="69FCF5DD">
                  <w:pPr>
                    <w:autoSpaceDE w:val="0"/>
                    <w:autoSpaceDN w:val="0"/>
                    <w:adjustRightInd w:val="0"/>
                    <w:snapToGrid w:val="0"/>
                    <w:jc w:val="both"/>
                    <w:rPr>
                      <w:rFonts w:hint="eastAsia" w:ascii="Times New Roman" w:hAnsi="Times New Roman" w:eastAsia="宋体"/>
                      <w:color w:val="auto"/>
                      <w:sz w:val="21"/>
                      <w:szCs w:val="21"/>
                    </w:rPr>
                  </w:pPr>
                  <w:r>
                    <w:rPr>
                      <w:rFonts w:hint="eastAsia" w:ascii="Times New Roman" w:hAnsi="Times New Roman" w:eastAsia="宋体" w:cs="Times New Roman"/>
                      <w:color w:val="auto"/>
                      <w:sz w:val="21"/>
                      <w:szCs w:val="21"/>
                      <w:lang w:val="en-US" w:eastAsia="zh-CN"/>
                    </w:rPr>
                    <w:t>《中山市环保共性产业园规划》（2023）</w:t>
                  </w:r>
                </w:p>
              </w:tc>
              <w:tc>
                <w:tcPr>
                  <w:tcW w:w="2119" w:type="pct"/>
                  <w:vAlign w:val="center"/>
                </w:tcPr>
                <w:p w14:paraId="2FD78724">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ind w:left="0" w:leftChars="0" w:firstLine="0" w:firstLineChars="0"/>
                    <w:jc w:val="both"/>
                    <w:textAlignment w:val="auto"/>
                    <w:outlineLvl w:val="9"/>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10.2 完善政策支持</w:t>
                  </w:r>
                </w:p>
                <w:p w14:paraId="730717CA">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本规划实施后，按重点项目计划推进环保共性产业园、共性工厂建设，镇内其他区域原则上不再审批或备案环保共性产业园核心区、共性工厂涉及的共性工序的规模以下建设项目，规模以下建设项目是指产值小于 2 千万元/年的项目；对于符合镇街产业布局等相关规划、环保手续齐全、清洁生产达到国内或国际先进水平的规模以下技改、扩建、搬迁建设项目，经镇街政府同意后，方可向生态环境部门报批或备案项目建设。</w:t>
                  </w:r>
                </w:p>
                <w:p w14:paraId="1E4BED58">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s="Times New Roman"/>
                      <w:b w:val="0"/>
                      <w:bCs w:val="0"/>
                      <w:color w:val="auto"/>
                      <w:kern w:val="0"/>
                      <w:sz w:val="21"/>
                      <w:szCs w:val="21"/>
                      <w:lang w:val="en-US" w:eastAsia="zh-CN" w:bidi="ar-SA"/>
                    </w:rPr>
                  </w:pPr>
                  <w:r>
                    <w:rPr>
                      <w:rFonts w:hint="default" w:ascii="Times New Roman" w:hAnsi="Times New Roman" w:eastAsia="宋体" w:cs="Times New Roman"/>
                      <w:b w:val="0"/>
                      <w:bCs w:val="0"/>
                      <w:color w:val="auto"/>
                      <w:kern w:val="0"/>
                      <w:sz w:val="21"/>
                      <w:szCs w:val="21"/>
                      <w:lang w:val="en-US" w:eastAsia="zh-CN" w:bidi="ar-SA"/>
                    </w:rPr>
                    <w:t>建设南朗街道健康医药环保共性产业园。推进建设西湾医药与健康产业园，配套建设集中式工业废水处理设施，统一处理西湾医药与健康产业园、中山市华南现代中医药城生产废水，优化中山市华南现代中医药城公共配套，高标准建设南朗街道健康医药环保共性产业园。</w:t>
                  </w:r>
                </w:p>
                <w:p w14:paraId="084DB605">
                  <w:pPr>
                    <w:keepNext/>
                    <w:keepLines/>
                    <w:pageBreakBefore w:val="0"/>
                    <w:widowControl w:val="0"/>
                    <w:numPr>
                      <w:ilvl w:val="0"/>
                      <w:numId w:val="0"/>
                    </w:numPr>
                    <w:tabs>
                      <w:tab w:val="left" w:pos="420"/>
                    </w:tabs>
                    <w:kinsoku/>
                    <w:wordWrap/>
                    <w:overflowPunct/>
                    <w:topLinePunct w:val="0"/>
                    <w:autoSpaceDE/>
                    <w:autoSpaceDN/>
                    <w:bidi w:val="0"/>
                    <w:adjustRightInd/>
                    <w:snapToGrid/>
                    <w:spacing w:line="360" w:lineRule="auto"/>
                    <w:ind w:left="0" w:leftChars="0" w:firstLine="420" w:firstLineChars="200"/>
                    <w:jc w:val="both"/>
                    <w:textAlignment w:val="auto"/>
                    <w:outlineLvl w:val="9"/>
                    <w:rPr>
                      <w:rFonts w:hint="default" w:ascii="Times New Roman" w:hAnsi="Times New Roman" w:eastAsia="宋体"/>
                      <w:color w:val="auto"/>
                      <w:sz w:val="21"/>
                      <w:szCs w:val="21"/>
                      <w:lang w:val="en-US"/>
                    </w:rPr>
                  </w:pPr>
                  <w:r>
                    <w:rPr>
                      <w:rFonts w:hint="default" w:ascii="Times New Roman" w:hAnsi="Times New Roman" w:eastAsia="宋体" w:cs="Times New Roman"/>
                      <w:b w:val="0"/>
                      <w:bCs w:val="0"/>
                      <w:color w:val="auto"/>
                      <w:kern w:val="0"/>
                      <w:sz w:val="21"/>
                      <w:szCs w:val="21"/>
                      <w:lang w:val="en-US" w:eastAsia="zh-CN" w:bidi="ar-SA"/>
                    </w:rPr>
                    <w:t>南朗街道健康医药环保共性产业园（西湾医药与健康产业园、中山市华南现代中医药城）</w:t>
                  </w:r>
                  <w:r>
                    <w:rPr>
                      <w:rFonts w:hint="eastAsia" w:cs="Times New Roman"/>
                      <w:b w:val="0"/>
                      <w:bCs w:val="0"/>
                      <w:color w:val="auto"/>
                      <w:kern w:val="0"/>
                      <w:sz w:val="21"/>
                      <w:szCs w:val="21"/>
                      <w:lang w:val="en-US" w:eastAsia="zh-CN" w:bidi="ar-SA"/>
                    </w:rPr>
                    <w:t>规划发展产业</w:t>
                  </w:r>
                  <w:r>
                    <w:rPr>
                      <w:rFonts w:hint="eastAsia" w:ascii="Times New Roman" w:hAnsi="Times New Roman" w:eastAsia="宋体" w:cs="Times New Roman"/>
                      <w:b w:val="0"/>
                      <w:bCs w:val="0"/>
                      <w:color w:val="auto"/>
                      <w:kern w:val="0"/>
                      <w:sz w:val="21"/>
                      <w:szCs w:val="21"/>
                      <w:lang w:val="en-US" w:eastAsia="zh-CN" w:bidi="ar-SA"/>
                    </w:rPr>
                    <w:t>为：生物制药、保健品、医疗器械、保健品、食品、化妆品、医疗检测、生物医药科研</w:t>
                  </w:r>
                  <w:r>
                    <w:rPr>
                      <w:rFonts w:hint="eastAsia" w:cs="Times New Roman"/>
                      <w:b w:val="0"/>
                      <w:bCs w:val="0"/>
                      <w:color w:val="auto"/>
                      <w:kern w:val="0"/>
                      <w:sz w:val="21"/>
                      <w:szCs w:val="21"/>
                      <w:lang w:val="en-US" w:eastAsia="zh-CN" w:bidi="ar-SA"/>
                    </w:rPr>
                    <w:t>；主要生产工艺为：健康医药（新建废水处理站）。</w:t>
                  </w:r>
                </w:p>
              </w:tc>
              <w:tc>
                <w:tcPr>
                  <w:tcW w:w="1470" w:type="pct"/>
                  <w:vAlign w:val="center"/>
                </w:tcPr>
                <w:p w14:paraId="6690C445">
                  <w:pPr>
                    <w:pStyle w:val="15"/>
                    <w:jc w:val="center"/>
                    <w:rPr>
                      <w:rFonts w:hint="eastAsia" w:ascii="Times New Roman" w:hAnsi="Times New Roman" w:eastAsia="宋体"/>
                      <w:color w:val="auto"/>
                      <w:sz w:val="21"/>
                      <w:szCs w:val="21"/>
                    </w:rPr>
                  </w:pPr>
                  <w:r>
                    <w:rPr>
                      <w:rFonts w:hint="eastAsia" w:ascii="Times New Roman" w:hAnsi="Times New Roman" w:eastAsia="宋体"/>
                      <w:color w:val="auto"/>
                      <w:sz w:val="21"/>
                      <w:szCs w:val="21"/>
                      <w:lang w:val="en-US" w:eastAsia="zh-CN"/>
                    </w:rPr>
                    <w:t>本项目位于</w:t>
                  </w:r>
                  <w:r>
                    <w:rPr>
                      <w:rFonts w:hint="eastAsia" w:ascii="Times New Roman" w:hAnsi="Times New Roman" w:eastAsia="宋体" w:cs="宋体"/>
                      <w:color w:val="auto"/>
                      <w:sz w:val="21"/>
                      <w:szCs w:val="21"/>
                      <w:lang w:val="en-US"/>
                    </w:rPr>
                    <w:t>中山市南朗镇第一工业区龙基路南燕玻璃马赛克有限公司6#厂房(原玻璃车间)</w:t>
                  </w:r>
                  <w:r>
                    <w:rPr>
                      <w:rFonts w:hint="eastAsia" w:ascii="Times New Roman" w:hAnsi="Times New Roman" w:eastAsia="宋体" w:cs="宋体"/>
                      <w:color w:val="auto"/>
                      <w:sz w:val="21"/>
                      <w:szCs w:val="21"/>
                      <w:lang w:val="en-US" w:eastAsia="zh-CN"/>
                    </w:rPr>
                    <w:t>，国民经济行业类别为C3360金属表面处理及热处理加工</w:t>
                  </w:r>
                  <w:r>
                    <w:rPr>
                      <w:rFonts w:hint="eastAsia" w:cs="宋体"/>
                      <w:color w:val="auto"/>
                      <w:sz w:val="21"/>
                      <w:szCs w:val="21"/>
                      <w:lang w:val="en-US" w:eastAsia="zh-CN"/>
                    </w:rPr>
                    <w:t>、</w:t>
                  </w:r>
                  <w:r>
                    <w:rPr>
                      <w:rFonts w:hint="eastAsia" w:cs="宋体"/>
                      <w:color w:val="auto"/>
                      <w:sz w:val="21"/>
                      <w:szCs w:val="21"/>
                      <w:lang w:val="en-US" w:eastAsia="zh-CN"/>
                    </w:rPr>
                    <w:t>C3586 康复辅具制造</w:t>
                  </w:r>
                  <w:r>
                    <w:rPr>
                      <w:rFonts w:hint="eastAsia" w:ascii="Times New Roman" w:hAnsi="Times New Roman" w:eastAsia="宋体" w:cs="宋体"/>
                      <w:color w:val="auto"/>
                      <w:sz w:val="21"/>
                      <w:szCs w:val="21"/>
                      <w:lang w:val="en-US" w:eastAsia="zh-CN"/>
                    </w:rPr>
                    <w:t>，主要工序为除油、清洗、陶化、固化、喷粉，</w:t>
                  </w:r>
                  <w:r>
                    <w:rPr>
                      <w:rFonts w:hint="eastAsia" w:ascii="Times New Roman" w:hAnsi="Times New Roman" w:eastAsia="宋体" w:cs="宋体"/>
                      <w:color w:val="auto"/>
                      <w:sz w:val="21"/>
                      <w:szCs w:val="21"/>
                      <w:lang w:val="en-US" w:eastAsia="zh-CN"/>
                    </w:rPr>
                    <w:t>产品为</w:t>
                  </w:r>
                  <w:r>
                    <w:rPr>
                      <w:rFonts w:hint="eastAsia" w:ascii="Times New Roman" w:hAnsi="Times New Roman" w:eastAsia="宋体" w:cs="Times New Roman"/>
                      <w:b/>
                      <w:bCs w:val="0"/>
                      <w:color w:val="auto"/>
                      <w:kern w:val="0"/>
                      <w:sz w:val="21"/>
                      <w:szCs w:val="21"/>
                      <w:highlight w:val="none"/>
                      <w:lang w:val="en-US" w:eastAsia="zh-CN" w:bidi="ar-SA"/>
                    </w:rPr>
                    <w:t>医疗辅具配件</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本项目生产工艺不含</w:t>
                  </w:r>
                  <w:r>
                    <w:rPr>
                      <w:rFonts w:hint="default" w:ascii="Times New Roman" w:hAnsi="Times New Roman" w:eastAsia="宋体" w:cs="Times New Roman"/>
                      <w:b w:val="0"/>
                      <w:bCs w:val="0"/>
                      <w:color w:val="auto"/>
                      <w:kern w:val="0"/>
                      <w:sz w:val="21"/>
                      <w:szCs w:val="21"/>
                      <w:lang w:val="en-US" w:eastAsia="zh-CN" w:bidi="ar-SA"/>
                    </w:rPr>
                    <w:t>南朗街道健康医药环保共性产业园</w:t>
                  </w:r>
                  <w:r>
                    <w:rPr>
                      <w:rFonts w:hint="eastAsia" w:ascii="Times New Roman" w:hAnsi="Times New Roman" w:eastAsia="宋体" w:cs="Times New Roman"/>
                      <w:b w:val="0"/>
                      <w:bCs w:val="0"/>
                      <w:color w:val="auto"/>
                      <w:kern w:val="0"/>
                      <w:sz w:val="21"/>
                      <w:szCs w:val="21"/>
                      <w:lang w:val="en-US" w:eastAsia="zh-CN" w:bidi="ar-SA"/>
                    </w:rPr>
                    <w:t>主要生产工艺（健康医药），</w:t>
                  </w:r>
                  <w:r>
                    <w:rPr>
                      <w:rFonts w:hint="eastAsia" w:ascii="Times New Roman" w:hAnsi="Times New Roman" w:eastAsia="宋体" w:cs="Times New Roman"/>
                      <w:b w:val="0"/>
                      <w:bCs w:val="0"/>
                      <w:color w:val="auto"/>
                      <w:kern w:val="0"/>
                      <w:sz w:val="21"/>
                      <w:szCs w:val="21"/>
                      <w:lang w:val="en-US" w:eastAsia="zh-CN" w:bidi="ar-SA"/>
                    </w:rPr>
                    <w:t>故本项目</w:t>
                  </w:r>
                  <w:r>
                    <w:rPr>
                      <w:rFonts w:hint="eastAsia" w:ascii="Times New Roman" w:hAnsi="Times New Roman" w:eastAsia="宋体" w:cs="宋体"/>
                      <w:strike w:val="0"/>
                      <w:dstrike w:val="0"/>
                      <w:color w:val="auto"/>
                      <w:sz w:val="21"/>
                      <w:szCs w:val="21"/>
                      <w:lang w:val="en-US" w:eastAsia="zh-CN"/>
                    </w:rPr>
                    <w:t>不属于南朗街道健康医药环保共性产业园建设内容</w:t>
                  </w:r>
                  <w:r>
                    <w:rPr>
                      <w:rFonts w:hint="eastAsia" w:ascii="Times New Roman" w:hAnsi="Times New Roman" w:eastAsia="宋体" w:cs="宋体"/>
                      <w:strike w:val="0"/>
                      <w:color w:val="auto"/>
                      <w:sz w:val="21"/>
                      <w:szCs w:val="21"/>
                      <w:lang w:val="en-US" w:eastAsia="zh-CN"/>
                    </w:rPr>
                    <w:t>，</w:t>
                  </w:r>
                  <w:r>
                    <w:rPr>
                      <w:rFonts w:hint="eastAsia" w:ascii="Times New Roman" w:hAnsi="Times New Roman" w:eastAsia="宋体" w:cs="宋体"/>
                      <w:color w:val="auto"/>
                      <w:sz w:val="21"/>
                      <w:szCs w:val="21"/>
                      <w:lang w:val="en-US" w:eastAsia="zh-CN"/>
                    </w:rPr>
                    <w:t>无需进入园区内建设。</w:t>
                  </w:r>
                </w:p>
              </w:tc>
              <w:tc>
                <w:tcPr>
                  <w:tcW w:w="325" w:type="pct"/>
                  <w:vAlign w:val="center"/>
                </w:tcPr>
                <w:p w14:paraId="606BBDF8">
                  <w:pPr>
                    <w:pStyle w:val="15"/>
                    <w:jc w:val="center"/>
                    <w:rPr>
                      <w:rFonts w:ascii="Times New Roman" w:hAnsi="Times New Roman" w:eastAsia="宋体"/>
                      <w:color w:val="auto"/>
                      <w:sz w:val="21"/>
                      <w:szCs w:val="21"/>
                    </w:rPr>
                  </w:pPr>
                </w:p>
              </w:tc>
            </w:tr>
            <w:tr w14:paraId="3AD78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69" w:type="pct"/>
                  <w:vAlign w:val="center"/>
                </w:tcPr>
                <w:p w14:paraId="05908191">
                  <w:pPr>
                    <w:pStyle w:val="15"/>
                    <w:jc w:val="center"/>
                    <w:rPr>
                      <w:rFonts w:hint="default" w:ascii="Times New Roman" w:hAnsi="Times New Roman" w:eastAsia="宋体"/>
                      <w:color w:val="auto"/>
                      <w:sz w:val="21"/>
                      <w:szCs w:val="21"/>
                      <w:lang w:val="en-US" w:eastAsia="zh-CN"/>
                    </w:rPr>
                  </w:pPr>
                  <w:r>
                    <w:rPr>
                      <w:rFonts w:hint="eastAsia"/>
                      <w:color w:val="auto"/>
                      <w:sz w:val="21"/>
                      <w:szCs w:val="21"/>
                      <w:lang w:val="en-US" w:eastAsia="zh-CN"/>
                    </w:rPr>
                    <w:t>10</w:t>
                  </w:r>
                </w:p>
              </w:tc>
              <w:tc>
                <w:tcPr>
                  <w:tcW w:w="815" w:type="pct"/>
                  <w:vAlign w:val="center"/>
                </w:tcPr>
                <w:p w14:paraId="79A43FDE">
                  <w:pPr>
                    <w:pStyle w:val="15"/>
                    <w:jc w:val="center"/>
                    <w:rPr>
                      <w:rFonts w:ascii="Times New Roman" w:hAnsi="Times New Roman" w:eastAsia="宋体"/>
                      <w:color w:val="auto"/>
                      <w:sz w:val="21"/>
                      <w:szCs w:val="21"/>
                    </w:rPr>
                  </w:pPr>
                  <w:r>
                    <w:rPr>
                      <w:rFonts w:hint="eastAsia" w:ascii="Times New Roman" w:hAnsi="Times New Roman" w:eastAsia="宋体"/>
                      <w:color w:val="auto"/>
                      <w:sz w:val="21"/>
                      <w:szCs w:val="21"/>
                    </w:rPr>
                    <w:t>中山市自然资源一图通</w:t>
                  </w:r>
                </w:p>
              </w:tc>
              <w:tc>
                <w:tcPr>
                  <w:tcW w:w="2119" w:type="pct"/>
                  <w:vAlign w:val="center"/>
                </w:tcPr>
                <w:p w14:paraId="6ED47446">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w:t>
                  </w:r>
                </w:p>
              </w:tc>
              <w:tc>
                <w:tcPr>
                  <w:tcW w:w="1470" w:type="pct"/>
                  <w:vAlign w:val="center"/>
                </w:tcPr>
                <w:p w14:paraId="7CB197DC">
                  <w:pPr>
                    <w:pStyle w:val="15"/>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根据中山市自然资源局关于项目所在地用地规划信息公开的答复(附图3)</w:t>
                  </w:r>
                  <w:r>
                    <w:rPr>
                      <w:rFonts w:hint="eastAsia"/>
                      <w:color w:val="auto"/>
                      <w:sz w:val="21"/>
                      <w:szCs w:val="21"/>
                      <w:lang w:val="en-US" w:eastAsia="zh-CN"/>
                    </w:rPr>
                    <w:t>，</w:t>
                  </w:r>
                  <w:r>
                    <w:rPr>
                      <w:rFonts w:hint="eastAsia"/>
                      <w:color w:val="auto"/>
                      <w:sz w:val="21"/>
                      <w:szCs w:val="21"/>
                      <w:lang w:val="en-US" w:eastAsia="zh-CN"/>
                    </w:rPr>
                    <w:t>“该用地在《中山市国土空间总体规划（2021-2035年）》中为城乡建设用地（工业用地、城镇道路用地）”，</w:t>
                  </w:r>
                  <w:r>
                    <w:rPr>
                      <w:rFonts w:hint="eastAsia"/>
                      <w:color w:val="auto"/>
                      <w:sz w:val="21"/>
                      <w:szCs w:val="21"/>
                      <w:lang w:val="en-US" w:eastAsia="zh-CN"/>
                    </w:rPr>
                    <w:t>因此项目用地可作为</w:t>
                  </w:r>
                  <w:r>
                    <w:rPr>
                      <w:rFonts w:hint="eastAsia" w:ascii="Times New Roman" w:hAnsi="Times New Roman" w:eastAsia="宋体"/>
                      <w:color w:val="auto"/>
                      <w:sz w:val="21"/>
                      <w:szCs w:val="21"/>
                    </w:rPr>
                    <w:t>工业用地</w:t>
                  </w:r>
                  <w:r>
                    <w:rPr>
                      <w:rFonts w:hint="eastAsia"/>
                      <w:color w:val="auto"/>
                      <w:sz w:val="21"/>
                      <w:szCs w:val="21"/>
                      <w:lang w:eastAsia="zh-CN"/>
                    </w:rPr>
                    <w:t>。</w:t>
                  </w:r>
                </w:p>
              </w:tc>
              <w:tc>
                <w:tcPr>
                  <w:tcW w:w="325" w:type="pct"/>
                  <w:vAlign w:val="center"/>
                </w:tcPr>
                <w:p w14:paraId="6455FD49">
                  <w:pPr>
                    <w:pStyle w:val="15"/>
                    <w:jc w:val="center"/>
                    <w:rPr>
                      <w:rFonts w:ascii="Times New Roman" w:hAnsi="Times New Roman" w:eastAsia="宋体"/>
                      <w:color w:val="auto"/>
                      <w:sz w:val="21"/>
                      <w:szCs w:val="21"/>
                    </w:rPr>
                  </w:pPr>
                  <w:r>
                    <w:rPr>
                      <w:rFonts w:ascii="Times New Roman" w:hAnsi="Times New Roman" w:eastAsia="宋体"/>
                      <w:color w:val="auto"/>
                      <w:sz w:val="21"/>
                      <w:szCs w:val="21"/>
                    </w:rPr>
                    <w:t>符合</w:t>
                  </w:r>
                </w:p>
              </w:tc>
            </w:tr>
          </w:tbl>
          <w:p w14:paraId="75A715B6">
            <w:pPr>
              <w:pStyle w:val="169"/>
              <w:rPr>
                <w:rFonts w:ascii="Times New Roman" w:hAnsi="Times New Roman" w:eastAsia="宋体"/>
                <w:color w:val="auto"/>
                <w:sz w:val="21"/>
                <w:szCs w:val="21"/>
              </w:rPr>
            </w:pPr>
          </w:p>
        </w:tc>
      </w:tr>
    </w:tbl>
    <w:p w14:paraId="7C34C4F0">
      <w:pPr>
        <w:spacing w:line="360" w:lineRule="auto"/>
        <w:outlineLvl w:val="0"/>
        <w:rPr>
          <w:rFonts w:eastAsia="黑体"/>
          <w:color w:val="auto"/>
          <w:szCs w:val="21"/>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11EDF06D">
      <w:pPr>
        <w:pStyle w:val="31"/>
        <w:rPr>
          <w:snapToGrid w:val="0"/>
          <w:color w:val="auto"/>
          <w:sz w:val="30"/>
          <w:szCs w:val="30"/>
        </w:rPr>
      </w:pPr>
      <w:bookmarkStart w:id="4" w:name="_Toc72508644"/>
      <w:r>
        <w:rPr>
          <w:rFonts w:hint="eastAsia"/>
          <w:snapToGrid w:val="0"/>
          <w:color w:val="auto"/>
          <w:sz w:val="30"/>
          <w:szCs w:val="30"/>
        </w:rPr>
        <w:t>二、建设项目工程分析</w:t>
      </w:r>
      <w:bookmarkEnd w:id="4"/>
    </w:p>
    <w:tbl>
      <w:tblPr>
        <w:tblStyle w:val="35"/>
        <w:tblpPr w:leftFromText="180" w:rightFromText="180" w:vertAnchor="text" w:tblpXSpec="center" w:tblpY="1"/>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6"/>
        <w:gridCol w:w="8464"/>
      </w:tblGrid>
      <w:tr w14:paraId="6DF4C0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0" w:hRule="atLeast"/>
        </w:trPr>
        <w:tc>
          <w:tcPr>
            <w:tcW w:w="596" w:type="dxa"/>
            <w:vAlign w:val="center"/>
          </w:tcPr>
          <w:p w14:paraId="6723F4E1">
            <w:pPr>
              <w:pStyle w:val="30"/>
              <w:adjustRightInd w:val="0"/>
              <w:snapToGrid w:val="0"/>
              <w:spacing w:before="0" w:beforeAutospacing="0" w:after="0" w:afterAutospacing="0"/>
              <w:jc w:val="center"/>
              <w:rPr>
                <w:rFonts w:cs="宋体"/>
                <w:color w:val="auto"/>
                <w:sz w:val="21"/>
                <w:szCs w:val="21"/>
              </w:rPr>
            </w:pPr>
            <w:r>
              <w:rPr>
                <w:rFonts w:hint="eastAsia" w:cs="宋体"/>
                <w:color w:val="auto"/>
                <w:sz w:val="21"/>
                <w:szCs w:val="21"/>
              </w:rPr>
              <w:t>建设内容</w:t>
            </w:r>
          </w:p>
        </w:tc>
        <w:tc>
          <w:tcPr>
            <w:tcW w:w="8464" w:type="dxa"/>
          </w:tcPr>
          <w:p w14:paraId="0C209C04">
            <w:pPr>
              <w:pStyle w:val="157"/>
              <w:ind w:firstLine="0" w:firstLineChars="0"/>
              <w:rPr>
                <w:b/>
                <w:color w:val="auto"/>
                <w:sz w:val="21"/>
                <w:szCs w:val="21"/>
                <w:lang w:val="en-US"/>
              </w:rPr>
            </w:pPr>
            <w:r>
              <w:rPr>
                <w:b/>
                <w:color w:val="auto"/>
                <w:sz w:val="21"/>
                <w:szCs w:val="21"/>
                <w:lang w:val="en-US"/>
              </w:rPr>
              <w:t>工程内容及规模：</w:t>
            </w:r>
          </w:p>
          <w:p w14:paraId="0D41E6AB">
            <w:pPr>
              <w:pStyle w:val="157"/>
              <w:ind w:firstLine="422"/>
              <w:rPr>
                <w:b/>
                <w:color w:val="auto"/>
                <w:sz w:val="21"/>
                <w:szCs w:val="21"/>
              </w:rPr>
            </w:pPr>
            <w:r>
              <w:rPr>
                <w:rFonts w:hint="eastAsia"/>
                <w:b/>
                <w:color w:val="auto"/>
                <w:sz w:val="21"/>
                <w:szCs w:val="21"/>
              </w:rPr>
              <w:t>一、环评类别判定说明</w:t>
            </w:r>
          </w:p>
          <w:p w14:paraId="01949BE5">
            <w:pPr>
              <w:pStyle w:val="9"/>
              <w:ind w:left="630" w:leftChars="0" w:firstLineChars="0"/>
              <w:rPr>
                <w:color w:val="auto"/>
                <w:szCs w:val="21"/>
              </w:rPr>
            </w:pPr>
            <w:r>
              <w:rPr>
                <w:rFonts w:hint="eastAsia"/>
                <w:color w:val="auto"/>
                <w:szCs w:val="21"/>
              </w:rPr>
              <w:t>环评类别判定表</w:t>
            </w:r>
          </w:p>
          <w:tbl>
            <w:tblPr>
              <w:tblStyle w:val="35"/>
              <w:tblW w:w="7976" w:type="dxa"/>
              <w:tblInd w:w="14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84"/>
              <w:gridCol w:w="1919"/>
              <w:gridCol w:w="938"/>
              <w:gridCol w:w="1011"/>
              <w:gridCol w:w="2175"/>
              <w:gridCol w:w="771"/>
              <w:gridCol w:w="678"/>
            </w:tblGrid>
            <w:tr w14:paraId="365693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6" w:hRule="atLeast"/>
              </w:trPr>
              <w:tc>
                <w:tcPr>
                  <w:tcW w:w="303" w:type="pct"/>
                  <w:vAlign w:val="center"/>
                </w:tcPr>
                <w:p w14:paraId="1CE76CA8">
                  <w:pPr>
                    <w:pStyle w:val="70"/>
                    <w:rPr>
                      <w:color w:val="auto"/>
                    </w:rPr>
                  </w:pPr>
                  <w:r>
                    <w:rPr>
                      <w:rFonts w:hint="eastAsia"/>
                      <w:color w:val="auto"/>
                    </w:rPr>
                    <w:t>序号</w:t>
                  </w:r>
                </w:p>
              </w:tc>
              <w:tc>
                <w:tcPr>
                  <w:tcW w:w="1202" w:type="pct"/>
                  <w:vAlign w:val="center"/>
                </w:tcPr>
                <w:p w14:paraId="27FB4EDA">
                  <w:pPr>
                    <w:pStyle w:val="70"/>
                    <w:rPr>
                      <w:color w:val="auto"/>
                    </w:rPr>
                  </w:pPr>
                  <w:r>
                    <w:rPr>
                      <w:rFonts w:hint="eastAsia"/>
                      <w:color w:val="auto"/>
                    </w:rPr>
                    <w:t>国民经济行业类别</w:t>
                  </w:r>
                </w:p>
              </w:tc>
              <w:tc>
                <w:tcPr>
                  <w:tcW w:w="588" w:type="pct"/>
                  <w:vAlign w:val="center"/>
                </w:tcPr>
                <w:p w14:paraId="26AA765D">
                  <w:pPr>
                    <w:pStyle w:val="70"/>
                    <w:rPr>
                      <w:color w:val="auto"/>
                    </w:rPr>
                  </w:pPr>
                  <w:r>
                    <w:rPr>
                      <w:rFonts w:hint="eastAsia"/>
                      <w:color w:val="auto"/>
                    </w:rPr>
                    <w:t>产品产能</w:t>
                  </w:r>
                </w:p>
              </w:tc>
              <w:tc>
                <w:tcPr>
                  <w:tcW w:w="633" w:type="pct"/>
                  <w:vAlign w:val="center"/>
                </w:tcPr>
                <w:p w14:paraId="35EFC31F">
                  <w:pPr>
                    <w:pStyle w:val="70"/>
                    <w:rPr>
                      <w:color w:val="auto"/>
                    </w:rPr>
                  </w:pPr>
                  <w:r>
                    <w:rPr>
                      <w:rFonts w:hint="eastAsia"/>
                      <w:color w:val="auto"/>
                    </w:rPr>
                    <w:t>工艺</w:t>
                  </w:r>
                </w:p>
              </w:tc>
              <w:tc>
                <w:tcPr>
                  <w:tcW w:w="1363" w:type="pct"/>
                  <w:vAlign w:val="center"/>
                </w:tcPr>
                <w:p w14:paraId="6FAD0588">
                  <w:pPr>
                    <w:pStyle w:val="70"/>
                    <w:rPr>
                      <w:color w:val="auto"/>
                    </w:rPr>
                  </w:pPr>
                  <w:r>
                    <w:rPr>
                      <w:rFonts w:hint="eastAsia"/>
                      <w:color w:val="auto"/>
                    </w:rPr>
                    <w:t>对名录的条款</w:t>
                  </w:r>
                </w:p>
              </w:tc>
              <w:tc>
                <w:tcPr>
                  <w:tcW w:w="483" w:type="pct"/>
                  <w:vAlign w:val="center"/>
                </w:tcPr>
                <w:p w14:paraId="07485032">
                  <w:pPr>
                    <w:pStyle w:val="70"/>
                    <w:rPr>
                      <w:color w:val="auto"/>
                    </w:rPr>
                  </w:pPr>
                  <w:r>
                    <w:rPr>
                      <w:rFonts w:hint="eastAsia"/>
                      <w:color w:val="auto"/>
                    </w:rPr>
                    <w:t>敏感区</w:t>
                  </w:r>
                </w:p>
              </w:tc>
              <w:tc>
                <w:tcPr>
                  <w:tcW w:w="425" w:type="pct"/>
                  <w:vAlign w:val="center"/>
                </w:tcPr>
                <w:p w14:paraId="19AF0D06">
                  <w:pPr>
                    <w:pStyle w:val="70"/>
                    <w:rPr>
                      <w:color w:val="auto"/>
                    </w:rPr>
                  </w:pPr>
                  <w:r>
                    <w:rPr>
                      <w:rFonts w:hint="eastAsia"/>
                      <w:color w:val="auto"/>
                    </w:rPr>
                    <w:t>类别</w:t>
                  </w:r>
                </w:p>
              </w:tc>
            </w:tr>
            <w:tr w14:paraId="52AD1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26" w:hRule="atLeast"/>
              </w:trPr>
              <w:tc>
                <w:tcPr>
                  <w:tcW w:w="303" w:type="pct"/>
                  <w:vAlign w:val="center"/>
                </w:tcPr>
                <w:p w14:paraId="32B72D66">
                  <w:pPr>
                    <w:pStyle w:val="70"/>
                    <w:rPr>
                      <w:color w:val="auto"/>
                    </w:rPr>
                  </w:pPr>
                  <w:r>
                    <w:rPr>
                      <w:bCs/>
                      <w:color w:val="auto"/>
                    </w:rPr>
                    <w:t>1</w:t>
                  </w:r>
                </w:p>
              </w:tc>
              <w:tc>
                <w:tcPr>
                  <w:tcW w:w="1202" w:type="pct"/>
                  <w:vAlign w:val="center"/>
                </w:tcPr>
                <w:p w14:paraId="792DE197">
                  <w:pPr>
                    <w:pStyle w:val="70"/>
                    <w:jc w:val="both"/>
                    <w:rPr>
                      <w:rStyle w:val="45"/>
                      <w:rFonts w:hint="eastAsia"/>
                      <w:color w:val="auto"/>
                      <w:kern w:val="0"/>
                      <w:lang w:val="en-US"/>
                    </w:rPr>
                  </w:pPr>
                  <w:r>
                    <w:rPr>
                      <w:rStyle w:val="45"/>
                      <w:rFonts w:hint="eastAsia"/>
                      <w:color w:val="auto"/>
                      <w:kern w:val="0"/>
                      <w:lang w:val="en-US"/>
                    </w:rPr>
                    <w:t>C3360金属表面处理及热处理加工</w:t>
                  </w:r>
                </w:p>
                <w:p w14:paraId="7FD587E3">
                  <w:pPr>
                    <w:pStyle w:val="169"/>
                    <w:jc w:val="left"/>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C358</w:t>
                  </w:r>
                  <w:r>
                    <w:rPr>
                      <w:rFonts w:hint="eastAsia" w:cs="Times New Roman"/>
                      <w:color w:val="auto"/>
                      <w:sz w:val="21"/>
                      <w:szCs w:val="21"/>
                      <w:lang w:val="en-US" w:eastAsia="zh-CN"/>
                    </w:rPr>
                    <w:t>6</w:t>
                  </w:r>
                  <w:r>
                    <w:rPr>
                      <w:rFonts w:hint="eastAsia" w:ascii="Times New Roman" w:hAnsi="Times New Roman" w:eastAsia="宋体" w:cs="Times New Roman"/>
                      <w:color w:val="auto"/>
                      <w:sz w:val="21"/>
                      <w:szCs w:val="21"/>
                      <w:lang w:val="en-US" w:eastAsia="zh-CN"/>
                    </w:rPr>
                    <w:t xml:space="preserve"> </w:t>
                  </w:r>
                  <w:r>
                    <w:rPr>
                      <w:rFonts w:hint="eastAsia" w:cs="Times New Roman"/>
                      <w:color w:val="auto"/>
                      <w:sz w:val="21"/>
                      <w:szCs w:val="21"/>
                      <w:lang w:val="en-US" w:eastAsia="zh-CN"/>
                    </w:rPr>
                    <w:t>康复辅具</w:t>
                  </w:r>
                  <w:r>
                    <w:rPr>
                      <w:rFonts w:hint="eastAsia" w:ascii="Times New Roman" w:hAnsi="Times New Roman" w:eastAsia="宋体" w:cs="Times New Roman"/>
                      <w:color w:val="auto"/>
                      <w:sz w:val="21"/>
                      <w:szCs w:val="21"/>
                      <w:lang w:val="en-US" w:eastAsia="zh-CN"/>
                    </w:rPr>
                    <w:t>制造</w:t>
                  </w:r>
                </w:p>
                <w:p w14:paraId="5A8E59B5">
                  <w:pPr>
                    <w:pStyle w:val="70"/>
                    <w:jc w:val="both"/>
                    <w:rPr>
                      <w:rStyle w:val="45"/>
                      <w:rFonts w:hint="eastAsia"/>
                      <w:color w:val="auto"/>
                      <w:kern w:val="0"/>
                      <w:lang w:val="en-US"/>
                    </w:rPr>
                  </w:pPr>
                </w:p>
              </w:tc>
              <w:tc>
                <w:tcPr>
                  <w:tcW w:w="588" w:type="pct"/>
                  <w:vAlign w:val="center"/>
                </w:tcPr>
                <w:p w14:paraId="13CA9589">
                  <w:pPr>
                    <w:pStyle w:val="70"/>
                    <w:rPr>
                      <w:color w:val="auto"/>
                      <w:lang w:val="en-US"/>
                    </w:rPr>
                  </w:pPr>
                  <w:r>
                    <w:rPr>
                      <w:rFonts w:hint="eastAsia"/>
                      <w:bCs/>
                      <w:color w:val="auto"/>
                      <w:lang w:val="en-US"/>
                    </w:rPr>
                    <w:t>五金配件</w:t>
                  </w:r>
                  <w:r>
                    <w:rPr>
                      <w:rFonts w:hint="eastAsia"/>
                      <w:bCs/>
                      <w:color w:val="auto"/>
                      <w:highlight w:val="none"/>
                      <w:lang w:val="en-US" w:eastAsia="zh-CN"/>
                    </w:rPr>
                    <w:t>616</w:t>
                  </w:r>
                  <w:r>
                    <w:rPr>
                      <w:rFonts w:hint="eastAsia"/>
                      <w:bCs/>
                      <w:color w:val="auto"/>
                      <w:lang w:val="en-US"/>
                    </w:rPr>
                    <w:t>吨</w:t>
                  </w:r>
                </w:p>
              </w:tc>
              <w:tc>
                <w:tcPr>
                  <w:tcW w:w="633" w:type="pct"/>
                  <w:vAlign w:val="center"/>
                </w:tcPr>
                <w:p w14:paraId="6BE70DDD">
                  <w:pPr>
                    <w:pStyle w:val="70"/>
                    <w:rPr>
                      <w:color w:val="auto"/>
                    </w:rPr>
                  </w:pPr>
                  <w:r>
                    <w:rPr>
                      <w:rFonts w:hint="eastAsia"/>
                      <w:bCs/>
                      <w:color w:val="auto"/>
                      <w:lang w:val="en-US"/>
                    </w:rPr>
                    <w:t>除油、清洗、陶化、固化、喷粉</w:t>
                  </w:r>
                </w:p>
              </w:tc>
              <w:tc>
                <w:tcPr>
                  <w:tcW w:w="1363" w:type="pct"/>
                  <w:vAlign w:val="center"/>
                </w:tcPr>
                <w:p w14:paraId="63CBCC45">
                  <w:pPr>
                    <w:pStyle w:val="70"/>
                    <w:jc w:val="both"/>
                    <w:rPr>
                      <w:rFonts w:hint="eastAsia"/>
                      <w:color w:val="auto"/>
                    </w:rPr>
                  </w:pPr>
                  <w:r>
                    <w:rPr>
                      <w:rFonts w:hint="eastAsia"/>
                      <w:color w:val="auto"/>
                      <w:sz w:val="21"/>
                      <w:szCs w:val="21"/>
                      <w:lang w:val="en-US" w:eastAsia="zh-CN"/>
                    </w:rPr>
                    <w:t>三十、金属制品业33-67</w:t>
                  </w:r>
                  <w:r>
                    <w:rPr>
                      <w:rFonts w:hint="eastAsia"/>
                      <w:color w:val="auto"/>
                    </w:rPr>
                    <w:t>金属表面处理及热处理加工--其他（年用非溶剂型低VOCs含量涂料10吨以下的除外）</w:t>
                  </w:r>
                </w:p>
                <w:p w14:paraId="390C8B75">
                  <w:pPr>
                    <w:pStyle w:val="70"/>
                    <w:jc w:val="both"/>
                    <w:rPr>
                      <w:rFonts w:hint="eastAsia"/>
                      <w:color w:val="auto"/>
                    </w:rPr>
                  </w:pPr>
                  <w:r>
                    <w:rPr>
                      <w:rFonts w:hint="eastAsia" w:ascii="Times New Roman" w:hAnsi="Times New Roman" w:eastAsia="宋体" w:cs="Times New Roman"/>
                      <w:color w:val="auto"/>
                      <w:sz w:val="21"/>
                      <w:szCs w:val="21"/>
                      <w:lang w:val="en-US" w:eastAsia="zh-CN"/>
                    </w:rPr>
                    <w:t>三十二、专用设备制造业35-70医疗仪器设备及器械制造--其他（仅分割、焊接、组装的除外；年用非溶剂型低VOCs含量涂料10吨以下的除外）</w:t>
                  </w:r>
                </w:p>
              </w:tc>
              <w:tc>
                <w:tcPr>
                  <w:tcW w:w="483" w:type="pct"/>
                  <w:vAlign w:val="center"/>
                </w:tcPr>
                <w:p w14:paraId="239D085D">
                  <w:pPr>
                    <w:pStyle w:val="70"/>
                    <w:rPr>
                      <w:color w:val="auto"/>
                    </w:rPr>
                  </w:pPr>
                  <w:r>
                    <w:rPr>
                      <w:rFonts w:hint="eastAsia"/>
                      <w:bCs/>
                      <w:color w:val="auto"/>
                      <w:lang w:val="en-US"/>
                    </w:rPr>
                    <w:t>否</w:t>
                  </w:r>
                </w:p>
              </w:tc>
              <w:tc>
                <w:tcPr>
                  <w:tcW w:w="425" w:type="pct"/>
                  <w:vAlign w:val="center"/>
                </w:tcPr>
                <w:p w14:paraId="4C8D3827">
                  <w:pPr>
                    <w:pStyle w:val="70"/>
                    <w:rPr>
                      <w:color w:val="auto"/>
                    </w:rPr>
                  </w:pPr>
                  <w:r>
                    <w:rPr>
                      <w:bCs/>
                      <w:color w:val="auto"/>
                    </w:rPr>
                    <w:t>报告表</w:t>
                  </w:r>
                </w:p>
              </w:tc>
            </w:tr>
          </w:tbl>
          <w:p w14:paraId="18969A20">
            <w:pPr>
              <w:pStyle w:val="95"/>
              <w:ind w:firstLine="422"/>
              <w:rPr>
                <w:b/>
                <w:color w:val="auto"/>
                <w:sz w:val="21"/>
                <w:szCs w:val="21"/>
              </w:rPr>
            </w:pPr>
            <w:r>
              <w:rPr>
                <w:rFonts w:hint="eastAsia"/>
                <w:b/>
                <w:color w:val="auto"/>
                <w:sz w:val="21"/>
                <w:szCs w:val="21"/>
              </w:rPr>
              <w:t>二</w:t>
            </w:r>
            <w:r>
              <w:rPr>
                <w:b/>
                <w:color w:val="auto"/>
                <w:sz w:val="21"/>
                <w:szCs w:val="21"/>
              </w:rPr>
              <w:t>、编制依据</w:t>
            </w:r>
          </w:p>
          <w:p w14:paraId="55E65D46">
            <w:pPr>
              <w:spacing w:line="360" w:lineRule="auto"/>
              <w:ind w:firstLine="420" w:firstLineChars="200"/>
              <w:rPr>
                <w:color w:val="auto"/>
                <w:szCs w:val="21"/>
              </w:rPr>
            </w:pPr>
            <w:r>
              <w:rPr>
                <w:color w:val="auto"/>
                <w:szCs w:val="21"/>
              </w:rPr>
              <w:t>（1）《中华人民共和国环境保护法》（2015年1月1日起施行）；</w:t>
            </w:r>
          </w:p>
          <w:p w14:paraId="78794DD1">
            <w:pPr>
              <w:spacing w:line="360" w:lineRule="auto"/>
              <w:ind w:firstLine="420" w:firstLineChars="200"/>
              <w:rPr>
                <w:color w:val="auto"/>
                <w:szCs w:val="21"/>
              </w:rPr>
            </w:pPr>
            <w:r>
              <w:rPr>
                <w:color w:val="auto"/>
                <w:szCs w:val="21"/>
              </w:rPr>
              <w:t>（2）《中华人民共和国环境影响评价法》（2018年修正）；</w:t>
            </w:r>
          </w:p>
          <w:p w14:paraId="0E1FE84A">
            <w:pPr>
              <w:spacing w:line="360" w:lineRule="auto"/>
              <w:ind w:firstLine="420" w:firstLineChars="200"/>
              <w:rPr>
                <w:color w:val="auto"/>
                <w:szCs w:val="21"/>
              </w:rPr>
            </w:pPr>
            <w:r>
              <w:rPr>
                <w:color w:val="auto"/>
                <w:szCs w:val="21"/>
              </w:rPr>
              <w:t>（3）《中华人民共和国水污染防治法》（2018年1月1日起施行）；</w:t>
            </w:r>
          </w:p>
          <w:p w14:paraId="3CF15996">
            <w:pPr>
              <w:spacing w:line="360" w:lineRule="auto"/>
              <w:ind w:firstLine="420" w:firstLineChars="200"/>
              <w:rPr>
                <w:color w:val="auto"/>
                <w:szCs w:val="21"/>
              </w:rPr>
            </w:pPr>
            <w:r>
              <w:rPr>
                <w:color w:val="auto"/>
                <w:szCs w:val="21"/>
              </w:rPr>
              <w:t>（4）《中华人民共和国大气污染防治法》（20</w:t>
            </w:r>
            <w:r>
              <w:rPr>
                <w:rFonts w:hint="eastAsia"/>
                <w:color w:val="auto"/>
                <w:szCs w:val="21"/>
              </w:rPr>
              <w:t>18</w:t>
            </w:r>
            <w:r>
              <w:rPr>
                <w:color w:val="auto"/>
                <w:szCs w:val="21"/>
              </w:rPr>
              <w:t>年1</w:t>
            </w:r>
            <w:r>
              <w:rPr>
                <w:rFonts w:hint="eastAsia"/>
                <w:color w:val="auto"/>
                <w:szCs w:val="21"/>
              </w:rPr>
              <w:t>0</w:t>
            </w:r>
            <w:r>
              <w:rPr>
                <w:color w:val="auto"/>
                <w:szCs w:val="21"/>
              </w:rPr>
              <w:t>月</w:t>
            </w:r>
            <w:r>
              <w:rPr>
                <w:rFonts w:hint="eastAsia"/>
                <w:color w:val="auto"/>
                <w:szCs w:val="21"/>
              </w:rPr>
              <w:t>26</w:t>
            </w:r>
            <w:r>
              <w:rPr>
                <w:color w:val="auto"/>
                <w:szCs w:val="21"/>
              </w:rPr>
              <w:t>日</w:t>
            </w:r>
            <w:r>
              <w:rPr>
                <w:rFonts w:hint="eastAsia"/>
                <w:color w:val="auto"/>
                <w:szCs w:val="21"/>
              </w:rPr>
              <w:t>修订</w:t>
            </w:r>
            <w:r>
              <w:rPr>
                <w:color w:val="auto"/>
                <w:szCs w:val="21"/>
              </w:rPr>
              <w:t>）；</w:t>
            </w:r>
          </w:p>
          <w:p w14:paraId="00A9F56B">
            <w:pPr>
              <w:spacing w:line="360" w:lineRule="auto"/>
              <w:ind w:firstLine="420" w:firstLineChars="200"/>
              <w:rPr>
                <w:color w:val="auto"/>
                <w:szCs w:val="21"/>
              </w:rPr>
            </w:pPr>
            <w:r>
              <w:rPr>
                <w:color w:val="auto"/>
                <w:szCs w:val="21"/>
              </w:rPr>
              <w:t>（5）《中华人民共和国噪声污染防治法》（20</w:t>
            </w:r>
            <w:r>
              <w:rPr>
                <w:rFonts w:hint="eastAsia"/>
                <w:color w:val="auto"/>
                <w:szCs w:val="21"/>
                <w:lang w:val="en-US" w:eastAsia="zh-CN"/>
              </w:rPr>
              <w:t>22</w:t>
            </w:r>
            <w:r>
              <w:rPr>
                <w:color w:val="auto"/>
                <w:szCs w:val="21"/>
              </w:rPr>
              <w:t>年</w:t>
            </w:r>
            <w:r>
              <w:rPr>
                <w:rFonts w:hint="eastAsia"/>
                <w:color w:val="auto"/>
                <w:szCs w:val="21"/>
                <w:lang w:val="en-US" w:eastAsia="zh-CN"/>
              </w:rPr>
              <w:t>6</w:t>
            </w:r>
            <w:r>
              <w:rPr>
                <w:color w:val="auto"/>
                <w:szCs w:val="21"/>
              </w:rPr>
              <w:t>月</w:t>
            </w:r>
            <w:r>
              <w:rPr>
                <w:rFonts w:hint="eastAsia"/>
                <w:color w:val="auto"/>
                <w:szCs w:val="21"/>
                <w:lang w:val="en-US" w:eastAsia="zh-CN"/>
              </w:rPr>
              <w:t>5</w:t>
            </w:r>
            <w:r>
              <w:rPr>
                <w:color w:val="auto"/>
                <w:szCs w:val="21"/>
              </w:rPr>
              <w:t>日修订）；</w:t>
            </w:r>
          </w:p>
          <w:p w14:paraId="39C7B4C8">
            <w:pPr>
              <w:spacing w:line="360" w:lineRule="auto"/>
              <w:ind w:firstLine="420" w:firstLineChars="200"/>
              <w:rPr>
                <w:color w:val="auto"/>
                <w:szCs w:val="21"/>
              </w:rPr>
            </w:pPr>
            <w:r>
              <w:rPr>
                <w:color w:val="auto"/>
                <w:szCs w:val="21"/>
              </w:rPr>
              <w:t>（6）《建设项目环境保护管理条例》（2017年7月16日修订）；</w:t>
            </w:r>
          </w:p>
          <w:p w14:paraId="5B7B508F">
            <w:pPr>
              <w:spacing w:line="360" w:lineRule="auto"/>
              <w:ind w:firstLine="420" w:firstLineChars="200"/>
              <w:rPr>
                <w:color w:val="auto"/>
                <w:szCs w:val="21"/>
              </w:rPr>
            </w:pPr>
            <w:r>
              <w:rPr>
                <w:color w:val="auto"/>
                <w:szCs w:val="21"/>
              </w:rPr>
              <w:t>（7）《建设项目环境影响评价分类管理名录》（</w:t>
            </w:r>
            <w:r>
              <w:rPr>
                <w:rFonts w:hint="eastAsia"/>
                <w:color w:val="auto"/>
                <w:szCs w:val="21"/>
              </w:rPr>
              <w:t>2021版</w:t>
            </w:r>
            <w:r>
              <w:rPr>
                <w:color w:val="auto"/>
                <w:szCs w:val="21"/>
              </w:rPr>
              <w:t>）；</w:t>
            </w:r>
          </w:p>
          <w:p w14:paraId="5700B894">
            <w:pPr>
              <w:spacing w:line="360" w:lineRule="auto"/>
              <w:ind w:firstLine="420" w:firstLineChars="200"/>
              <w:rPr>
                <w:color w:val="auto"/>
                <w:szCs w:val="21"/>
              </w:rPr>
            </w:pPr>
            <w:r>
              <w:rPr>
                <w:color w:val="auto"/>
                <w:szCs w:val="21"/>
              </w:rPr>
              <w:t>（</w:t>
            </w:r>
            <w:r>
              <w:rPr>
                <w:rFonts w:hint="eastAsia"/>
                <w:color w:val="auto"/>
                <w:szCs w:val="21"/>
              </w:rPr>
              <w:t>8</w:t>
            </w:r>
            <w:r>
              <w:rPr>
                <w:color w:val="auto"/>
                <w:szCs w:val="21"/>
              </w:rPr>
              <w:t>）《产业结构调整指导目录（20</w:t>
            </w:r>
            <w:r>
              <w:rPr>
                <w:rFonts w:hint="eastAsia"/>
                <w:color w:val="auto"/>
                <w:szCs w:val="21"/>
                <w:lang w:val="en-US" w:eastAsia="zh-CN"/>
              </w:rPr>
              <w:t>24</w:t>
            </w:r>
            <w:r>
              <w:rPr>
                <w:color w:val="auto"/>
                <w:szCs w:val="21"/>
              </w:rPr>
              <w:t>年本）》；</w:t>
            </w:r>
          </w:p>
          <w:p w14:paraId="73BF2FCC">
            <w:pPr>
              <w:spacing w:line="360" w:lineRule="auto"/>
              <w:ind w:firstLine="420" w:firstLineChars="200"/>
              <w:rPr>
                <w:color w:val="auto"/>
                <w:szCs w:val="21"/>
              </w:rPr>
            </w:pPr>
            <w:r>
              <w:rPr>
                <w:color w:val="auto"/>
                <w:szCs w:val="21"/>
              </w:rPr>
              <w:t>（</w:t>
            </w:r>
            <w:r>
              <w:rPr>
                <w:rFonts w:hint="eastAsia"/>
                <w:color w:val="auto"/>
                <w:szCs w:val="21"/>
              </w:rPr>
              <w:t>9</w:t>
            </w:r>
            <w:r>
              <w:rPr>
                <w:color w:val="auto"/>
                <w:szCs w:val="21"/>
              </w:rPr>
              <w:t>）</w:t>
            </w:r>
            <w:r>
              <w:rPr>
                <w:rFonts w:hint="eastAsia"/>
                <w:color w:val="auto"/>
                <w:szCs w:val="21"/>
              </w:rPr>
              <w:t>《市场准入负面清单（2025年版）》</w:t>
            </w:r>
            <w:r>
              <w:rPr>
                <w:color w:val="auto"/>
                <w:szCs w:val="21"/>
              </w:rPr>
              <w:t>；</w:t>
            </w:r>
          </w:p>
          <w:p w14:paraId="6145F90F">
            <w:pPr>
              <w:spacing w:line="360" w:lineRule="auto"/>
              <w:ind w:firstLine="420" w:firstLineChars="200"/>
              <w:rPr>
                <w:color w:val="auto"/>
                <w:szCs w:val="21"/>
              </w:rPr>
            </w:pPr>
            <w:r>
              <w:rPr>
                <w:color w:val="auto"/>
                <w:szCs w:val="21"/>
              </w:rPr>
              <w:t>（1</w:t>
            </w:r>
            <w:r>
              <w:rPr>
                <w:rFonts w:hint="eastAsia"/>
                <w:color w:val="auto"/>
                <w:szCs w:val="21"/>
              </w:rPr>
              <w:t>0</w:t>
            </w:r>
            <w:r>
              <w:rPr>
                <w:color w:val="auto"/>
                <w:szCs w:val="21"/>
              </w:rPr>
              <w:t>）中山市</w:t>
            </w:r>
            <w:r>
              <w:rPr>
                <w:rFonts w:hint="eastAsia"/>
                <w:color w:val="auto"/>
                <w:szCs w:val="21"/>
              </w:rPr>
              <w:t>生态环境局</w:t>
            </w:r>
            <w:r>
              <w:rPr>
                <w:color w:val="auto"/>
                <w:szCs w:val="21"/>
              </w:rPr>
              <w:t>关于印发</w:t>
            </w:r>
            <w:r>
              <w:rPr>
                <w:rFonts w:hint="eastAsia"/>
                <w:color w:val="auto"/>
                <w:szCs w:val="21"/>
              </w:rPr>
              <w:t>《</w:t>
            </w:r>
            <w:r>
              <w:rPr>
                <w:color w:val="auto"/>
                <w:szCs w:val="21"/>
              </w:rPr>
              <w:t>中山市涉挥发性有机物项目环保管理规定的通知》（中环规字〔20</w:t>
            </w:r>
            <w:r>
              <w:rPr>
                <w:rFonts w:hint="eastAsia"/>
                <w:color w:val="auto"/>
                <w:szCs w:val="21"/>
              </w:rPr>
              <w:t>21</w:t>
            </w:r>
            <w:r>
              <w:rPr>
                <w:color w:val="auto"/>
                <w:szCs w:val="21"/>
              </w:rPr>
              <w:t>〕</w:t>
            </w:r>
            <w:r>
              <w:rPr>
                <w:rFonts w:hint="eastAsia"/>
                <w:color w:val="auto"/>
                <w:szCs w:val="21"/>
              </w:rPr>
              <w:t>1</w:t>
            </w:r>
            <w:r>
              <w:rPr>
                <w:color w:val="auto"/>
                <w:szCs w:val="21"/>
              </w:rPr>
              <w:t>号）；</w:t>
            </w:r>
          </w:p>
          <w:p w14:paraId="797BBBE3">
            <w:pPr>
              <w:spacing w:line="360" w:lineRule="auto"/>
              <w:ind w:firstLine="420" w:firstLineChars="200"/>
              <w:rPr>
                <w:color w:val="auto"/>
                <w:szCs w:val="21"/>
              </w:rPr>
            </w:pPr>
            <w:r>
              <w:rPr>
                <w:color w:val="auto"/>
                <w:szCs w:val="21"/>
              </w:rPr>
              <w:t>（1</w:t>
            </w:r>
            <w:r>
              <w:rPr>
                <w:rFonts w:hint="eastAsia"/>
                <w:color w:val="auto"/>
                <w:szCs w:val="21"/>
              </w:rPr>
              <w:t>1</w:t>
            </w:r>
            <w:r>
              <w:rPr>
                <w:color w:val="auto"/>
                <w:szCs w:val="21"/>
              </w:rPr>
              <w:t>）</w:t>
            </w:r>
            <w:r>
              <w:rPr>
                <w:rFonts w:hint="eastAsia"/>
                <w:color w:val="auto"/>
                <w:szCs w:val="21"/>
              </w:rPr>
              <w:t>《中山市“三线一单”生态环境分区管控方案（2024年版）》；</w:t>
            </w:r>
          </w:p>
          <w:p w14:paraId="52D4B15A">
            <w:pPr>
              <w:pStyle w:val="95"/>
              <w:spacing w:line="360" w:lineRule="auto"/>
              <w:ind w:firstLine="420"/>
              <w:rPr>
                <w:color w:val="auto"/>
                <w:sz w:val="21"/>
                <w:szCs w:val="21"/>
              </w:rPr>
            </w:pPr>
            <w:r>
              <w:rPr>
                <w:color w:val="auto"/>
                <w:sz w:val="21"/>
                <w:szCs w:val="21"/>
              </w:rPr>
              <w:t>（1</w:t>
            </w:r>
            <w:r>
              <w:rPr>
                <w:rFonts w:hint="eastAsia"/>
                <w:color w:val="auto"/>
                <w:sz w:val="21"/>
                <w:szCs w:val="21"/>
                <w:lang w:val="en-US"/>
              </w:rPr>
              <w:t>2</w:t>
            </w:r>
            <w:r>
              <w:rPr>
                <w:color w:val="auto"/>
                <w:sz w:val="21"/>
                <w:szCs w:val="21"/>
              </w:rPr>
              <w:t>）</w:t>
            </w:r>
            <w:r>
              <w:rPr>
                <w:rFonts w:hint="eastAsia"/>
                <w:color w:val="auto"/>
                <w:sz w:val="21"/>
                <w:szCs w:val="21"/>
                <w:lang w:eastAsia="zh-CN"/>
              </w:rPr>
              <w:t>《</w:t>
            </w:r>
            <w:r>
              <w:rPr>
                <w:rFonts w:hint="eastAsia"/>
                <w:color w:val="auto"/>
                <w:sz w:val="21"/>
                <w:szCs w:val="21"/>
              </w:rPr>
              <w:t>建设项目环境影响报告表编制技术指南（污染影响类）（试行）</w:t>
            </w:r>
            <w:r>
              <w:rPr>
                <w:rFonts w:hint="eastAsia"/>
                <w:color w:val="auto"/>
                <w:sz w:val="21"/>
                <w:szCs w:val="21"/>
                <w:lang w:eastAsia="zh-CN"/>
              </w:rPr>
              <w:t>》</w:t>
            </w:r>
            <w:r>
              <w:rPr>
                <w:rFonts w:hint="eastAsia"/>
                <w:color w:val="auto"/>
                <w:sz w:val="21"/>
                <w:szCs w:val="21"/>
                <w:lang w:val="en-US" w:eastAsia="zh-CN"/>
              </w:rPr>
              <w:t>（环办环评〔2020〕33 号）</w:t>
            </w:r>
            <w:r>
              <w:rPr>
                <w:rFonts w:hint="eastAsia"/>
                <w:color w:val="auto"/>
                <w:sz w:val="21"/>
                <w:szCs w:val="21"/>
              </w:rPr>
              <w:t>。</w:t>
            </w:r>
          </w:p>
          <w:p w14:paraId="16652298">
            <w:pPr>
              <w:pStyle w:val="95"/>
              <w:spacing w:line="360" w:lineRule="auto"/>
              <w:ind w:firstLine="420"/>
              <w:rPr>
                <w:rFonts w:hint="eastAsia"/>
                <w:color w:val="auto"/>
                <w:sz w:val="21"/>
                <w:szCs w:val="21"/>
              </w:rPr>
            </w:pPr>
            <w:r>
              <w:rPr>
                <w:rFonts w:hint="eastAsia"/>
                <w:color w:val="auto"/>
                <w:sz w:val="21"/>
                <w:szCs w:val="21"/>
              </w:rPr>
              <w:t>（1</w:t>
            </w:r>
            <w:r>
              <w:rPr>
                <w:color w:val="auto"/>
                <w:sz w:val="21"/>
                <w:szCs w:val="21"/>
              </w:rPr>
              <w:t>3</w:t>
            </w:r>
            <w:r>
              <w:rPr>
                <w:rFonts w:hint="eastAsia"/>
                <w:color w:val="auto"/>
                <w:sz w:val="21"/>
                <w:szCs w:val="21"/>
              </w:rPr>
              <w:t>）</w:t>
            </w:r>
            <w:r>
              <w:rPr>
                <w:rFonts w:hint="eastAsia"/>
                <w:color w:val="auto"/>
                <w:sz w:val="21"/>
                <w:szCs w:val="21"/>
                <w:lang w:eastAsia="zh-CN"/>
              </w:rPr>
              <w:t>《产业发展与转移指导目录（2018年本）》</w:t>
            </w:r>
            <w:r>
              <w:rPr>
                <w:rFonts w:hint="eastAsia"/>
                <w:color w:val="auto"/>
                <w:sz w:val="21"/>
                <w:szCs w:val="21"/>
              </w:rPr>
              <w:t>；</w:t>
            </w:r>
          </w:p>
          <w:p w14:paraId="5E5E3CD4">
            <w:pPr>
              <w:pStyle w:val="95"/>
              <w:spacing w:line="360" w:lineRule="auto"/>
              <w:ind w:firstLine="420"/>
              <w:rPr>
                <w:rFonts w:hint="eastAsia"/>
                <w:color w:val="auto"/>
                <w:sz w:val="21"/>
                <w:szCs w:val="21"/>
                <w:lang w:eastAsia="zh-CN"/>
              </w:rPr>
            </w:pPr>
            <w:r>
              <w:rPr>
                <w:rFonts w:hint="eastAsia"/>
                <w:color w:val="auto"/>
                <w:sz w:val="21"/>
                <w:szCs w:val="21"/>
              </w:rPr>
              <w:t>（1</w:t>
            </w:r>
            <w:r>
              <w:rPr>
                <w:rFonts w:hint="eastAsia"/>
                <w:color w:val="auto"/>
                <w:sz w:val="21"/>
                <w:szCs w:val="21"/>
                <w:lang w:val="en-US" w:eastAsia="zh-CN"/>
              </w:rPr>
              <w:t>4</w:t>
            </w:r>
            <w:r>
              <w:rPr>
                <w:rFonts w:hint="eastAsia"/>
                <w:color w:val="auto"/>
                <w:sz w:val="21"/>
                <w:szCs w:val="21"/>
              </w:rPr>
              <w:t>）《国民经济行业分类》（GB/T 4754-2017）及其修改单</w:t>
            </w:r>
            <w:r>
              <w:rPr>
                <w:rFonts w:hint="eastAsia"/>
                <w:color w:val="auto"/>
                <w:sz w:val="21"/>
                <w:szCs w:val="21"/>
                <w:lang w:eastAsia="zh-CN"/>
              </w:rPr>
              <w:t>；</w:t>
            </w:r>
          </w:p>
          <w:p w14:paraId="1020333F">
            <w:pPr>
              <w:pStyle w:val="15"/>
              <w:spacing w:line="360" w:lineRule="auto"/>
              <w:ind w:firstLine="420" w:firstLineChars="200"/>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15</w:t>
            </w:r>
            <w:r>
              <w:rPr>
                <w:rFonts w:hint="eastAsia"/>
                <w:color w:val="auto"/>
                <w:sz w:val="21"/>
                <w:szCs w:val="21"/>
                <w:lang w:eastAsia="zh-CN"/>
              </w:rPr>
              <w:t>）《排污单位自行监测技术指南 总则》（HJ 819-2017）；</w:t>
            </w:r>
          </w:p>
          <w:p w14:paraId="50063794">
            <w:pPr>
              <w:pStyle w:val="15"/>
              <w:spacing w:line="360" w:lineRule="auto"/>
              <w:ind w:firstLine="420" w:firstLineChars="200"/>
              <w:rPr>
                <w:rFonts w:hint="eastAsia"/>
                <w:color w:val="auto"/>
                <w:sz w:val="21"/>
                <w:szCs w:val="21"/>
                <w:lang w:eastAsia="zh-CN"/>
              </w:rPr>
            </w:pPr>
            <w:r>
              <w:rPr>
                <w:rFonts w:hint="eastAsia"/>
                <w:color w:val="auto"/>
                <w:sz w:val="21"/>
                <w:szCs w:val="21"/>
                <w:lang w:eastAsia="zh-CN"/>
              </w:rPr>
              <w:t>（1</w:t>
            </w:r>
            <w:r>
              <w:rPr>
                <w:rFonts w:hint="eastAsia"/>
                <w:color w:val="auto"/>
                <w:sz w:val="21"/>
                <w:szCs w:val="21"/>
                <w:lang w:val="en-US" w:eastAsia="zh-CN"/>
              </w:rPr>
              <w:t>6</w:t>
            </w:r>
            <w:r>
              <w:rPr>
                <w:rFonts w:hint="eastAsia"/>
                <w:color w:val="auto"/>
                <w:sz w:val="21"/>
                <w:szCs w:val="21"/>
                <w:lang w:eastAsia="zh-CN"/>
              </w:rPr>
              <w:t>）《排污许可证申请与核发技术规范 总则》（HJ 942-2018）</w:t>
            </w:r>
          </w:p>
          <w:p w14:paraId="73688C85">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（17）《中山市环境空气质量功能区划（2020年修订）》；</w:t>
            </w:r>
          </w:p>
          <w:p w14:paraId="7AC08C81">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（18）《中山市水功能区管理办法》（中府〔2008〕96号）；</w:t>
            </w:r>
          </w:p>
          <w:p w14:paraId="040CF3D8">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（19）《中山市声环境功能区划方案（2021年修编）》；</w:t>
            </w:r>
          </w:p>
          <w:p w14:paraId="4E6B1443">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（20）《中山市202</w:t>
            </w:r>
            <w:r>
              <w:rPr>
                <w:rFonts w:hint="eastAsia" w:ascii="Times New Roman" w:hAnsi="Times New Roman" w:eastAsia="宋体" w:cs="Times New Roman"/>
                <w:color w:val="auto"/>
                <w:kern w:val="2"/>
                <w:sz w:val="21"/>
                <w:szCs w:val="21"/>
                <w:lang w:val="en-US" w:eastAsia="zh-CN" w:bidi="ar"/>
              </w:rPr>
              <w:t>4</w:t>
            </w:r>
            <w:r>
              <w:rPr>
                <w:rFonts w:hint="default" w:ascii="Times New Roman" w:hAnsi="Times New Roman" w:eastAsia="宋体" w:cs="Times New Roman"/>
                <w:color w:val="auto"/>
                <w:kern w:val="2"/>
                <w:sz w:val="21"/>
                <w:szCs w:val="21"/>
                <w:lang w:val="en-US" w:eastAsia="zh-CN" w:bidi="ar"/>
              </w:rPr>
              <w:t>年大气环境质量状况公报》；</w:t>
            </w:r>
          </w:p>
          <w:p w14:paraId="2D52C828">
            <w:pPr>
              <w:keepNext w:val="0"/>
              <w:keepLines w:val="0"/>
              <w:pageBreakBefore w:val="0"/>
              <w:suppressLineNumbers w:val="0"/>
              <w:kinsoku/>
              <w:bidi w:val="0"/>
              <w:spacing w:before="0" w:beforeAutospacing="0" w:after="0" w:afterAutospacing="0" w:line="360" w:lineRule="auto"/>
              <w:ind w:left="0" w:right="0" w:firstLine="420" w:firstLineChars="200"/>
              <w:textAlignment w:val="baseline"/>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（21）</w:t>
            </w:r>
            <w:r>
              <w:rPr>
                <w:rFonts w:hint="eastAsia" w:ascii="Times New Roman" w:hAnsi="Times New Roman" w:eastAsia="宋体" w:cs="Times New Roman"/>
                <w:color w:val="auto"/>
                <w:kern w:val="2"/>
                <w:sz w:val="21"/>
                <w:szCs w:val="21"/>
                <w:lang w:val="en-US" w:eastAsia="zh-CN" w:bidi="ar"/>
              </w:rPr>
              <w:t>《</w:t>
            </w:r>
            <w:r>
              <w:rPr>
                <w:rFonts w:hint="eastAsia" w:ascii="Times New Roman" w:hAnsi="Times New Roman"/>
                <w:color w:val="auto"/>
                <w:sz w:val="21"/>
                <w:szCs w:val="21"/>
                <w:lang w:val="zh-CN"/>
              </w:rPr>
              <w:t>2024 年中山市生态环境质量报告书》</w:t>
            </w:r>
            <w:r>
              <w:rPr>
                <w:rFonts w:hint="default" w:ascii="Times New Roman" w:hAnsi="Times New Roman" w:eastAsia="宋体" w:cs="Times New Roman"/>
                <w:color w:val="auto"/>
                <w:kern w:val="2"/>
                <w:sz w:val="21"/>
                <w:szCs w:val="21"/>
                <w:lang w:val="en-US" w:eastAsia="zh-CN" w:bidi="ar"/>
              </w:rPr>
              <w:t>。</w:t>
            </w:r>
          </w:p>
          <w:p w14:paraId="2D1F1710">
            <w:pPr>
              <w:pStyle w:val="95"/>
              <w:ind w:firstLine="422"/>
              <w:rPr>
                <w:b/>
                <w:color w:val="auto"/>
                <w:sz w:val="21"/>
                <w:szCs w:val="21"/>
              </w:rPr>
            </w:pPr>
            <w:r>
              <w:rPr>
                <w:rFonts w:hint="eastAsia"/>
                <w:b/>
                <w:color w:val="auto"/>
                <w:sz w:val="21"/>
                <w:szCs w:val="21"/>
              </w:rPr>
              <w:t>三</w:t>
            </w:r>
            <w:r>
              <w:rPr>
                <w:b/>
                <w:color w:val="auto"/>
                <w:sz w:val="21"/>
                <w:szCs w:val="21"/>
              </w:rPr>
              <w:t>、</w:t>
            </w:r>
            <w:r>
              <w:rPr>
                <w:rFonts w:hint="eastAsia"/>
                <w:b/>
                <w:color w:val="auto"/>
                <w:sz w:val="21"/>
                <w:szCs w:val="21"/>
              </w:rPr>
              <w:t>项目建设内容</w:t>
            </w:r>
          </w:p>
          <w:p w14:paraId="59B32EA9">
            <w:pPr>
              <w:adjustRightInd w:val="0"/>
              <w:snapToGrid w:val="0"/>
              <w:spacing w:line="360" w:lineRule="auto"/>
              <w:ind w:firstLine="422" w:firstLineChars="200"/>
              <w:rPr>
                <w:rFonts w:ascii="宋体" w:hAnsi="宋体" w:cs="AdobeSongStd-Light-Acro"/>
                <w:b/>
                <w:color w:val="auto"/>
                <w:kern w:val="0"/>
                <w:szCs w:val="21"/>
              </w:rPr>
            </w:pPr>
            <w:r>
              <w:rPr>
                <w:rFonts w:hint="eastAsia" w:ascii="宋体" w:hAnsi="宋体" w:cs="AdobeSongStd-Light-Acro"/>
                <w:b/>
                <w:color w:val="auto"/>
                <w:kern w:val="0"/>
                <w:szCs w:val="21"/>
              </w:rPr>
              <w:t>项目基本情况</w:t>
            </w:r>
          </w:p>
          <w:p w14:paraId="3289698C">
            <w:pPr>
              <w:adjustRightInd w:val="0"/>
              <w:snapToGrid w:val="0"/>
              <w:spacing w:line="360" w:lineRule="auto"/>
              <w:ind w:firstLine="420" w:firstLineChars="200"/>
              <w:rPr>
                <w:rFonts w:ascii="Times New Roman" w:hAnsi="Times New Roman" w:cs="AdobeSongStd-Light-Acro"/>
                <w:color w:val="auto"/>
                <w:kern w:val="0"/>
                <w:sz w:val="21"/>
                <w:szCs w:val="21"/>
              </w:rPr>
            </w:pPr>
            <w:r>
              <w:rPr>
                <w:rFonts w:hint="eastAsia" w:ascii="Times New Roman" w:hAnsi="Times New Roman" w:cs="AdobeSongStd-Light-Acro"/>
                <w:color w:val="auto"/>
                <w:kern w:val="0"/>
                <w:sz w:val="21"/>
                <w:szCs w:val="21"/>
              </w:rPr>
              <w:t>中山市南朗镇卓登五金加工厂位于中山市南朗镇第一工业区龙基路南燕玻璃马赛克有限公司6#厂房(原玻璃车间) （东经：113°32'13.744"，北纬：22°29'6.467"）。项目总投资为200万元，环保投资20万元，用地面积640平方米，建筑面积为640平方米。项目主要</w:t>
            </w:r>
            <w:r>
              <w:rPr>
                <w:rFonts w:hint="eastAsia" w:ascii="Times New Roman" w:hAnsi="Times New Roman" w:cs="AdobeSongStd-Light-Acro"/>
                <w:color w:val="auto"/>
                <w:kern w:val="0"/>
                <w:sz w:val="21"/>
                <w:szCs w:val="21"/>
                <w:highlight w:val="none"/>
              </w:rPr>
              <w:t>从事医疗辅具配件的金属表面处理及热处理加工</w:t>
            </w:r>
            <w:r>
              <w:rPr>
                <w:rFonts w:hint="eastAsia" w:ascii="Times New Roman" w:hAnsi="Times New Roman" w:cs="AdobeSongStd-Light-Acro"/>
                <w:color w:val="auto"/>
                <w:kern w:val="0"/>
                <w:sz w:val="21"/>
                <w:szCs w:val="21"/>
              </w:rPr>
              <w:t>，</w:t>
            </w:r>
            <w:r>
              <w:rPr>
                <w:rFonts w:hint="eastAsia" w:ascii="Times New Roman" w:hAnsi="Times New Roman" w:cs="AdobeSongStd-Light-Acro"/>
                <w:color w:val="auto"/>
                <w:kern w:val="0"/>
                <w:sz w:val="21"/>
                <w:szCs w:val="21"/>
                <w:highlight w:val="none"/>
              </w:rPr>
              <w:t>年产五金配件</w:t>
            </w:r>
            <w:r>
              <w:rPr>
                <w:rFonts w:hint="eastAsia" w:cs="AdobeSongStd-Light-Acro"/>
                <w:color w:val="auto"/>
                <w:kern w:val="0"/>
                <w:sz w:val="21"/>
                <w:szCs w:val="21"/>
                <w:highlight w:val="none"/>
                <w:lang w:val="en-US" w:eastAsia="zh-CN"/>
              </w:rPr>
              <w:t>616</w:t>
            </w:r>
            <w:r>
              <w:rPr>
                <w:rFonts w:hint="eastAsia" w:ascii="Times New Roman" w:hAnsi="Times New Roman" w:cs="AdobeSongStd-Light-Acro"/>
                <w:color w:val="auto"/>
                <w:kern w:val="0"/>
                <w:sz w:val="21"/>
                <w:szCs w:val="21"/>
                <w:highlight w:val="none"/>
              </w:rPr>
              <w:t>吨。</w:t>
            </w:r>
          </w:p>
          <w:p w14:paraId="506398F6">
            <w:pPr>
              <w:adjustRightInd w:val="0"/>
              <w:snapToGrid w:val="0"/>
              <w:spacing w:line="360" w:lineRule="auto"/>
              <w:ind w:firstLine="422" w:firstLineChars="200"/>
              <w:rPr>
                <w:rFonts w:ascii="宋体" w:hAnsi="宋体" w:cs="AdobeSongStd-Light-Acro"/>
                <w:b/>
                <w:color w:val="auto"/>
                <w:kern w:val="0"/>
                <w:szCs w:val="21"/>
              </w:rPr>
            </w:pPr>
            <w:r>
              <w:rPr>
                <w:rFonts w:hint="eastAsia" w:ascii="宋体" w:hAnsi="宋体" w:cs="AdobeSongStd-Light-Acro"/>
                <w:b/>
                <w:color w:val="auto"/>
                <w:kern w:val="0"/>
                <w:szCs w:val="21"/>
              </w:rPr>
              <w:t>1、建设内容</w:t>
            </w:r>
          </w:p>
          <w:p w14:paraId="5A080920">
            <w:pPr>
              <w:pStyle w:val="9"/>
              <w:ind w:left="630" w:leftChars="0" w:firstLineChars="0"/>
              <w:rPr>
                <w:color w:val="auto"/>
                <w:szCs w:val="21"/>
              </w:rPr>
            </w:pPr>
            <w:r>
              <w:rPr>
                <w:rFonts w:hint="eastAsia"/>
                <w:color w:val="auto"/>
                <w:szCs w:val="21"/>
              </w:rPr>
              <w:t>项目</w:t>
            </w:r>
            <w:r>
              <w:rPr>
                <w:color w:val="auto"/>
                <w:szCs w:val="21"/>
              </w:rPr>
              <w:t>工程组成一览表</w:t>
            </w:r>
          </w:p>
          <w:tbl>
            <w:tblPr>
              <w:tblStyle w:val="35"/>
              <w:tblW w:w="49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1511"/>
              <w:gridCol w:w="5535"/>
            </w:tblGrid>
            <w:tr w14:paraId="2CDAB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711" w:type="pct"/>
                  <w:vAlign w:val="center"/>
                </w:tcPr>
                <w:p w14:paraId="2ACA78D2">
                  <w:pPr>
                    <w:adjustRightInd w:val="0"/>
                    <w:snapToGrid w:val="0"/>
                    <w:jc w:val="center"/>
                    <w:rPr>
                      <w:b/>
                      <w:color w:val="auto"/>
                      <w:szCs w:val="21"/>
                    </w:rPr>
                  </w:pPr>
                  <w:r>
                    <w:rPr>
                      <w:rFonts w:hint="eastAsia"/>
                      <w:b/>
                      <w:color w:val="auto"/>
                      <w:szCs w:val="21"/>
                    </w:rPr>
                    <w:t>工程</w:t>
                  </w:r>
                </w:p>
                <w:p w14:paraId="10EC9F41">
                  <w:pPr>
                    <w:adjustRightInd w:val="0"/>
                    <w:snapToGrid w:val="0"/>
                    <w:jc w:val="center"/>
                    <w:rPr>
                      <w:b/>
                      <w:color w:val="auto"/>
                      <w:szCs w:val="21"/>
                    </w:rPr>
                  </w:pPr>
                  <w:r>
                    <w:rPr>
                      <w:rFonts w:hint="eastAsia"/>
                      <w:b/>
                      <w:color w:val="auto"/>
                      <w:szCs w:val="21"/>
                    </w:rPr>
                    <w:t>类别</w:t>
                  </w:r>
                </w:p>
              </w:tc>
              <w:tc>
                <w:tcPr>
                  <w:tcW w:w="919" w:type="pct"/>
                  <w:vAlign w:val="center"/>
                </w:tcPr>
                <w:p w14:paraId="30BA4CE8">
                  <w:pPr>
                    <w:adjustRightInd w:val="0"/>
                    <w:snapToGrid w:val="0"/>
                    <w:jc w:val="center"/>
                    <w:rPr>
                      <w:b/>
                      <w:color w:val="auto"/>
                      <w:szCs w:val="21"/>
                    </w:rPr>
                  </w:pPr>
                  <w:r>
                    <w:rPr>
                      <w:rFonts w:hint="eastAsia"/>
                      <w:b/>
                      <w:color w:val="auto"/>
                      <w:szCs w:val="21"/>
                    </w:rPr>
                    <w:t>建设名称</w:t>
                  </w:r>
                </w:p>
              </w:tc>
              <w:tc>
                <w:tcPr>
                  <w:tcW w:w="3368" w:type="pct"/>
                  <w:vAlign w:val="center"/>
                </w:tcPr>
                <w:p w14:paraId="53FADBF9">
                  <w:pPr>
                    <w:adjustRightInd w:val="0"/>
                    <w:snapToGrid w:val="0"/>
                    <w:jc w:val="center"/>
                    <w:rPr>
                      <w:b/>
                      <w:color w:val="auto"/>
                      <w:szCs w:val="21"/>
                    </w:rPr>
                  </w:pPr>
                  <w:r>
                    <w:rPr>
                      <w:rFonts w:hint="eastAsia"/>
                      <w:b/>
                      <w:color w:val="auto"/>
                      <w:szCs w:val="21"/>
                    </w:rPr>
                    <w:t>建设</w:t>
                  </w:r>
                  <w:r>
                    <w:rPr>
                      <w:b/>
                      <w:color w:val="auto"/>
                      <w:szCs w:val="21"/>
                    </w:rPr>
                    <w:t>内容和</w:t>
                  </w:r>
                  <w:r>
                    <w:rPr>
                      <w:rFonts w:hint="eastAsia"/>
                      <w:b/>
                      <w:color w:val="auto"/>
                      <w:szCs w:val="21"/>
                    </w:rPr>
                    <w:t>规模</w:t>
                  </w:r>
                </w:p>
              </w:tc>
            </w:tr>
            <w:tr w14:paraId="54829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711" w:type="pct"/>
                  <w:vAlign w:val="center"/>
                </w:tcPr>
                <w:p w14:paraId="099CC6A2">
                  <w:pPr>
                    <w:adjustRightInd w:val="0"/>
                    <w:snapToGrid w:val="0"/>
                    <w:jc w:val="center"/>
                    <w:rPr>
                      <w:color w:val="auto"/>
                      <w:szCs w:val="21"/>
                    </w:rPr>
                  </w:pPr>
                  <w:r>
                    <w:rPr>
                      <w:rFonts w:hint="eastAsia"/>
                      <w:color w:val="auto"/>
                      <w:szCs w:val="21"/>
                    </w:rPr>
                    <w:t>主体工程</w:t>
                  </w:r>
                </w:p>
              </w:tc>
              <w:tc>
                <w:tcPr>
                  <w:tcW w:w="919" w:type="pct"/>
                  <w:vAlign w:val="center"/>
                </w:tcPr>
                <w:p w14:paraId="64F0CCE1">
                  <w:pPr>
                    <w:adjustRightInd w:val="0"/>
                    <w:snapToGrid w:val="0"/>
                    <w:jc w:val="center"/>
                    <w:rPr>
                      <w:color w:val="auto"/>
                      <w:szCs w:val="21"/>
                    </w:rPr>
                  </w:pPr>
                  <w:r>
                    <w:rPr>
                      <w:rFonts w:hint="eastAsia"/>
                      <w:color w:val="auto"/>
                      <w:szCs w:val="21"/>
                    </w:rPr>
                    <w:t>生产车间</w:t>
                  </w:r>
                </w:p>
              </w:tc>
              <w:tc>
                <w:tcPr>
                  <w:tcW w:w="3368" w:type="pct"/>
                  <w:vAlign w:val="center"/>
                </w:tcPr>
                <w:p w14:paraId="154BA267">
                  <w:pPr>
                    <w:autoSpaceDE w:val="0"/>
                    <w:autoSpaceDN w:val="0"/>
                    <w:adjustRightInd w:val="0"/>
                    <w:spacing w:line="312" w:lineRule="atLeast"/>
                    <w:jc w:val="left"/>
                    <w:textAlignment w:val="baseline"/>
                    <w:rPr>
                      <w:color w:val="auto"/>
                      <w:kern w:val="0"/>
                      <w:szCs w:val="21"/>
                    </w:rPr>
                  </w:pPr>
                  <w:r>
                    <w:rPr>
                      <w:color w:val="auto"/>
                      <w:kern w:val="0"/>
                      <w:szCs w:val="21"/>
                    </w:rPr>
                    <w:t>1</w:t>
                  </w:r>
                  <w:r>
                    <w:rPr>
                      <w:rFonts w:hint="eastAsia"/>
                      <w:color w:val="auto"/>
                      <w:kern w:val="0"/>
                      <w:szCs w:val="21"/>
                    </w:rPr>
                    <w:t>幢</w:t>
                  </w:r>
                  <w:r>
                    <w:rPr>
                      <w:color w:val="auto"/>
                      <w:kern w:val="0"/>
                      <w:szCs w:val="21"/>
                    </w:rPr>
                    <w:t>，1层</w:t>
                  </w:r>
                  <w:r>
                    <w:rPr>
                      <w:rFonts w:hint="eastAsia"/>
                      <w:color w:val="auto"/>
                      <w:kern w:val="0"/>
                      <w:szCs w:val="21"/>
                    </w:rPr>
                    <w:t>，高</w:t>
                  </w:r>
                  <w:r>
                    <w:rPr>
                      <w:rFonts w:hint="eastAsia"/>
                      <w:color w:val="auto"/>
                      <w:kern w:val="0"/>
                      <w:szCs w:val="21"/>
                      <w:lang w:val="en-US" w:eastAsia="zh-CN"/>
                    </w:rPr>
                    <w:t>4.2</w:t>
                  </w:r>
                  <w:r>
                    <w:rPr>
                      <w:rFonts w:hint="eastAsia"/>
                      <w:color w:val="auto"/>
                      <w:kern w:val="0"/>
                      <w:szCs w:val="21"/>
                    </w:rPr>
                    <w:t>米的</w:t>
                  </w:r>
                  <w:r>
                    <w:rPr>
                      <w:color w:val="auto"/>
                      <w:kern w:val="0"/>
                      <w:szCs w:val="21"/>
                    </w:rPr>
                    <w:t>钢筋水泥</w:t>
                  </w:r>
                  <w:r>
                    <w:rPr>
                      <w:rFonts w:hint="eastAsia"/>
                      <w:color w:val="auto"/>
                      <w:kern w:val="0"/>
                      <w:szCs w:val="21"/>
                      <w:lang w:val="en-US" w:eastAsia="zh-CN"/>
                    </w:rPr>
                    <w:t>混凝土</w:t>
                  </w:r>
                  <w:r>
                    <w:rPr>
                      <w:color w:val="auto"/>
                      <w:kern w:val="0"/>
                      <w:szCs w:val="21"/>
                    </w:rPr>
                    <w:t>结构</w:t>
                  </w:r>
                  <w:r>
                    <w:rPr>
                      <w:rFonts w:hint="eastAsia"/>
                      <w:color w:val="auto"/>
                      <w:kern w:val="0"/>
                      <w:szCs w:val="21"/>
                    </w:rPr>
                    <w:t>，锌铁皮棚顶的建筑物，占地</w:t>
                  </w:r>
                  <w:r>
                    <w:rPr>
                      <w:color w:val="auto"/>
                      <w:kern w:val="0"/>
                      <w:szCs w:val="21"/>
                    </w:rPr>
                    <w:t>面积</w:t>
                  </w:r>
                  <w:r>
                    <w:rPr>
                      <w:rFonts w:hint="eastAsia"/>
                      <w:color w:val="auto"/>
                      <w:kern w:val="0"/>
                      <w:szCs w:val="21"/>
                    </w:rPr>
                    <w:t>640</w:t>
                  </w:r>
                  <w:r>
                    <w:rPr>
                      <w:rFonts w:hint="eastAsia"/>
                      <w:color w:val="auto"/>
                      <w:szCs w:val="21"/>
                      <w:lang w:val="en-US" w:eastAsia="zh-CN"/>
                    </w:rPr>
                    <w:t>㎡</w:t>
                  </w:r>
                  <w:r>
                    <w:rPr>
                      <w:rFonts w:hint="eastAsia"/>
                      <w:color w:val="auto"/>
                      <w:kern w:val="0"/>
                      <w:szCs w:val="21"/>
                    </w:rPr>
                    <w:t>。</w:t>
                  </w:r>
                </w:p>
                <w:p w14:paraId="131FF403">
                  <w:pPr>
                    <w:pStyle w:val="70"/>
                    <w:jc w:val="left"/>
                    <w:rPr>
                      <w:color w:val="auto"/>
                    </w:rPr>
                  </w:pPr>
                  <w:r>
                    <w:rPr>
                      <w:rFonts w:hint="eastAsia"/>
                      <w:color w:val="auto"/>
                    </w:rPr>
                    <w:t>设有</w:t>
                  </w:r>
                  <w:r>
                    <w:rPr>
                      <w:rFonts w:hint="eastAsia"/>
                      <w:color w:val="auto"/>
                      <w:highlight w:val="none"/>
                      <w:lang w:val="en-US" w:eastAsia="zh-CN"/>
                    </w:rPr>
                    <w:t>手动前处理</w:t>
                  </w:r>
                  <w:r>
                    <w:rPr>
                      <w:rFonts w:hint="eastAsia"/>
                      <w:color w:val="auto"/>
                      <w:sz w:val="21"/>
                      <w:szCs w:val="21"/>
                      <w:highlight w:val="none"/>
                      <w:lang w:val="en-US" w:eastAsia="zh-CN"/>
                    </w:rPr>
                    <w:t>线</w:t>
                  </w:r>
                  <w:r>
                    <w:rPr>
                      <w:rFonts w:hint="eastAsia"/>
                      <w:color w:val="auto"/>
                      <w:sz w:val="21"/>
                      <w:szCs w:val="21"/>
                      <w:highlight w:val="none"/>
                    </w:rPr>
                    <w:t>、</w:t>
                  </w:r>
                  <w:r>
                    <w:rPr>
                      <w:rFonts w:hint="eastAsia"/>
                      <w:color w:val="auto"/>
                      <w:sz w:val="21"/>
                      <w:szCs w:val="21"/>
                      <w:highlight w:val="none"/>
                      <w:lang w:val="en-US" w:eastAsia="zh-CN"/>
                    </w:rPr>
                    <w:t>手动喷粉柜、面包炉、自动喷粉房</w:t>
                  </w:r>
                  <w:r>
                    <w:rPr>
                      <w:rFonts w:hint="eastAsia"/>
                      <w:color w:val="auto"/>
                      <w:sz w:val="21"/>
                      <w:szCs w:val="21"/>
                      <w:highlight w:val="none"/>
                    </w:rPr>
                    <w:t>、</w:t>
                  </w:r>
                  <w:r>
                    <w:rPr>
                      <w:rFonts w:hint="default"/>
                      <w:color w:val="auto"/>
                      <w:sz w:val="21"/>
                      <w:szCs w:val="21"/>
                      <w:highlight w:val="none"/>
                      <w:lang w:val="en-US" w:eastAsia="zh-CN"/>
                    </w:rPr>
                    <w:t>自动前处理线、</w:t>
                  </w:r>
                  <w:r>
                    <w:rPr>
                      <w:rFonts w:hint="default"/>
                      <w:color w:val="auto"/>
                      <w:sz w:val="21"/>
                      <w:szCs w:val="21"/>
                      <w:highlight w:val="none"/>
                      <w:lang w:val="en-US"/>
                    </w:rPr>
                    <w:t>烘干线+固化线（一体线）</w:t>
                  </w:r>
                  <w:r>
                    <w:rPr>
                      <w:rFonts w:hint="eastAsia"/>
                      <w:color w:val="auto"/>
                      <w:sz w:val="21"/>
                      <w:szCs w:val="21"/>
                      <w:highlight w:val="none"/>
                      <w:lang w:eastAsia="zh-CN"/>
                    </w:rPr>
                    <w:t>、</w:t>
                  </w:r>
                  <w:r>
                    <w:rPr>
                      <w:rFonts w:hint="eastAsia"/>
                      <w:color w:val="auto"/>
                      <w:highlight w:val="none"/>
                      <w:lang w:val="en-US" w:eastAsia="zh-CN"/>
                    </w:rPr>
                    <w:t>办公区、化学品仓、危废仓、废水暂存区</w:t>
                  </w:r>
                  <w:r>
                    <w:rPr>
                      <w:rFonts w:hint="eastAsia"/>
                      <w:color w:val="auto"/>
                    </w:rPr>
                    <w:t>等，建筑面积</w:t>
                  </w:r>
                  <w:r>
                    <w:rPr>
                      <w:rFonts w:hint="eastAsia"/>
                      <w:color w:val="auto"/>
                      <w:kern w:val="0"/>
                      <w:lang w:val="en-US"/>
                    </w:rPr>
                    <w:t>640</w:t>
                  </w:r>
                  <w:r>
                    <w:rPr>
                      <w:color w:val="auto"/>
                    </w:rPr>
                    <w:t>㎡</w:t>
                  </w:r>
                  <w:r>
                    <w:rPr>
                      <w:rFonts w:hint="eastAsia"/>
                      <w:color w:val="auto"/>
                    </w:rPr>
                    <w:t>；</w:t>
                  </w:r>
                </w:p>
              </w:tc>
            </w:tr>
            <w:tr w14:paraId="11542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711" w:type="pct"/>
                  <w:vAlign w:val="center"/>
                </w:tcPr>
                <w:p w14:paraId="02C4276F">
                  <w:pPr>
                    <w:adjustRightInd w:val="0"/>
                    <w:snapToGrid w:val="0"/>
                    <w:jc w:val="center"/>
                    <w:rPr>
                      <w:color w:val="auto"/>
                      <w:szCs w:val="21"/>
                    </w:rPr>
                  </w:pPr>
                  <w:r>
                    <w:rPr>
                      <w:rFonts w:hint="eastAsia"/>
                      <w:color w:val="auto"/>
                      <w:szCs w:val="21"/>
                    </w:rPr>
                    <w:t>辅助工程</w:t>
                  </w:r>
                </w:p>
              </w:tc>
              <w:tc>
                <w:tcPr>
                  <w:tcW w:w="919" w:type="pct"/>
                  <w:vAlign w:val="center"/>
                </w:tcPr>
                <w:p w14:paraId="6099CEC5">
                  <w:pPr>
                    <w:adjustRightInd w:val="0"/>
                    <w:snapToGrid w:val="0"/>
                    <w:jc w:val="center"/>
                    <w:rPr>
                      <w:color w:val="auto"/>
                      <w:szCs w:val="21"/>
                    </w:rPr>
                  </w:pPr>
                  <w:r>
                    <w:rPr>
                      <w:rFonts w:hint="eastAsia"/>
                      <w:color w:val="auto"/>
                      <w:szCs w:val="21"/>
                    </w:rPr>
                    <w:t>办公室</w:t>
                  </w:r>
                </w:p>
              </w:tc>
              <w:tc>
                <w:tcPr>
                  <w:tcW w:w="3368" w:type="pct"/>
                  <w:vAlign w:val="center"/>
                </w:tcPr>
                <w:p w14:paraId="1834495C">
                  <w:pPr>
                    <w:autoSpaceDE w:val="0"/>
                    <w:autoSpaceDN w:val="0"/>
                    <w:adjustRightInd w:val="0"/>
                    <w:spacing w:line="312" w:lineRule="atLeast"/>
                    <w:jc w:val="left"/>
                    <w:textAlignment w:val="baseline"/>
                    <w:rPr>
                      <w:color w:val="auto"/>
                      <w:kern w:val="0"/>
                      <w:szCs w:val="21"/>
                    </w:rPr>
                  </w:pPr>
                  <w:r>
                    <w:rPr>
                      <w:rFonts w:hint="eastAsia"/>
                      <w:color w:val="auto"/>
                      <w:kern w:val="0"/>
                      <w:szCs w:val="21"/>
                    </w:rPr>
                    <w:t>位于</w:t>
                  </w:r>
                  <w:r>
                    <w:rPr>
                      <w:color w:val="auto"/>
                      <w:kern w:val="0"/>
                      <w:szCs w:val="21"/>
                    </w:rPr>
                    <w:t>生产车间内</w:t>
                  </w:r>
                </w:p>
              </w:tc>
            </w:tr>
            <w:tr w14:paraId="09DB7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711" w:type="pct"/>
                  <w:vMerge w:val="restart"/>
                  <w:vAlign w:val="center"/>
                </w:tcPr>
                <w:p w14:paraId="565A0ABC">
                  <w:pPr>
                    <w:adjustRightInd w:val="0"/>
                    <w:snapToGrid w:val="0"/>
                    <w:jc w:val="center"/>
                    <w:rPr>
                      <w:color w:val="auto"/>
                      <w:szCs w:val="21"/>
                    </w:rPr>
                  </w:pPr>
                  <w:r>
                    <w:rPr>
                      <w:rFonts w:hint="eastAsia"/>
                      <w:color w:val="auto"/>
                      <w:szCs w:val="21"/>
                    </w:rPr>
                    <w:t>公用</w:t>
                  </w:r>
                </w:p>
                <w:p w14:paraId="0EC89D63">
                  <w:pPr>
                    <w:adjustRightInd w:val="0"/>
                    <w:snapToGrid w:val="0"/>
                    <w:jc w:val="center"/>
                    <w:rPr>
                      <w:color w:val="auto"/>
                      <w:szCs w:val="21"/>
                    </w:rPr>
                  </w:pPr>
                  <w:r>
                    <w:rPr>
                      <w:rFonts w:hint="eastAsia"/>
                      <w:color w:val="auto"/>
                      <w:szCs w:val="21"/>
                    </w:rPr>
                    <w:t>工程</w:t>
                  </w:r>
                </w:p>
              </w:tc>
              <w:tc>
                <w:tcPr>
                  <w:tcW w:w="919" w:type="pct"/>
                  <w:vAlign w:val="center"/>
                </w:tcPr>
                <w:p w14:paraId="6C32691B">
                  <w:pPr>
                    <w:adjustRightInd w:val="0"/>
                    <w:snapToGrid w:val="0"/>
                    <w:jc w:val="center"/>
                    <w:rPr>
                      <w:color w:val="auto"/>
                      <w:szCs w:val="21"/>
                    </w:rPr>
                  </w:pPr>
                  <w:r>
                    <w:rPr>
                      <w:rFonts w:hint="eastAsia"/>
                      <w:color w:val="auto"/>
                      <w:szCs w:val="21"/>
                    </w:rPr>
                    <w:t>供水</w:t>
                  </w:r>
                </w:p>
              </w:tc>
              <w:tc>
                <w:tcPr>
                  <w:tcW w:w="3368" w:type="pct"/>
                  <w:vAlign w:val="center"/>
                </w:tcPr>
                <w:p w14:paraId="6AB932E9">
                  <w:pPr>
                    <w:adjustRightInd w:val="0"/>
                    <w:snapToGrid w:val="0"/>
                    <w:rPr>
                      <w:color w:val="auto"/>
                      <w:szCs w:val="21"/>
                    </w:rPr>
                  </w:pPr>
                  <w:r>
                    <w:rPr>
                      <w:rFonts w:hint="eastAsia"/>
                      <w:color w:val="auto"/>
                      <w:szCs w:val="21"/>
                    </w:rPr>
                    <w:t>市政管网供水</w:t>
                  </w:r>
                </w:p>
              </w:tc>
            </w:tr>
            <w:tr w14:paraId="10550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 w:hRule="atLeast"/>
                <w:jc w:val="center"/>
              </w:trPr>
              <w:tc>
                <w:tcPr>
                  <w:tcW w:w="711" w:type="pct"/>
                  <w:vMerge w:val="continue"/>
                  <w:vAlign w:val="center"/>
                </w:tcPr>
                <w:p w14:paraId="188AB8C9">
                  <w:pPr>
                    <w:adjustRightInd w:val="0"/>
                    <w:snapToGrid w:val="0"/>
                    <w:jc w:val="center"/>
                    <w:rPr>
                      <w:color w:val="auto"/>
                      <w:szCs w:val="21"/>
                    </w:rPr>
                  </w:pPr>
                </w:p>
              </w:tc>
              <w:tc>
                <w:tcPr>
                  <w:tcW w:w="919" w:type="pct"/>
                  <w:vAlign w:val="center"/>
                </w:tcPr>
                <w:p w14:paraId="0B83F4C3">
                  <w:pPr>
                    <w:adjustRightInd w:val="0"/>
                    <w:snapToGrid w:val="0"/>
                    <w:jc w:val="center"/>
                    <w:rPr>
                      <w:color w:val="auto"/>
                      <w:szCs w:val="21"/>
                    </w:rPr>
                  </w:pPr>
                  <w:r>
                    <w:rPr>
                      <w:rFonts w:hint="eastAsia"/>
                      <w:color w:val="auto"/>
                      <w:szCs w:val="21"/>
                    </w:rPr>
                    <w:t>供电</w:t>
                  </w:r>
                </w:p>
              </w:tc>
              <w:tc>
                <w:tcPr>
                  <w:tcW w:w="3368" w:type="pct"/>
                  <w:vAlign w:val="center"/>
                </w:tcPr>
                <w:p w14:paraId="098D4721">
                  <w:pPr>
                    <w:adjustRightInd w:val="0"/>
                    <w:snapToGrid w:val="0"/>
                    <w:rPr>
                      <w:color w:val="auto"/>
                      <w:szCs w:val="21"/>
                    </w:rPr>
                  </w:pPr>
                  <w:r>
                    <w:rPr>
                      <w:rFonts w:hint="eastAsia"/>
                      <w:color w:val="auto"/>
                      <w:szCs w:val="21"/>
                    </w:rPr>
                    <w:t>由市政电网供给</w:t>
                  </w:r>
                </w:p>
              </w:tc>
            </w:tr>
            <w:tr w14:paraId="55FA9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711" w:type="pct"/>
                  <w:vMerge w:val="continue"/>
                  <w:vAlign w:val="center"/>
                </w:tcPr>
                <w:p w14:paraId="1F9D222B">
                  <w:pPr>
                    <w:adjustRightInd w:val="0"/>
                    <w:snapToGrid w:val="0"/>
                    <w:jc w:val="center"/>
                    <w:rPr>
                      <w:color w:val="auto"/>
                      <w:szCs w:val="21"/>
                    </w:rPr>
                  </w:pPr>
                </w:p>
              </w:tc>
              <w:tc>
                <w:tcPr>
                  <w:tcW w:w="919" w:type="pct"/>
                  <w:vMerge w:val="restart"/>
                  <w:vAlign w:val="center"/>
                </w:tcPr>
                <w:p w14:paraId="78E28503">
                  <w:pPr>
                    <w:adjustRightInd w:val="0"/>
                    <w:snapToGrid w:val="0"/>
                    <w:jc w:val="center"/>
                    <w:rPr>
                      <w:color w:val="auto"/>
                      <w:szCs w:val="21"/>
                    </w:rPr>
                  </w:pPr>
                  <w:r>
                    <w:rPr>
                      <w:rFonts w:hint="eastAsia"/>
                      <w:color w:val="auto"/>
                      <w:szCs w:val="21"/>
                    </w:rPr>
                    <w:t>废</w:t>
                  </w:r>
                  <w:r>
                    <w:rPr>
                      <w:rFonts w:hint="eastAsia"/>
                      <w:color w:val="auto"/>
                      <w:szCs w:val="21"/>
                      <w:lang w:val="en-US" w:eastAsia="zh-CN"/>
                    </w:rPr>
                    <w:t>气</w:t>
                  </w:r>
                  <w:r>
                    <w:rPr>
                      <w:rFonts w:hint="eastAsia"/>
                      <w:color w:val="auto"/>
                      <w:szCs w:val="21"/>
                    </w:rPr>
                    <w:t>治理措施</w:t>
                  </w:r>
                </w:p>
              </w:tc>
              <w:tc>
                <w:tcPr>
                  <w:tcW w:w="3368" w:type="pct"/>
                  <w:vAlign w:val="center"/>
                </w:tcPr>
                <w:p w14:paraId="69A8AF48">
                  <w:pPr>
                    <w:pStyle w:val="56"/>
                    <w:jc w:val="left"/>
                    <w:rPr>
                      <w:color w:val="auto"/>
                      <w:lang w:val="en-US"/>
                    </w:rPr>
                  </w:pPr>
                  <w:r>
                    <w:rPr>
                      <w:rFonts w:hint="eastAsia" w:ascii="Times New Roman" w:hAnsi="Times New Roman" w:eastAsia="宋体" w:cs="Times New Roman"/>
                      <w:color w:val="auto"/>
                      <w:sz w:val="21"/>
                      <w:szCs w:val="21"/>
                      <w:highlight w:val="none"/>
                      <w:lang w:val="en-US" w:eastAsia="zh-CN"/>
                    </w:rPr>
                    <w:t>自动线喷粉</w:t>
                  </w:r>
                  <w:r>
                    <w:rPr>
                      <w:rFonts w:hint="default" w:ascii="Times New Roman" w:hAnsi="Times New Roman" w:eastAsia="宋体" w:cs="Times New Roman"/>
                      <w:color w:val="auto"/>
                      <w:sz w:val="21"/>
                      <w:szCs w:val="21"/>
                      <w:highlight w:val="none"/>
                      <w:lang w:val="en-US" w:eastAsia="zh-CN"/>
                    </w:rPr>
                    <w:t>废气</w:t>
                  </w:r>
                  <w:r>
                    <w:rPr>
                      <w:rFonts w:hint="eastAsia"/>
                      <w:color w:val="auto"/>
                      <w:lang w:eastAsia="zh-CN"/>
                    </w:rPr>
                    <w:t>、</w:t>
                  </w:r>
                  <w:r>
                    <w:rPr>
                      <w:rFonts w:hint="eastAsia" w:ascii="宋体" w:hAnsi="宋体" w:cs="宋体"/>
                      <w:color w:val="auto"/>
                      <w:szCs w:val="21"/>
                      <w:highlight w:val="none"/>
                      <w:lang w:val="en-US" w:eastAsia="zh-CN"/>
                    </w:rPr>
                    <w:t>手动线喷粉废气</w:t>
                  </w:r>
                  <w:r>
                    <w:rPr>
                      <w:rFonts w:hint="eastAsia"/>
                      <w:color w:val="auto"/>
                      <w:lang w:val="en-US" w:eastAsia="zh-CN"/>
                    </w:rPr>
                    <w:t>半密闭罩</w:t>
                  </w:r>
                  <w:r>
                    <w:rPr>
                      <w:rFonts w:hint="eastAsia" w:ascii="宋体" w:hAnsi="宋体" w:cs="宋体"/>
                      <w:color w:val="auto"/>
                      <w:szCs w:val="21"/>
                      <w:highlight w:val="none"/>
                      <w:lang w:val="en-US" w:eastAsia="zh-CN"/>
                    </w:rPr>
                    <w:t>收集，</w:t>
                  </w:r>
                  <w:r>
                    <w:rPr>
                      <w:rFonts w:hint="eastAsia"/>
                      <w:color w:val="auto"/>
                      <w:szCs w:val="21"/>
                      <w:highlight w:val="none"/>
                    </w:rPr>
                    <w:t>经</w:t>
                  </w:r>
                  <w:r>
                    <w:rPr>
                      <w:rFonts w:hint="eastAsia"/>
                      <w:b w:val="0"/>
                      <w:bCs/>
                      <w:color w:val="auto"/>
                      <w:szCs w:val="21"/>
                      <w:highlight w:val="none"/>
                      <w:lang w:val="en-US" w:eastAsia="zh-CN"/>
                    </w:rPr>
                    <w:t>二</w:t>
                  </w:r>
                  <w:r>
                    <w:rPr>
                      <w:rFonts w:hint="eastAsia"/>
                      <w:b/>
                      <w:bCs w:val="0"/>
                      <w:color w:val="auto"/>
                      <w:szCs w:val="21"/>
                      <w:highlight w:val="none"/>
                      <w:lang w:val="en-US" w:eastAsia="zh-CN"/>
                    </w:rPr>
                    <w:t>级</w:t>
                  </w:r>
                  <w:r>
                    <w:rPr>
                      <w:rFonts w:hint="eastAsia"/>
                      <w:b/>
                      <w:bCs w:val="0"/>
                      <w:color w:val="auto"/>
                      <w:szCs w:val="21"/>
                      <w:highlight w:val="none"/>
                    </w:rPr>
                    <w:t>滤芯回收装置</w:t>
                  </w:r>
                  <w:r>
                    <w:rPr>
                      <w:rFonts w:hint="eastAsia"/>
                      <w:color w:val="auto"/>
                      <w:szCs w:val="21"/>
                      <w:highlight w:val="none"/>
                    </w:rPr>
                    <w:t>处理后</w:t>
                  </w:r>
                  <w:r>
                    <w:rPr>
                      <w:rFonts w:hint="eastAsia"/>
                      <w:color w:val="auto"/>
                      <w:szCs w:val="21"/>
                      <w:highlight w:val="none"/>
                      <w:lang w:val="en-US" w:eastAsia="zh-CN"/>
                    </w:rPr>
                    <w:t>通过15m高排气筒（G1</w:t>
                  </w:r>
                  <w:r>
                    <w:rPr>
                      <w:rFonts w:hint="eastAsia"/>
                      <w:strike w:val="0"/>
                      <w:dstrike w:val="0"/>
                      <w:color w:val="auto"/>
                      <w:lang w:val="en-US" w:eastAsia="zh-CN"/>
                    </w:rPr>
                    <w:t>，</w:t>
                  </w:r>
                  <w:r>
                    <w:rPr>
                      <w:rFonts w:hint="eastAsia"/>
                      <w:strike w:val="0"/>
                      <w:dstrike w:val="0"/>
                      <w:color w:val="auto"/>
                      <w:lang w:val="en-US"/>
                    </w:rPr>
                    <w:t>风量为</w:t>
                  </w:r>
                  <w:r>
                    <w:rPr>
                      <w:rFonts w:hint="eastAsia"/>
                      <w:strike w:val="0"/>
                      <w:dstrike w:val="0"/>
                      <w:color w:val="auto"/>
                      <w:lang w:val="en-US" w:eastAsia="zh-CN"/>
                    </w:rPr>
                    <w:t>1</w:t>
                  </w:r>
                  <w:r>
                    <w:rPr>
                      <w:strike w:val="0"/>
                      <w:dstrike w:val="0"/>
                      <w:color w:val="auto"/>
                      <w:lang w:val="en-US"/>
                    </w:rPr>
                    <w:t>5</w:t>
                  </w:r>
                  <w:r>
                    <w:rPr>
                      <w:rFonts w:hint="eastAsia"/>
                      <w:strike w:val="0"/>
                      <w:dstrike w:val="0"/>
                      <w:color w:val="auto"/>
                      <w:lang w:val="en-US"/>
                    </w:rPr>
                    <w:t>00</w:t>
                  </w:r>
                  <w:r>
                    <w:rPr>
                      <w:rFonts w:hint="eastAsia"/>
                      <w:strike w:val="0"/>
                      <w:dstrike w:val="0"/>
                      <w:color w:val="auto"/>
                      <w:lang w:val="en-US" w:eastAsia="zh-CN"/>
                    </w:rPr>
                    <w:t>0</w:t>
                  </w:r>
                  <w:r>
                    <w:rPr>
                      <w:strike w:val="0"/>
                      <w:dstrike w:val="0"/>
                      <w:color w:val="auto"/>
                      <w:lang w:val="en-US"/>
                    </w:rPr>
                    <w:t>m³/h</w:t>
                  </w:r>
                  <w:r>
                    <w:rPr>
                      <w:rFonts w:hint="eastAsia"/>
                      <w:color w:val="auto"/>
                      <w:szCs w:val="21"/>
                      <w:highlight w:val="none"/>
                      <w:lang w:val="en-US" w:eastAsia="zh-CN"/>
                    </w:rPr>
                    <w:t>）</w:t>
                  </w:r>
                  <w:r>
                    <w:rPr>
                      <w:rFonts w:hint="eastAsia"/>
                      <w:color w:val="auto"/>
                      <w:szCs w:val="21"/>
                      <w:highlight w:val="none"/>
                    </w:rPr>
                    <w:t>排放</w:t>
                  </w:r>
                  <w:r>
                    <w:rPr>
                      <w:rFonts w:hint="eastAsia" w:ascii="宋体" w:hAnsi="宋体" w:cs="宋体"/>
                      <w:color w:val="auto"/>
                      <w:szCs w:val="21"/>
                      <w:highlight w:val="none"/>
                      <w:lang w:val="en-US" w:eastAsia="zh-CN"/>
                    </w:rPr>
                    <w:t>；</w:t>
                  </w:r>
                </w:p>
              </w:tc>
            </w:tr>
            <w:tr w14:paraId="4754D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 w:hRule="atLeast"/>
                <w:jc w:val="center"/>
              </w:trPr>
              <w:tc>
                <w:tcPr>
                  <w:tcW w:w="711" w:type="pct"/>
                  <w:vMerge w:val="continue"/>
                  <w:vAlign w:val="center"/>
                </w:tcPr>
                <w:p w14:paraId="7B924D8C">
                  <w:pPr>
                    <w:adjustRightInd w:val="0"/>
                    <w:snapToGrid w:val="0"/>
                    <w:jc w:val="center"/>
                    <w:rPr>
                      <w:color w:val="auto"/>
                      <w:szCs w:val="21"/>
                    </w:rPr>
                  </w:pPr>
                </w:p>
              </w:tc>
              <w:tc>
                <w:tcPr>
                  <w:tcW w:w="919" w:type="pct"/>
                  <w:vMerge w:val="continue"/>
                  <w:vAlign w:val="center"/>
                </w:tcPr>
                <w:p w14:paraId="2FDA45FA">
                  <w:pPr>
                    <w:adjustRightInd w:val="0"/>
                    <w:snapToGrid w:val="0"/>
                    <w:jc w:val="center"/>
                    <w:rPr>
                      <w:color w:val="auto"/>
                      <w:szCs w:val="21"/>
                    </w:rPr>
                  </w:pPr>
                </w:p>
              </w:tc>
              <w:tc>
                <w:tcPr>
                  <w:tcW w:w="3368" w:type="pct"/>
                  <w:vAlign w:val="center"/>
                </w:tcPr>
                <w:p w14:paraId="0225A602">
                  <w:pPr>
                    <w:pStyle w:val="56"/>
                    <w:jc w:val="left"/>
                    <w:rPr>
                      <w:color w:val="auto"/>
                      <w:lang w:val="en-US"/>
                    </w:rPr>
                  </w:pPr>
                  <w:r>
                    <w:rPr>
                      <w:rFonts w:hint="default" w:ascii="Times New Roman" w:hAnsi="Times New Roman" w:eastAsia="宋体" w:cs="Times New Roman"/>
                      <w:color w:val="auto"/>
                      <w:sz w:val="21"/>
                      <w:szCs w:val="21"/>
                      <w:highlight w:val="none"/>
                      <w:u w:val="none"/>
                      <w:lang w:val="en-US" w:eastAsia="zh-CN"/>
                    </w:rPr>
                    <w:t>手动线面包炉固化工序</w:t>
                  </w:r>
                  <w:r>
                    <w:rPr>
                      <w:rFonts w:hint="eastAsia" w:ascii="宋体" w:hAnsi="宋体" w:cs="宋体"/>
                      <w:color w:val="auto"/>
                      <w:szCs w:val="21"/>
                      <w:highlight w:val="none"/>
                      <w:u w:val="none"/>
                      <w:lang w:val="en-US" w:eastAsia="zh-CN"/>
                    </w:rPr>
                    <w:t>密闭管道收集</w:t>
                  </w:r>
                  <w:r>
                    <w:rPr>
                      <w:rFonts w:hint="eastAsia" w:ascii="宋体" w:hAnsi="宋体" w:cs="宋体"/>
                      <w:color w:val="auto"/>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自动线固化工序废气和液化石油气燃烧废气</w:t>
                  </w:r>
                  <w:r>
                    <w:rPr>
                      <w:rFonts w:hint="eastAsia" w:cs="Times New Roman"/>
                      <w:color w:val="auto"/>
                      <w:sz w:val="21"/>
                      <w:szCs w:val="21"/>
                      <w:highlight w:val="none"/>
                      <w:lang w:val="en-US" w:eastAsia="zh-CN"/>
                    </w:rPr>
                    <w:t>设备</w:t>
                  </w:r>
                  <w:r>
                    <w:rPr>
                      <w:rFonts w:hint="eastAsia" w:cs="Times New Roman"/>
                      <w:b/>
                      <w:bCs w:val="0"/>
                      <w:color w:val="auto"/>
                      <w:sz w:val="21"/>
                      <w:szCs w:val="21"/>
                      <w:highlight w:val="none"/>
                      <w:lang w:val="en-US" w:eastAsia="zh-CN"/>
                    </w:rPr>
                    <w:t>管道直连</w:t>
                  </w:r>
                  <w:r>
                    <w:rPr>
                      <w:rFonts w:hint="eastAsia" w:ascii="Times New Roman" w:hAnsi="Times New Roman" w:eastAsia="宋体"/>
                      <w:b/>
                      <w:bCs w:val="0"/>
                      <w:color w:val="auto"/>
                      <w:spacing w:val="4"/>
                      <w:sz w:val="21"/>
                      <w:szCs w:val="24"/>
                      <w:lang w:val="en-US" w:eastAsia="zh-CN"/>
                    </w:rPr>
                    <w:t>收集</w:t>
                  </w:r>
                  <w:r>
                    <w:rPr>
                      <w:rFonts w:hint="eastAsia"/>
                      <w:color w:val="auto"/>
                      <w:spacing w:val="4"/>
                      <w:sz w:val="21"/>
                      <w:szCs w:val="24"/>
                      <w:lang w:val="en-US" w:eastAsia="zh-CN"/>
                    </w:rPr>
                    <w:t>，二者合并后</w:t>
                  </w:r>
                  <w:r>
                    <w:rPr>
                      <w:rFonts w:hint="eastAsia" w:ascii="Times New Roman" w:hAnsi="Times New Roman" w:eastAsia="宋体"/>
                      <w:color w:val="auto"/>
                      <w:spacing w:val="4"/>
                      <w:sz w:val="21"/>
                      <w:szCs w:val="24"/>
                      <w:lang w:val="en-US" w:eastAsia="zh-CN"/>
                    </w:rPr>
                    <w:t>经</w:t>
                  </w:r>
                  <w:r>
                    <w:rPr>
                      <w:rFonts w:hint="eastAsia"/>
                      <w:color w:val="auto"/>
                      <w:szCs w:val="21"/>
                    </w:rPr>
                    <w:t>活性炭吸附处理后</w:t>
                  </w:r>
                  <w:r>
                    <w:rPr>
                      <w:rFonts w:hint="eastAsia"/>
                      <w:color w:val="auto"/>
                      <w:szCs w:val="21"/>
                      <w:lang w:val="en-US" w:eastAsia="zh-CN"/>
                    </w:rPr>
                    <w:t>通过</w:t>
                  </w:r>
                  <w:r>
                    <w:rPr>
                      <w:rFonts w:hint="eastAsia"/>
                      <w:color w:val="auto"/>
                      <w:szCs w:val="21"/>
                      <w:highlight w:val="none"/>
                      <w:lang w:val="en-US" w:eastAsia="zh-CN"/>
                    </w:rPr>
                    <w:t>15m高</w:t>
                  </w:r>
                  <w:r>
                    <w:rPr>
                      <w:rFonts w:hint="eastAsia"/>
                      <w:color w:val="auto"/>
                      <w:szCs w:val="21"/>
                      <w:lang w:val="en-US" w:eastAsia="zh-CN"/>
                    </w:rPr>
                    <w:t>排气筒</w:t>
                  </w:r>
                  <w:r>
                    <w:rPr>
                      <w:rFonts w:hint="eastAsia"/>
                      <w:color w:val="auto"/>
                      <w:szCs w:val="21"/>
                    </w:rPr>
                    <w:t>（G</w:t>
                  </w:r>
                  <w:r>
                    <w:rPr>
                      <w:rFonts w:hint="eastAsia"/>
                      <w:color w:val="auto"/>
                      <w:szCs w:val="21"/>
                      <w:lang w:val="en-US" w:eastAsia="zh-CN"/>
                    </w:rPr>
                    <w:t>2</w:t>
                  </w:r>
                  <w:r>
                    <w:rPr>
                      <w:rFonts w:hint="eastAsia"/>
                      <w:strike w:val="0"/>
                      <w:dstrike w:val="0"/>
                      <w:color w:val="auto"/>
                      <w:lang w:val="en-US" w:eastAsia="zh-CN"/>
                    </w:rPr>
                    <w:t>，</w:t>
                  </w:r>
                  <w:r>
                    <w:rPr>
                      <w:rFonts w:hint="eastAsia"/>
                      <w:strike w:val="0"/>
                      <w:dstrike w:val="0"/>
                      <w:color w:val="auto"/>
                      <w:lang w:val="en-US"/>
                    </w:rPr>
                    <w:t>风量为</w:t>
                  </w:r>
                  <w:r>
                    <w:rPr>
                      <w:rFonts w:hint="eastAsia"/>
                      <w:strike w:val="0"/>
                      <w:dstrike w:val="0"/>
                      <w:color w:val="auto"/>
                      <w:lang w:val="en-US" w:eastAsia="zh-CN"/>
                    </w:rPr>
                    <w:t>6</w:t>
                  </w:r>
                  <w:r>
                    <w:rPr>
                      <w:rFonts w:hint="eastAsia"/>
                      <w:strike w:val="0"/>
                      <w:dstrike w:val="0"/>
                      <w:color w:val="auto"/>
                      <w:lang w:val="en-US"/>
                    </w:rPr>
                    <w:t>00</w:t>
                  </w:r>
                  <w:r>
                    <w:rPr>
                      <w:rFonts w:hint="eastAsia"/>
                      <w:strike w:val="0"/>
                      <w:dstrike w:val="0"/>
                      <w:color w:val="auto"/>
                      <w:lang w:val="en-US" w:eastAsia="zh-CN"/>
                    </w:rPr>
                    <w:t>0</w:t>
                  </w:r>
                  <w:r>
                    <w:rPr>
                      <w:strike w:val="0"/>
                      <w:dstrike w:val="0"/>
                      <w:color w:val="auto"/>
                      <w:lang w:val="en-US"/>
                    </w:rPr>
                    <w:t>m³/h</w:t>
                  </w:r>
                  <w:r>
                    <w:rPr>
                      <w:rFonts w:hint="eastAsia"/>
                      <w:color w:val="auto"/>
                      <w:szCs w:val="21"/>
                    </w:rPr>
                    <w:t>）</w:t>
                  </w:r>
                  <w:r>
                    <w:rPr>
                      <w:rFonts w:hint="eastAsia"/>
                      <w:color w:val="auto"/>
                      <w:szCs w:val="21"/>
                      <w:lang w:val="en-US" w:eastAsia="zh-CN"/>
                    </w:rPr>
                    <w:t>排放；</w:t>
                  </w:r>
                </w:p>
              </w:tc>
            </w:tr>
            <w:tr w14:paraId="3E10F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jc w:val="center"/>
              </w:trPr>
              <w:tc>
                <w:tcPr>
                  <w:tcW w:w="711" w:type="pct"/>
                  <w:vMerge w:val="continue"/>
                  <w:vAlign w:val="center"/>
                </w:tcPr>
                <w:p w14:paraId="222FB6DB">
                  <w:pPr>
                    <w:widowControl/>
                    <w:adjustRightInd w:val="0"/>
                    <w:snapToGrid w:val="0"/>
                    <w:jc w:val="center"/>
                    <w:rPr>
                      <w:color w:val="auto"/>
                      <w:szCs w:val="21"/>
                    </w:rPr>
                  </w:pPr>
                </w:p>
              </w:tc>
              <w:tc>
                <w:tcPr>
                  <w:tcW w:w="919" w:type="pct"/>
                  <w:vMerge w:val="restart"/>
                  <w:vAlign w:val="center"/>
                </w:tcPr>
                <w:p w14:paraId="5E0DA202">
                  <w:pPr>
                    <w:widowControl/>
                    <w:adjustRightInd w:val="0"/>
                    <w:snapToGrid w:val="0"/>
                    <w:jc w:val="center"/>
                    <w:rPr>
                      <w:color w:val="auto"/>
                      <w:szCs w:val="21"/>
                    </w:rPr>
                  </w:pPr>
                  <w:r>
                    <w:rPr>
                      <w:rFonts w:hint="eastAsia"/>
                      <w:color w:val="auto"/>
                      <w:szCs w:val="21"/>
                    </w:rPr>
                    <w:t>废水治理措施</w:t>
                  </w:r>
                </w:p>
              </w:tc>
              <w:tc>
                <w:tcPr>
                  <w:tcW w:w="3368" w:type="pct"/>
                  <w:vAlign w:val="center"/>
                </w:tcPr>
                <w:p w14:paraId="3E1188A0">
                  <w:pPr>
                    <w:adjustRightInd w:val="0"/>
                    <w:snapToGrid w:val="0"/>
                    <w:rPr>
                      <w:rFonts w:hint="default" w:eastAsia="宋体"/>
                      <w:color w:val="auto"/>
                      <w:szCs w:val="21"/>
                      <w:lang w:val="en-US" w:eastAsia="zh-CN"/>
                    </w:rPr>
                  </w:pPr>
                  <w:r>
                    <w:rPr>
                      <w:rFonts w:hint="eastAsia"/>
                      <w:color w:val="auto"/>
                      <w:szCs w:val="21"/>
                    </w:rPr>
                    <w:t>生活污水经化粪池处理排入</w:t>
                  </w:r>
                  <w:r>
                    <w:rPr>
                      <w:rFonts w:hint="eastAsia"/>
                      <w:color w:val="auto"/>
                      <w:szCs w:val="21"/>
                      <w:lang w:eastAsia="zh-CN"/>
                    </w:rPr>
                    <w:t>南朗横门污水处理厂</w:t>
                  </w:r>
                  <w:r>
                    <w:rPr>
                      <w:rFonts w:hint="eastAsia"/>
                      <w:color w:val="auto"/>
                      <w:szCs w:val="21"/>
                    </w:rPr>
                    <w:t>处理后排入</w:t>
                  </w:r>
                  <w:r>
                    <w:rPr>
                      <w:rFonts w:hint="eastAsia"/>
                      <w:color w:val="auto"/>
                      <w:szCs w:val="21"/>
                      <w:u w:val="none"/>
                      <w:lang w:val="en-US" w:eastAsia="zh-CN"/>
                    </w:rPr>
                    <w:t>横门水道。</w:t>
                  </w:r>
                </w:p>
              </w:tc>
            </w:tr>
            <w:tr w14:paraId="67C1A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 w:hRule="atLeast"/>
                <w:jc w:val="center"/>
              </w:trPr>
              <w:tc>
                <w:tcPr>
                  <w:tcW w:w="711" w:type="pct"/>
                  <w:vMerge w:val="continue"/>
                  <w:vAlign w:val="center"/>
                </w:tcPr>
                <w:p w14:paraId="21CCAD30">
                  <w:pPr>
                    <w:widowControl/>
                    <w:adjustRightInd w:val="0"/>
                    <w:snapToGrid w:val="0"/>
                    <w:jc w:val="center"/>
                    <w:rPr>
                      <w:color w:val="auto"/>
                      <w:szCs w:val="21"/>
                    </w:rPr>
                  </w:pPr>
                </w:p>
              </w:tc>
              <w:tc>
                <w:tcPr>
                  <w:tcW w:w="919" w:type="pct"/>
                  <w:vMerge w:val="continue"/>
                  <w:vAlign w:val="center"/>
                </w:tcPr>
                <w:p w14:paraId="3A36F994">
                  <w:pPr>
                    <w:widowControl/>
                    <w:adjustRightInd w:val="0"/>
                    <w:snapToGrid w:val="0"/>
                    <w:jc w:val="center"/>
                    <w:rPr>
                      <w:color w:val="auto"/>
                      <w:szCs w:val="21"/>
                    </w:rPr>
                  </w:pPr>
                </w:p>
              </w:tc>
              <w:tc>
                <w:tcPr>
                  <w:tcW w:w="3368" w:type="pct"/>
                  <w:vAlign w:val="center"/>
                </w:tcPr>
                <w:p w14:paraId="0AC3A45E">
                  <w:pPr>
                    <w:adjustRightInd w:val="0"/>
                    <w:snapToGrid w:val="0"/>
                    <w:rPr>
                      <w:rFonts w:hint="eastAsia" w:eastAsia="宋体"/>
                      <w:color w:val="auto"/>
                      <w:szCs w:val="21"/>
                      <w:lang w:eastAsia="zh-CN"/>
                    </w:rPr>
                  </w:pPr>
                  <w:r>
                    <w:rPr>
                      <w:rFonts w:hint="eastAsia"/>
                      <w:color w:val="auto"/>
                      <w:szCs w:val="21"/>
                    </w:rPr>
                    <w:t>生产废水</w:t>
                  </w:r>
                  <w:r>
                    <w:rPr>
                      <w:rFonts w:hint="eastAsia"/>
                      <w:color w:val="auto"/>
                      <w:szCs w:val="21"/>
                      <w:lang w:eastAsia="zh-CN"/>
                    </w:rPr>
                    <w:t>（</w:t>
                  </w:r>
                  <w:r>
                    <w:rPr>
                      <w:rFonts w:hint="eastAsia"/>
                      <w:color w:val="auto"/>
                      <w:szCs w:val="21"/>
                      <w:lang w:val="en-US" w:eastAsia="zh-CN"/>
                    </w:rPr>
                    <w:t>清洗废水</w:t>
                  </w:r>
                  <w:r>
                    <w:rPr>
                      <w:rFonts w:hint="eastAsia"/>
                      <w:color w:val="auto"/>
                      <w:szCs w:val="21"/>
                      <w:lang w:eastAsia="zh-CN"/>
                    </w:rPr>
                    <w:t>）</w:t>
                  </w:r>
                  <w:r>
                    <w:rPr>
                      <w:rFonts w:hint="eastAsia"/>
                      <w:color w:val="auto"/>
                      <w:szCs w:val="21"/>
                    </w:rPr>
                    <w:t>定期委托给有处理能力的公司转移处理</w:t>
                  </w:r>
                  <w:r>
                    <w:rPr>
                      <w:rFonts w:hint="eastAsia"/>
                      <w:color w:val="auto"/>
                      <w:szCs w:val="21"/>
                      <w:lang w:eastAsia="zh-CN"/>
                    </w:rPr>
                    <w:t>。</w:t>
                  </w:r>
                </w:p>
              </w:tc>
            </w:tr>
            <w:tr w14:paraId="44ECB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711" w:type="pct"/>
                  <w:vMerge w:val="continue"/>
                  <w:vAlign w:val="center"/>
                </w:tcPr>
                <w:p w14:paraId="39C80D35">
                  <w:pPr>
                    <w:widowControl/>
                    <w:adjustRightInd w:val="0"/>
                    <w:snapToGrid w:val="0"/>
                    <w:jc w:val="center"/>
                    <w:rPr>
                      <w:color w:val="auto"/>
                      <w:szCs w:val="21"/>
                    </w:rPr>
                  </w:pPr>
                </w:p>
              </w:tc>
              <w:tc>
                <w:tcPr>
                  <w:tcW w:w="919" w:type="pct"/>
                  <w:vAlign w:val="center"/>
                </w:tcPr>
                <w:p w14:paraId="3590DAED">
                  <w:pPr>
                    <w:adjustRightInd w:val="0"/>
                    <w:snapToGrid w:val="0"/>
                    <w:jc w:val="center"/>
                    <w:rPr>
                      <w:color w:val="auto"/>
                      <w:szCs w:val="21"/>
                    </w:rPr>
                  </w:pPr>
                  <w:r>
                    <w:rPr>
                      <w:rFonts w:hint="eastAsia"/>
                      <w:color w:val="auto"/>
                      <w:szCs w:val="21"/>
                    </w:rPr>
                    <w:t>噪声治理措施</w:t>
                  </w:r>
                </w:p>
              </w:tc>
              <w:tc>
                <w:tcPr>
                  <w:tcW w:w="3368" w:type="pct"/>
                  <w:vAlign w:val="center"/>
                </w:tcPr>
                <w:p w14:paraId="721730E2">
                  <w:pPr>
                    <w:adjustRightInd w:val="0"/>
                    <w:snapToGrid w:val="0"/>
                    <w:rPr>
                      <w:rFonts w:hint="eastAsia" w:eastAsia="宋体"/>
                      <w:color w:val="auto"/>
                      <w:szCs w:val="21"/>
                      <w:lang w:eastAsia="zh-CN"/>
                    </w:rPr>
                  </w:pPr>
                  <w:r>
                    <w:rPr>
                      <w:rFonts w:hint="eastAsia"/>
                      <w:color w:val="auto"/>
                      <w:szCs w:val="21"/>
                    </w:rPr>
                    <w:t>企业选用低噪声设备，对设备进行合理的布局与安装，选用隔音性能好的门窗，做好隔声、消声、减震等处理工作</w:t>
                  </w:r>
                  <w:r>
                    <w:rPr>
                      <w:rFonts w:hint="eastAsia"/>
                      <w:color w:val="auto"/>
                      <w:szCs w:val="21"/>
                      <w:lang w:eastAsia="zh-CN"/>
                    </w:rPr>
                    <w:t>。</w:t>
                  </w:r>
                </w:p>
              </w:tc>
            </w:tr>
            <w:tr w14:paraId="2AAAC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711" w:type="pct"/>
                  <w:vMerge w:val="continue"/>
                  <w:vAlign w:val="center"/>
                </w:tcPr>
                <w:p w14:paraId="156AA93F">
                  <w:pPr>
                    <w:widowControl/>
                    <w:adjustRightInd w:val="0"/>
                    <w:snapToGrid w:val="0"/>
                    <w:jc w:val="center"/>
                    <w:rPr>
                      <w:color w:val="auto"/>
                      <w:szCs w:val="21"/>
                    </w:rPr>
                  </w:pPr>
                </w:p>
              </w:tc>
              <w:tc>
                <w:tcPr>
                  <w:tcW w:w="919" w:type="pct"/>
                  <w:vMerge w:val="restart"/>
                  <w:vAlign w:val="center"/>
                </w:tcPr>
                <w:p w14:paraId="30FBBF41">
                  <w:pPr>
                    <w:adjustRightInd w:val="0"/>
                    <w:snapToGrid w:val="0"/>
                    <w:jc w:val="center"/>
                    <w:rPr>
                      <w:color w:val="auto"/>
                      <w:szCs w:val="21"/>
                    </w:rPr>
                  </w:pPr>
                  <w:r>
                    <w:rPr>
                      <w:rFonts w:hint="eastAsia"/>
                      <w:color w:val="auto"/>
                      <w:szCs w:val="21"/>
                    </w:rPr>
                    <w:t>固废治理措施</w:t>
                  </w:r>
                </w:p>
              </w:tc>
              <w:tc>
                <w:tcPr>
                  <w:tcW w:w="3368" w:type="pct"/>
                  <w:vAlign w:val="center"/>
                </w:tcPr>
                <w:p w14:paraId="69ECD04C">
                  <w:pPr>
                    <w:adjustRightInd w:val="0"/>
                    <w:snapToGrid w:val="0"/>
                    <w:rPr>
                      <w:rFonts w:hint="eastAsia" w:eastAsia="宋体"/>
                      <w:color w:val="auto"/>
                      <w:szCs w:val="21"/>
                      <w:lang w:eastAsia="zh-CN"/>
                    </w:rPr>
                  </w:pPr>
                  <w:r>
                    <w:rPr>
                      <w:rFonts w:hint="eastAsia"/>
                      <w:color w:val="auto"/>
                      <w:szCs w:val="21"/>
                    </w:rPr>
                    <w:t>生活垃圾：交由环卫部门处理</w:t>
                  </w:r>
                  <w:r>
                    <w:rPr>
                      <w:rFonts w:hint="eastAsia"/>
                      <w:color w:val="auto"/>
                      <w:szCs w:val="21"/>
                      <w:lang w:eastAsia="zh-CN"/>
                    </w:rPr>
                    <w:t>。</w:t>
                  </w:r>
                </w:p>
              </w:tc>
            </w:tr>
            <w:tr w14:paraId="7302B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11" w:type="pct"/>
                  <w:vMerge w:val="continue"/>
                  <w:vAlign w:val="center"/>
                </w:tcPr>
                <w:p w14:paraId="3720F207">
                  <w:pPr>
                    <w:widowControl/>
                    <w:adjustRightInd w:val="0"/>
                    <w:snapToGrid w:val="0"/>
                    <w:jc w:val="center"/>
                    <w:rPr>
                      <w:color w:val="auto"/>
                      <w:szCs w:val="21"/>
                    </w:rPr>
                  </w:pPr>
                </w:p>
              </w:tc>
              <w:tc>
                <w:tcPr>
                  <w:tcW w:w="919" w:type="pct"/>
                  <w:vMerge w:val="continue"/>
                  <w:vAlign w:val="center"/>
                </w:tcPr>
                <w:p w14:paraId="61C82482">
                  <w:pPr>
                    <w:adjustRightInd w:val="0"/>
                    <w:snapToGrid w:val="0"/>
                    <w:jc w:val="center"/>
                    <w:rPr>
                      <w:color w:val="auto"/>
                      <w:szCs w:val="21"/>
                    </w:rPr>
                  </w:pPr>
                </w:p>
              </w:tc>
              <w:tc>
                <w:tcPr>
                  <w:tcW w:w="3368" w:type="pct"/>
                  <w:vAlign w:val="center"/>
                </w:tcPr>
                <w:p w14:paraId="3CAA83EE">
                  <w:pPr>
                    <w:adjustRightInd w:val="0"/>
                    <w:snapToGrid w:val="0"/>
                    <w:rPr>
                      <w:rFonts w:hint="eastAsia" w:eastAsia="宋体"/>
                      <w:color w:val="auto"/>
                      <w:szCs w:val="21"/>
                      <w:lang w:eastAsia="zh-CN"/>
                    </w:rPr>
                  </w:pPr>
                  <w:r>
                    <w:rPr>
                      <w:rFonts w:hint="eastAsia"/>
                      <w:color w:val="auto"/>
                      <w:szCs w:val="21"/>
                    </w:rPr>
                    <w:t>一般工业固废：设置</w:t>
                  </w:r>
                  <w:r>
                    <w:rPr>
                      <w:rFonts w:hint="eastAsia"/>
                      <w:color w:val="auto"/>
                      <w:szCs w:val="21"/>
                      <w:lang w:val="en-US" w:eastAsia="zh-CN"/>
                    </w:rPr>
                    <w:t>1个</w:t>
                  </w:r>
                  <w:r>
                    <w:rPr>
                      <w:rFonts w:hint="eastAsia"/>
                      <w:color w:val="auto"/>
                      <w:szCs w:val="21"/>
                    </w:rPr>
                    <w:t>一般工业固废暂存仓，</w:t>
                  </w:r>
                  <w:r>
                    <w:rPr>
                      <w:rFonts w:hint="eastAsia"/>
                      <w:color w:val="auto"/>
                      <w:szCs w:val="21"/>
                      <w:lang w:val="en-US" w:eastAsia="zh-CN"/>
                    </w:rPr>
                    <w:t>总面积10㎡，一般固废</w:t>
                  </w:r>
                  <w:r>
                    <w:rPr>
                      <w:rFonts w:hint="eastAsia"/>
                      <w:color w:val="auto"/>
                      <w:szCs w:val="21"/>
                    </w:rPr>
                    <w:t>集中后收集交给有一般固体废物处理能力的单位处理</w:t>
                  </w:r>
                  <w:r>
                    <w:rPr>
                      <w:rFonts w:hint="eastAsia"/>
                      <w:color w:val="auto"/>
                      <w:szCs w:val="21"/>
                      <w:lang w:eastAsia="zh-CN"/>
                    </w:rPr>
                    <w:t>。</w:t>
                  </w:r>
                </w:p>
              </w:tc>
            </w:tr>
            <w:tr w14:paraId="0A8BD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711" w:type="pct"/>
                  <w:vMerge w:val="continue"/>
                  <w:vAlign w:val="center"/>
                </w:tcPr>
                <w:p w14:paraId="6058474D">
                  <w:pPr>
                    <w:widowControl/>
                    <w:adjustRightInd w:val="0"/>
                    <w:snapToGrid w:val="0"/>
                    <w:jc w:val="center"/>
                    <w:rPr>
                      <w:color w:val="auto"/>
                      <w:szCs w:val="21"/>
                    </w:rPr>
                  </w:pPr>
                </w:p>
              </w:tc>
              <w:tc>
                <w:tcPr>
                  <w:tcW w:w="919" w:type="pct"/>
                  <w:vMerge w:val="continue"/>
                  <w:vAlign w:val="center"/>
                </w:tcPr>
                <w:p w14:paraId="37E59891">
                  <w:pPr>
                    <w:adjustRightInd w:val="0"/>
                    <w:snapToGrid w:val="0"/>
                    <w:jc w:val="center"/>
                    <w:rPr>
                      <w:color w:val="auto"/>
                      <w:szCs w:val="21"/>
                    </w:rPr>
                  </w:pPr>
                </w:p>
              </w:tc>
              <w:tc>
                <w:tcPr>
                  <w:tcW w:w="3368" w:type="pct"/>
                  <w:vAlign w:val="center"/>
                </w:tcPr>
                <w:p w14:paraId="769A5141">
                  <w:pPr>
                    <w:adjustRightInd w:val="0"/>
                    <w:snapToGrid w:val="0"/>
                    <w:rPr>
                      <w:rFonts w:hint="eastAsia" w:eastAsia="宋体"/>
                      <w:color w:val="auto"/>
                      <w:szCs w:val="21"/>
                      <w:lang w:eastAsia="zh-CN"/>
                    </w:rPr>
                  </w:pPr>
                  <w:r>
                    <w:rPr>
                      <w:rFonts w:hint="eastAsia"/>
                      <w:color w:val="auto"/>
                      <w:szCs w:val="21"/>
                    </w:rPr>
                    <w:t>危险废物：设置</w:t>
                  </w:r>
                  <w:r>
                    <w:rPr>
                      <w:rFonts w:hint="eastAsia"/>
                      <w:color w:val="auto"/>
                      <w:szCs w:val="21"/>
                      <w:lang w:val="en-US" w:eastAsia="zh-CN"/>
                    </w:rPr>
                    <w:t>1个</w:t>
                  </w:r>
                  <w:r>
                    <w:rPr>
                      <w:rFonts w:hint="eastAsia"/>
                      <w:color w:val="auto"/>
                      <w:szCs w:val="21"/>
                    </w:rPr>
                    <w:t>危废仓，</w:t>
                  </w:r>
                  <w:r>
                    <w:rPr>
                      <w:rFonts w:hint="eastAsia"/>
                      <w:color w:val="auto"/>
                      <w:szCs w:val="21"/>
                      <w:lang w:val="en-US" w:eastAsia="zh-CN"/>
                    </w:rPr>
                    <w:t>总面积5㎡，</w:t>
                  </w:r>
                  <w:r>
                    <w:rPr>
                      <w:rFonts w:hint="eastAsia"/>
                      <w:color w:val="auto"/>
                      <w:szCs w:val="21"/>
                    </w:rPr>
                    <w:t>危险</w:t>
                  </w:r>
                  <w:r>
                    <w:rPr>
                      <w:rFonts w:hint="eastAsia"/>
                      <w:color w:val="auto"/>
                      <w:szCs w:val="21"/>
                      <w:lang w:val="en-US" w:eastAsia="zh-CN"/>
                    </w:rPr>
                    <w:t xml:space="preserve"> </w:t>
                  </w:r>
                  <w:r>
                    <w:rPr>
                      <w:rFonts w:hint="eastAsia"/>
                      <w:color w:val="auto"/>
                      <w:szCs w:val="21"/>
                    </w:rPr>
                    <w:t>废物收集后交由具有相关危险废物经营许可证的单位处理</w:t>
                  </w:r>
                  <w:r>
                    <w:rPr>
                      <w:rFonts w:hint="eastAsia"/>
                      <w:color w:val="auto"/>
                      <w:szCs w:val="21"/>
                      <w:lang w:eastAsia="zh-CN"/>
                    </w:rPr>
                    <w:t>。</w:t>
                  </w:r>
                </w:p>
              </w:tc>
            </w:tr>
          </w:tbl>
          <w:p w14:paraId="4B98D15F">
            <w:pPr>
              <w:pStyle w:val="95"/>
              <w:ind w:firstLine="422"/>
              <w:rPr>
                <w:b/>
                <w:color w:val="auto"/>
                <w:sz w:val="21"/>
                <w:szCs w:val="21"/>
                <w:lang w:val="en-US"/>
              </w:rPr>
            </w:pPr>
            <w:r>
              <w:rPr>
                <w:b/>
                <w:color w:val="auto"/>
                <w:sz w:val="21"/>
                <w:szCs w:val="21"/>
              </w:rPr>
              <w:t>2</w:t>
            </w:r>
            <w:r>
              <w:rPr>
                <w:rFonts w:hint="eastAsia"/>
                <w:b/>
                <w:color w:val="auto"/>
                <w:sz w:val="21"/>
                <w:szCs w:val="21"/>
              </w:rPr>
              <w:t>、</w:t>
            </w:r>
            <w:r>
              <w:rPr>
                <w:b/>
                <w:color w:val="auto"/>
                <w:sz w:val="21"/>
                <w:szCs w:val="21"/>
                <w:lang w:val="en-US"/>
              </w:rPr>
              <w:t>主要产品及产能</w:t>
            </w:r>
          </w:p>
          <w:p w14:paraId="08145273">
            <w:pPr>
              <w:pStyle w:val="108"/>
              <w:ind w:left="210" w:leftChars="0" w:firstLineChars="0"/>
              <w:rPr>
                <w:color w:val="auto"/>
                <w:szCs w:val="21"/>
              </w:rPr>
            </w:pPr>
            <w:r>
              <w:rPr>
                <w:rFonts w:hint="eastAsia"/>
                <w:color w:val="auto"/>
                <w:szCs w:val="21"/>
              </w:rPr>
              <w:t>主要产品产能情况</w:t>
            </w:r>
          </w:p>
          <w:tbl>
            <w:tblPr>
              <w:tblStyle w:val="35"/>
              <w:tblW w:w="44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2250"/>
              <w:gridCol w:w="3475"/>
            </w:tblGrid>
            <w:tr w14:paraId="701EC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28" w:type="pct"/>
                  <w:vAlign w:val="center"/>
                </w:tcPr>
                <w:p w14:paraId="195FED4C">
                  <w:pPr>
                    <w:jc w:val="center"/>
                    <w:rPr>
                      <w:b/>
                      <w:bCs/>
                      <w:color w:val="auto"/>
                      <w:szCs w:val="21"/>
                    </w:rPr>
                  </w:pPr>
                  <w:r>
                    <w:rPr>
                      <w:b/>
                      <w:bCs/>
                      <w:color w:val="auto"/>
                      <w:szCs w:val="21"/>
                    </w:rPr>
                    <w:t>名称</w:t>
                  </w:r>
                </w:p>
              </w:tc>
              <w:tc>
                <w:tcPr>
                  <w:tcW w:w="1521" w:type="pct"/>
                  <w:vAlign w:val="center"/>
                </w:tcPr>
                <w:p w14:paraId="26A0323E">
                  <w:pPr>
                    <w:jc w:val="center"/>
                    <w:rPr>
                      <w:b/>
                      <w:bCs/>
                      <w:color w:val="auto"/>
                      <w:szCs w:val="21"/>
                    </w:rPr>
                  </w:pPr>
                  <w:r>
                    <w:rPr>
                      <w:b/>
                      <w:bCs/>
                      <w:color w:val="auto"/>
                      <w:szCs w:val="21"/>
                    </w:rPr>
                    <w:t>年产量</w:t>
                  </w:r>
                </w:p>
              </w:tc>
              <w:tc>
                <w:tcPr>
                  <w:tcW w:w="2350" w:type="pct"/>
                </w:tcPr>
                <w:p w14:paraId="75EA202D">
                  <w:pPr>
                    <w:jc w:val="center"/>
                    <w:rPr>
                      <w:b/>
                      <w:bCs/>
                      <w:color w:val="auto"/>
                      <w:szCs w:val="21"/>
                    </w:rPr>
                  </w:pPr>
                  <w:r>
                    <w:rPr>
                      <w:b/>
                      <w:bCs/>
                      <w:color w:val="auto"/>
                      <w:szCs w:val="21"/>
                    </w:rPr>
                    <w:t>备注</w:t>
                  </w:r>
                </w:p>
              </w:tc>
            </w:tr>
            <w:tr w14:paraId="5988F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1128" w:type="pct"/>
                  <w:vAlign w:val="center"/>
                </w:tcPr>
                <w:p w14:paraId="0B7178C9">
                  <w:pPr>
                    <w:jc w:val="center"/>
                    <w:rPr>
                      <w:color w:val="auto"/>
                      <w:szCs w:val="21"/>
                    </w:rPr>
                  </w:pPr>
                  <w:r>
                    <w:rPr>
                      <w:rFonts w:hint="eastAsia"/>
                      <w:color w:val="auto"/>
                      <w:szCs w:val="21"/>
                    </w:rPr>
                    <w:t>五金配件</w:t>
                  </w:r>
                </w:p>
              </w:tc>
              <w:tc>
                <w:tcPr>
                  <w:tcW w:w="1521" w:type="pct"/>
                  <w:vAlign w:val="center"/>
                </w:tcPr>
                <w:p w14:paraId="248471D8">
                  <w:pPr>
                    <w:jc w:val="center"/>
                    <w:rPr>
                      <w:color w:val="auto"/>
                      <w:szCs w:val="21"/>
                    </w:rPr>
                  </w:pPr>
                  <w:r>
                    <w:rPr>
                      <w:color w:val="auto"/>
                      <w:szCs w:val="21"/>
                    </w:rPr>
                    <w:t>6</w:t>
                  </w:r>
                  <w:r>
                    <w:rPr>
                      <w:rFonts w:hint="eastAsia"/>
                      <w:color w:val="auto"/>
                      <w:szCs w:val="21"/>
                      <w:lang w:val="en-US" w:eastAsia="zh-CN"/>
                    </w:rPr>
                    <w:t>16</w:t>
                  </w:r>
                  <w:r>
                    <w:rPr>
                      <w:rFonts w:hint="eastAsia"/>
                      <w:color w:val="auto"/>
                      <w:szCs w:val="21"/>
                    </w:rPr>
                    <w:t>吨</w:t>
                  </w:r>
                </w:p>
              </w:tc>
              <w:tc>
                <w:tcPr>
                  <w:tcW w:w="2350" w:type="pct"/>
                </w:tcPr>
                <w:p w14:paraId="0BB83B0D">
                  <w:pPr>
                    <w:jc w:val="center"/>
                    <w:rPr>
                      <w:color w:val="auto"/>
                      <w:szCs w:val="21"/>
                    </w:rPr>
                  </w:pPr>
                  <w:r>
                    <w:rPr>
                      <w:rFonts w:hint="eastAsia"/>
                      <w:color w:val="auto"/>
                      <w:szCs w:val="21"/>
                    </w:rPr>
                    <w:t>产品主要为管状结构配件，平均每个约为1kg，圆管半径为1</w:t>
                  </w:r>
                  <w:r>
                    <w:rPr>
                      <w:color w:val="auto"/>
                      <w:szCs w:val="21"/>
                    </w:rPr>
                    <w:t>.5cm</w:t>
                  </w:r>
                </w:p>
              </w:tc>
            </w:tr>
          </w:tbl>
          <w:p w14:paraId="644D91B0">
            <w:pPr>
              <w:pStyle w:val="70"/>
              <w:jc w:val="left"/>
              <w:rPr>
                <w:rFonts w:hint="eastAsia"/>
                <w:color w:val="auto"/>
                <w:lang w:val="en-US" w:eastAsia="zh-CN"/>
              </w:rPr>
            </w:pPr>
            <w:r>
              <w:rPr>
                <w:rFonts w:hint="eastAsia"/>
                <w:strike w:val="0"/>
                <w:dstrike w:val="0"/>
                <w:color w:val="auto"/>
                <w:lang w:val="en-US" w:eastAsia="zh-CN"/>
              </w:rPr>
              <w:t>注：本项目</w:t>
            </w:r>
            <w:r>
              <w:rPr>
                <w:rFonts w:hint="eastAsia" w:ascii="Times New Roman" w:hAnsi="Times New Roman" w:eastAsia="宋体" w:cs="Times New Roman"/>
                <w:b/>
                <w:bCs w:val="0"/>
                <w:color w:val="auto"/>
                <w:kern w:val="0"/>
                <w:sz w:val="21"/>
                <w:szCs w:val="21"/>
                <w:highlight w:val="none"/>
                <w:lang w:val="en-US" w:eastAsia="zh-CN" w:bidi="ar-SA"/>
              </w:rPr>
              <w:t>五金配件为医疗辅具配件，产品含助行器、轮椅、拐杖等相关配件，产能按照最大规格产品进行申报。</w:t>
            </w:r>
          </w:p>
          <w:p w14:paraId="2100E4DC">
            <w:pPr>
              <w:pStyle w:val="70"/>
              <w:ind w:firstLine="420" w:firstLineChars="200"/>
              <w:jc w:val="left"/>
              <w:rPr>
                <w:rFonts w:hint="default"/>
                <w:color w:val="auto"/>
                <w:lang w:val="en-US" w:eastAsia="zh-CN"/>
              </w:rPr>
            </w:pPr>
          </w:p>
          <w:p w14:paraId="440C3501">
            <w:pPr>
              <w:pStyle w:val="95"/>
              <w:ind w:firstLine="422"/>
              <w:rPr>
                <w:color w:val="auto"/>
                <w:sz w:val="21"/>
                <w:szCs w:val="21"/>
              </w:rPr>
            </w:pPr>
            <w:r>
              <w:rPr>
                <w:b/>
                <w:color w:val="auto"/>
                <w:sz w:val="21"/>
                <w:szCs w:val="21"/>
              </w:rPr>
              <w:t>3</w:t>
            </w:r>
            <w:r>
              <w:rPr>
                <w:rFonts w:hint="eastAsia"/>
                <w:b/>
                <w:color w:val="auto"/>
                <w:sz w:val="21"/>
                <w:szCs w:val="21"/>
              </w:rPr>
              <w:t>、主要原辅材料及</w:t>
            </w:r>
            <w:r>
              <w:rPr>
                <w:b/>
                <w:color w:val="auto"/>
                <w:sz w:val="21"/>
                <w:szCs w:val="21"/>
              </w:rPr>
              <w:t>用量</w:t>
            </w:r>
          </w:p>
          <w:p w14:paraId="4FC0E5A5">
            <w:pPr>
              <w:pStyle w:val="9"/>
              <w:ind w:left="630" w:leftChars="0" w:firstLineChars="0"/>
              <w:rPr>
                <w:color w:val="auto"/>
                <w:szCs w:val="21"/>
              </w:rPr>
            </w:pPr>
            <w:r>
              <w:rPr>
                <w:rFonts w:hint="eastAsia"/>
                <w:color w:val="auto"/>
                <w:szCs w:val="21"/>
              </w:rPr>
              <w:t>主要原辅材料消耗一览表</w:t>
            </w:r>
          </w:p>
          <w:tbl>
            <w:tblPr>
              <w:tblStyle w:val="35"/>
              <w:tblW w:w="82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658"/>
              <w:gridCol w:w="984"/>
              <w:gridCol w:w="1199"/>
              <w:gridCol w:w="957"/>
              <w:gridCol w:w="1084"/>
              <w:gridCol w:w="874"/>
              <w:gridCol w:w="1023"/>
            </w:tblGrid>
            <w:tr w14:paraId="72C5C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03" w:type="pct"/>
                  <w:vAlign w:val="center"/>
                </w:tcPr>
                <w:p w14:paraId="36E6A914">
                  <w:pPr>
                    <w:pStyle w:val="70"/>
                    <w:rPr>
                      <w:color w:val="auto"/>
                    </w:rPr>
                  </w:pPr>
                  <w:r>
                    <w:rPr>
                      <w:rFonts w:hint="eastAsia"/>
                      <w:color w:val="auto"/>
                    </w:rPr>
                    <w:t>名称</w:t>
                  </w:r>
                </w:p>
              </w:tc>
              <w:tc>
                <w:tcPr>
                  <w:tcW w:w="397" w:type="pct"/>
                  <w:vAlign w:val="center"/>
                </w:tcPr>
                <w:p w14:paraId="7712DCCC">
                  <w:pPr>
                    <w:pStyle w:val="70"/>
                    <w:rPr>
                      <w:color w:val="auto"/>
                    </w:rPr>
                  </w:pPr>
                  <w:r>
                    <w:rPr>
                      <w:rFonts w:hint="eastAsia"/>
                      <w:color w:val="auto"/>
                    </w:rPr>
                    <w:t>物态</w:t>
                  </w:r>
                </w:p>
              </w:tc>
              <w:tc>
                <w:tcPr>
                  <w:tcW w:w="594" w:type="pct"/>
                  <w:vAlign w:val="center"/>
                </w:tcPr>
                <w:p w14:paraId="1239BCED">
                  <w:pPr>
                    <w:pStyle w:val="70"/>
                    <w:rPr>
                      <w:color w:val="auto"/>
                    </w:rPr>
                  </w:pPr>
                  <w:r>
                    <w:rPr>
                      <w:rFonts w:hint="eastAsia"/>
                      <w:color w:val="auto"/>
                    </w:rPr>
                    <w:t>年用量</w:t>
                  </w:r>
                </w:p>
              </w:tc>
              <w:tc>
                <w:tcPr>
                  <w:tcW w:w="724" w:type="pct"/>
                  <w:vAlign w:val="center"/>
                </w:tcPr>
                <w:p w14:paraId="26838C5B">
                  <w:pPr>
                    <w:pStyle w:val="70"/>
                    <w:rPr>
                      <w:color w:val="auto"/>
                    </w:rPr>
                  </w:pPr>
                  <w:r>
                    <w:rPr>
                      <w:rFonts w:hint="eastAsia"/>
                      <w:color w:val="auto"/>
                    </w:rPr>
                    <w:t>最大储存量</w:t>
                  </w:r>
                </w:p>
              </w:tc>
              <w:tc>
                <w:tcPr>
                  <w:tcW w:w="578" w:type="pct"/>
                  <w:vAlign w:val="center"/>
                </w:tcPr>
                <w:p w14:paraId="6197EBD9">
                  <w:pPr>
                    <w:pStyle w:val="70"/>
                    <w:rPr>
                      <w:color w:val="auto"/>
                    </w:rPr>
                  </w:pPr>
                  <w:r>
                    <w:rPr>
                      <w:rFonts w:hint="eastAsia"/>
                      <w:color w:val="auto"/>
                    </w:rPr>
                    <w:t>包装方式</w:t>
                  </w:r>
                </w:p>
              </w:tc>
              <w:tc>
                <w:tcPr>
                  <w:tcW w:w="654" w:type="pct"/>
                  <w:vAlign w:val="center"/>
                </w:tcPr>
                <w:p w14:paraId="75004736">
                  <w:pPr>
                    <w:pStyle w:val="70"/>
                    <w:rPr>
                      <w:color w:val="auto"/>
                    </w:rPr>
                  </w:pPr>
                  <w:r>
                    <w:rPr>
                      <w:rFonts w:hint="eastAsia"/>
                      <w:color w:val="auto"/>
                    </w:rPr>
                    <w:t>是否属于风险物质</w:t>
                  </w:r>
                </w:p>
              </w:tc>
              <w:tc>
                <w:tcPr>
                  <w:tcW w:w="528" w:type="pct"/>
                  <w:vAlign w:val="center"/>
                </w:tcPr>
                <w:p w14:paraId="68248B60">
                  <w:pPr>
                    <w:pStyle w:val="70"/>
                    <w:rPr>
                      <w:rFonts w:hint="eastAsia" w:eastAsia="宋体"/>
                      <w:color w:val="auto"/>
                      <w:lang w:val="en-US" w:eastAsia="zh-CN"/>
                    </w:rPr>
                  </w:pPr>
                  <w:r>
                    <w:rPr>
                      <w:rFonts w:hint="eastAsia"/>
                      <w:color w:val="auto"/>
                      <w:lang w:val="en-US" w:eastAsia="zh-CN"/>
                    </w:rPr>
                    <w:t>临界量</w:t>
                  </w:r>
                </w:p>
              </w:tc>
              <w:tc>
                <w:tcPr>
                  <w:tcW w:w="618" w:type="pct"/>
                  <w:vAlign w:val="center"/>
                </w:tcPr>
                <w:p w14:paraId="13643EF2">
                  <w:pPr>
                    <w:pStyle w:val="70"/>
                    <w:rPr>
                      <w:rFonts w:hint="eastAsia"/>
                      <w:color w:val="auto"/>
                    </w:rPr>
                  </w:pPr>
                  <w:r>
                    <w:rPr>
                      <w:rFonts w:hint="eastAsia"/>
                      <w:color w:val="auto"/>
                    </w:rPr>
                    <w:t>所在工序</w:t>
                  </w:r>
                </w:p>
              </w:tc>
            </w:tr>
            <w:tr w14:paraId="4E13C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903" w:type="pct"/>
                  <w:vAlign w:val="center"/>
                </w:tcPr>
                <w:p w14:paraId="7C1F7B53">
                  <w:pPr>
                    <w:pStyle w:val="70"/>
                    <w:rPr>
                      <w:color w:val="auto"/>
                      <w:lang w:val="en-US"/>
                    </w:rPr>
                  </w:pPr>
                  <w:r>
                    <w:rPr>
                      <w:rFonts w:hint="eastAsia"/>
                      <w:color w:val="auto"/>
                      <w:lang w:val="en-US"/>
                    </w:rPr>
                    <w:t>铁管</w:t>
                  </w:r>
                </w:p>
              </w:tc>
              <w:tc>
                <w:tcPr>
                  <w:tcW w:w="397" w:type="pct"/>
                  <w:vAlign w:val="center"/>
                </w:tcPr>
                <w:p w14:paraId="0D534E4E">
                  <w:pPr>
                    <w:pStyle w:val="70"/>
                    <w:rPr>
                      <w:color w:val="auto"/>
                    </w:rPr>
                  </w:pPr>
                  <w:r>
                    <w:rPr>
                      <w:color w:val="auto"/>
                    </w:rPr>
                    <w:t>固态</w:t>
                  </w:r>
                </w:p>
              </w:tc>
              <w:tc>
                <w:tcPr>
                  <w:tcW w:w="594" w:type="pct"/>
                  <w:noWrap/>
                  <w:vAlign w:val="center"/>
                </w:tcPr>
                <w:p w14:paraId="26693022">
                  <w:pPr>
                    <w:pStyle w:val="70"/>
                    <w:rPr>
                      <w:color w:val="auto"/>
                      <w:lang w:val="en-US"/>
                    </w:rPr>
                  </w:pPr>
                  <w:r>
                    <w:rPr>
                      <w:color w:val="auto"/>
                      <w:lang w:val="en-US"/>
                    </w:rPr>
                    <w:t>6</w:t>
                  </w:r>
                  <w:r>
                    <w:rPr>
                      <w:rFonts w:hint="eastAsia"/>
                      <w:color w:val="auto"/>
                      <w:lang w:val="en-US" w:eastAsia="zh-CN"/>
                    </w:rPr>
                    <w:t>16</w:t>
                  </w:r>
                  <w:r>
                    <w:rPr>
                      <w:rFonts w:hint="eastAsia"/>
                      <w:color w:val="auto"/>
                      <w:lang w:val="en-US"/>
                    </w:rPr>
                    <w:t>吨</w:t>
                  </w:r>
                </w:p>
              </w:tc>
              <w:tc>
                <w:tcPr>
                  <w:tcW w:w="724" w:type="pct"/>
                  <w:vAlign w:val="center"/>
                </w:tcPr>
                <w:p w14:paraId="1E6277FB">
                  <w:pPr>
                    <w:pStyle w:val="70"/>
                    <w:rPr>
                      <w:color w:val="auto"/>
                      <w:lang w:val="en-US"/>
                    </w:rPr>
                  </w:pPr>
                  <w:r>
                    <w:rPr>
                      <w:rFonts w:hint="eastAsia"/>
                      <w:color w:val="auto"/>
                      <w:lang w:val="en-US" w:eastAsia="zh-CN"/>
                    </w:rPr>
                    <w:t>25</w:t>
                  </w:r>
                  <w:r>
                    <w:rPr>
                      <w:rFonts w:hint="eastAsia"/>
                      <w:color w:val="auto"/>
                      <w:lang w:val="en-US"/>
                    </w:rPr>
                    <w:t>吨</w:t>
                  </w:r>
                </w:p>
              </w:tc>
              <w:tc>
                <w:tcPr>
                  <w:tcW w:w="578" w:type="pct"/>
                  <w:vAlign w:val="center"/>
                </w:tcPr>
                <w:p w14:paraId="7327FB3C">
                  <w:pPr>
                    <w:pStyle w:val="70"/>
                    <w:rPr>
                      <w:color w:val="auto"/>
                    </w:rPr>
                  </w:pPr>
                  <w:r>
                    <w:rPr>
                      <w:rFonts w:hint="eastAsia"/>
                      <w:color w:val="auto"/>
                    </w:rPr>
                    <w:t>/</w:t>
                  </w:r>
                </w:p>
              </w:tc>
              <w:tc>
                <w:tcPr>
                  <w:tcW w:w="654" w:type="pct"/>
                  <w:vAlign w:val="center"/>
                </w:tcPr>
                <w:p w14:paraId="2D1D567A">
                  <w:pPr>
                    <w:pStyle w:val="70"/>
                    <w:rPr>
                      <w:color w:val="auto"/>
                    </w:rPr>
                  </w:pPr>
                  <w:r>
                    <w:rPr>
                      <w:color w:val="auto"/>
                    </w:rPr>
                    <w:t>否</w:t>
                  </w:r>
                </w:p>
              </w:tc>
              <w:tc>
                <w:tcPr>
                  <w:tcW w:w="528" w:type="pct"/>
                  <w:vAlign w:val="center"/>
                </w:tcPr>
                <w:p w14:paraId="610807F7">
                  <w:pPr>
                    <w:pStyle w:val="70"/>
                    <w:rPr>
                      <w:rFonts w:hint="eastAsia" w:eastAsia="宋体"/>
                      <w:color w:val="auto"/>
                      <w:lang w:val="en-US" w:eastAsia="zh-CN"/>
                    </w:rPr>
                  </w:pPr>
                  <w:r>
                    <w:rPr>
                      <w:rFonts w:hint="eastAsia"/>
                      <w:color w:val="auto"/>
                      <w:lang w:val="en-US" w:eastAsia="zh-CN"/>
                    </w:rPr>
                    <w:t>/</w:t>
                  </w:r>
                </w:p>
              </w:tc>
              <w:tc>
                <w:tcPr>
                  <w:tcW w:w="618" w:type="pct"/>
                  <w:vAlign w:val="center"/>
                </w:tcPr>
                <w:p w14:paraId="666C63D5">
                  <w:pPr>
                    <w:pStyle w:val="70"/>
                    <w:rPr>
                      <w:color w:val="auto"/>
                    </w:rPr>
                  </w:pPr>
                  <w:r>
                    <w:rPr>
                      <w:rFonts w:hint="eastAsia"/>
                      <w:color w:val="auto"/>
                      <w:lang w:val="en-US" w:eastAsia="zh-CN"/>
                    </w:rPr>
                    <w:t>/</w:t>
                  </w:r>
                </w:p>
              </w:tc>
            </w:tr>
            <w:tr w14:paraId="38EBE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903" w:type="pct"/>
                  <w:vAlign w:val="center"/>
                </w:tcPr>
                <w:p w14:paraId="48E99DE4">
                  <w:pPr>
                    <w:pStyle w:val="70"/>
                    <w:rPr>
                      <w:color w:val="auto"/>
                      <w:lang w:val="en-US"/>
                    </w:rPr>
                  </w:pPr>
                  <w:r>
                    <w:rPr>
                      <w:rFonts w:hint="eastAsia"/>
                      <w:color w:val="auto"/>
                      <w:lang w:val="en-US"/>
                    </w:rPr>
                    <w:t>除油剂</w:t>
                  </w:r>
                </w:p>
              </w:tc>
              <w:tc>
                <w:tcPr>
                  <w:tcW w:w="397" w:type="pct"/>
                  <w:vAlign w:val="center"/>
                </w:tcPr>
                <w:p w14:paraId="1F593B8A">
                  <w:pPr>
                    <w:pStyle w:val="70"/>
                    <w:rPr>
                      <w:color w:val="auto"/>
                    </w:rPr>
                  </w:pPr>
                  <w:r>
                    <w:rPr>
                      <w:color w:val="auto"/>
                    </w:rPr>
                    <w:t>固态</w:t>
                  </w:r>
                </w:p>
              </w:tc>
              <w:tc>
                <w:tcPr>
                  <w:tcW w:w="594" w:type="pct"/>
                  <w:noWrap/>
                  <w:vAlign w:val="center"/>
                </w:tcPr>
                <w:p w14:paraId="2792D5CC">
                  <w:pPr>
                    <w:pStyle w:val="70"/>
                    <w:rPr>
                      <w:color w:val="auto"/>
                      <w:lang w:val="en-US"/>
                    </w:rPr>
                  </w:pPr>
                  <w:r>
                    <w:rPr>
                      <w:color w:val="auto"/>
                      <w:lang w:val="en-US"/>
                    </w:rPr>
                    <w:t>4.</w:t>
                  </w:r>
                  <w:r>
                    <w:rPr>
                      <w:rFonts w:hint="eastAsia"/>
                      <w:color w:val="auto"/>
                      <w:lang w:val="en-US" w:eastAsia="zh-CN"/>
                    </w:rPr>
                    <w:t>54</w:t>
                  </w:r>
                  <w:r>
                    <w:rPr>
                      <w:rFonts w:hint="eastAsia"/>
                      <w:color w:val="auto"/>
                      <w:lang w:val="en-US"/>
                    </w:rPr>
                    <w:t>吨</w:t>
                  </w:r>
                </w:p>
              </w:tc>
              <w:tc>
                <w:tcPr>
                  <w:tcW w:w="724" w:type="pct"/>
                  <w:vAlign w:val="center"/>
                </w:tcPr>
                <w:p w14:paraId="0DA24723">
                  <w:pPr>
                    <w:jc w:val="center"/>
                    <w:rPr>
                      <w:color w:val="auto"/>
                      <w:szCs w:val="21"/>
                    </w:rPr>
                  </w:pPr>
                  <w:r>
                    <w:rPr>
                      <w:rFonts w:hint="eastAsia"/>
                      <w:color w:val="auto"/>
                      <w:szCs w:val="21"/>
                    </w:rPr>
                    <w:t>0.5吨</w:t>
                  </w:r>
                </w:p>
              </w:tc>
              <w:tc>
                <w:tcPr>
                  <w:tcW w:w="578" w:type="pct"/>
                  <w:vAlign w:val="center"/>
                </w:tcPr>
                <w:p w14:paraId="280B58B5">
                  <w:pPr>
                    <w:pStyle w:val="70"/>
                    <w:rPr>
                      <w:color w:val="auto"/>
                      <w:lang w:val="en-US"/>
                    </w:rPr>
                  </w:pPr>
                  <w:r>
                    <w:rPr>
                      <w:rFonts w:hint="eastAsia"/>
                      <w:color w:val="auto"/>
                      <w:lang w:val="en-US" w:eastAsia="zh-CN"/>
                    </w:rPr>
                    <w:t>25kg/</w:t>
                  </w:r>
                  <w:r>
                    <w:rPr>
                      <w:rFonts w:hint="eastAsia"/>
                      <w:color w:val="auto"/>
                      <w:lang w:val="en-US"/>
                    </w:rPr>
                    <w:t>桶</w:t>
                  </w:r>
                </w:p>
              </w:tc>
              <w:tc>
                <w:tcPr>
                  <w:tcW w:w="654" w:type="pct"/>
                  <w:vAlign w:val="center"/>
                </w:tcPr>
                <w:p w14:paraId="21392918">
                  <w:pPr>
                    <w:pStyle w:val="70"/>
                    <w:rPr>
                      <w:color w:val="auto"/>
                    </w:rPr>
                  </w:pPr>
                  <w:r>
                    <w:rPr>
                      <w:color w:val="auto"/>
                    </w:rPr>
                    <w:t>否</w:t>
                  </w:r>
                </w:p>
              </w:tc>
              <w:tc>
                <w:tcPr>
                  <w:tcW w:w="528" w:type="pct"/>
                  <w:vAlign w:val="center"/>
                </w:tcPr>
                <w:p w14:paraId="2ED74CA1">
                  <w:pPr>
                    <w:pStyle w:val="70"/>
                    <w:rPr>
                      <w:rFonts w:hint="eastAsia" w:eastAsia="宋体"/>
                      <w:color w:val="auto"/>
                      <w:lang w:val="en-US" w:eastAsia="zh-CN"/>
                    </w:rPr>
                  </w:pPr>
                  <w:r>
                    <w:rPr>
                      <w:rFonts w:hint="eastAsia"/>
                      <w:color w:val="auto"/>
                      <w:lang w:val="en-US" w:eastAsia="zh-CN"/>
                    </w:rPr>
                    <w:t>/</w:t>
                  </w:r>
                </w:p>
              </w:tc>
              <w:tc>
                <w:tcPr>
                  <w:tcW w:w="618" w:type="pct"/>
                  <w:vAlign w:val="center"/>
                </w:tcPr>
                <w:p w14:paraId="4565607A">
                  <w:pPr>
                    <w:pStyle w:val="70"/>
                    <w:rPr>
                      <w:rFonts w:hint="eastAsia"/>
                      <w:color w:val="auto"/>
                      <w:lang w:val="en-US"/>
                    </w:rPr>
                  </w:pPr>
                  <w:r>
                    <w:rPr>
                      <w:rFonts w:hint="eastAsia"/>
                      <w:color w:val="auto"/>
                      <w:lang w:val="en-US"/>
                    </w:rPr>
                    <w:t>除油</w:t>
                  </w:r>
                </w:p>
              </w:tc>
            </w:tr>
            <w:tr w14:paraId="5E165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903" w:type="pct"/>
                  <w:vAlign w:val="center"/>
                </w:tcPr>
                <w:p w14:paraId="18C12B8D">
                  <w:pPr>
                    <w:pStyle w:val="70"/>
                    <w:rPr>
                      <w:color w:val="auto"/>
                      <w:lang w:val="en-US"/>
                    </w:rPr>
                  </w:pPr>
                  <w:r>
                    <w:rPr>
                      <w:rFonts w:hint="eastAsia"/>
                      <w:color w:val="auto"/>
                      <w:lang w:val="en-US"/>
                    </w:rPr>
                    <w:t>陶化剂</w:t>
                  </w:r>
                </w:p>
              </w:tc>
              <w:tc>
                <w:tcPr>
                  <w:tcW w:w="397" w:type="pct"/>
                  <w:vAlign w:val="center"/>
                </w:tcPr>
                <w:p w14:paraId="7CC398CE">
                  <w:pPr>
                    <w:pStyle w:val="70"/>
                    <w:rPr>
                      <w:color w:val="auto"/>
                    </w:rPr>
                  </w:pPr>
                  <w:r>
                    <w:rPr>
                      <w:color w:val="auto"/>
                    </w:rPr>
                    <w:t>固态</w:t>
                  </w:r>
                </w:p>
              </w:tc>
              <w:tc>
                <w:tcPr>
                  <w:tcW w:w="594" w:type="pct"/>
                  <w:noWrap/>
                  <w:vAlign w:val="center"/>
                </w:tcPr>
                <w:p w14:paraId="5AC85643">
                  <w:pPr>
                    <w:pStyle w:val="70"/>
                    <w:rPr>
                      <w:color w:val="auto"/>
                    </w:rPr>
                  </w:pPr>
                  <w:r>
                    <w:rPr>
                      <w:rFonts w:hint="eastAsia"/>
                      <w:color w:val="auto"/>
                      <w:lang w:val="en-US"/>
                    </w:rPr>
                    <w:t>1.</w:t>
                  </w:r>
                  <w:r>
                    <w:rPr>
                      <w:rFonts w:hint="eastAsia"/>
                      <w:color w:val="auto"/>
                      <w:lang w:val="en-US" w:eastAsia="zh-CN"/>
                    </w:rPr>
                    <w:t>09</w:t>
                  </w:r>
                  <w:r>
                    <w:rPr>
                      <w:color w:val="auto"/>
                    </w:rPr>
                    <w:t>吨</w:t>
                  </w:r>
                </w:p>
              </w:tc>
              <w:tc>
                <w:tcPr>
                  <w:tcW w:w="724" w:type="pct"/>
                  <w:vAlign w:val="center"/>
                </w:tcPr>
                <w:p w14:paraId="3F05BE78">
                  <w:pPr>
                    <w:jc w:val="center"/>
                    <w:rPr>
                      <w:color w:val="auto"/>
                      <w:szCs w:val="21"/>
                    </w:rPr>
                  </w:pPr>
                  <w:r>
                    <w:rPr>
                      <w:rFonts w:hint="eastAsia"/>
                      <w:color w:val="auto"/>
                      <w:szCs w:val="21"/>
                    </w:rPr>
                    <w:t>0.5吨</w:t>
                  </w:r>
                </w:p>
              </w:tc>
              <w:tc>
                <w:tcPr>
                  <w:tcW w:w="578" w:type="pct"/>
                  <w:vAlign w:val="center"/>
                </w:tcPr>
                <w:p w14:paraId="639D1546">
                  <w:pPr>
                    <w:pStyle w:val="70"/>
                    <w:rPr>
                      <w:color w:val="auto"/>
                      <w:lang w:val="en-US"/>
                    </w:rPr>
                  </w:pPr>
                  <w:r>
                    <w:rPr>
                      <w:rFonts w:hint="eastAsia"/>
                      <w:color w:val="auto"/>
                      <w:lang w:val="en-US" w:eastAsia="zh-CN"/>
                    </w:rPr>
                    <w:t>25kg/</w:t>
                  </w:r>
                  <w:r>
                    <w:rPr>
                      <w:rFonts w:hint="eastAsia"/>
                      <w:color w:val="auto"/>
                      <w:lang w:val="en-US"/>
                    </w:rPr>
                    <w:t>桶</w:t>
                  </w:r>
                </w:p>
              </w:tc>
              <w:tc>
                <w:tcPr>
                  <w:tcW w:w="654" w:type="pct"/>
                  <w:vAlign w:val="center"/>
                </w:tcPr>
                <w:p w14:paraId="48567C4F">
                  <w:pPr>
                    <w:pStyle w:val="70"/>
                    <w:rPr>
                      <w:color w:val="auto"/>
                    </w:rPr>
                  </w:pPr>
                  <w:r>
                    <w:rPr>
                      <w:color w:val="auto"/>
                    </w:rPr>
                    <w:t>否</w:t>
                  </w:r>
                </w:p>
              </w:tc>
              <w:tc>
                <w:tcPr>
                  <w:tcW w:w="528" w:type="pct"/>
                  <w:vAlign w:val="center"/>
                </w:tcPr>
                <w:p w14:paraId="55F446E2">
                  <w:pPr>
                    <w:pStyle w:val="70"/>
                    <w:rPr>
                      <w:rFonts w:hint="eastAsia" w:eastAsia="宋体"/>
                      <w:color w:val="auto"/>
                      <w:lang w:val="en-US" w:eastAsia="zh-CN"/>
                    </w:rPr>
                  </w:pPr>
                  <w:r>
                    <w:rPr>
                      <w:rFonts w:hint="eastAsia"/>
                      <w:color w:val="auto"/>
                      <w:lang w:val="en-US" w:eastAsia="zh-CN"/>
                    </w:rPr>
                    <w:t>/</w:t>
                  </w:r>
                </w:p>
              </w:tc>
              <w:tc>
                <w:tcPr>
                  <w:tcW w:w="618" w:type="pct"/>
                  <w:vAlign w:val="center"/>
                </w:tcPr>
                <w:p w14:paraId="49778AC8">
                  <w:pPr>
                    <w:pStyle w:val="70"/>
                    <w:rPr>
                      <w:rFonts w:hint="eastAsia"/>
                      <w:color w:val="auto"/>
                      <w:lang w:val="en-US"/>
                    </w:rPr>
                  </w:pPr>
                  <w:r>
                    <w:rPr>
                      <w:rFonts w:hint="eastAsia"/>
                      <w:color w:val="auto"/>
                      <w:lang w:val="en-US"/>
                    </w:rPr>
                    <w:t>陶化</w:t>
                  </w:r>
                </w:p>
              </w:tc>
            </w:tr>
            <w:tr w14:paraId="25BE7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903" w:type="pct"/>
                  <w:vAlign w:val="center"/>
                </w:tcPr>
                <w:p w14:paraId="224D55C7">
                  <w:pPr>
                    <w:pStyle w:val="70"/>
                    <w:rPr>
                      <w:color w:val="auto"/>
                      <w:lang w:val="en-US"/>
                    </w:rPr>
                  </w:pPr>
                  <w:r>
                    <w:rPr>
                      <w:color w:val="auto"/>
                      <w:kern w:val="0"/>
                    </w:rPr>
                    <w:t>环氧聚酯粉末</w:t>
                  </w:r>
                </w:p>
              </w:tc>
              <w:tc>
                <w:tcPr>
                  <w:tcW w:w="397" w:type="pct"/>
                  <w:vAlign w:val="center"/>
                </w:tcPr>
                <w:p w14:paraId="4B5AE6D5">
                  <w:pPr>
                    <w:pStyle w:val="70"/>
                    <w:rPr>
                      <w:color w:val="auto"/>
                    </w:rPr>
                  </w:pPr>
                  <w:r>
                    <w:rPr>
                      <w:color w:val="auto"/>
                    </w:rPr>
                    <w:t>固态</w:t>
                  </w:r>
                </w:p>
              </w:tc>
              <w:tc>
                <w:tcPr>
                  <w:tcW w:w="594" w:type="pct"/>
                  <w:noWrap/>
                  <w:vAlign w:val="center"/>
                </w:tcPr>
                <w:p w14:paraId="1EB8670D">
                  <w:pPr>
                    <w:pStyle w:val="70"/>
                    <w:rPr>
                      <w:color w:val="auto"/>
                    </w:rPr>
                  </w:pPr>
                  <w:r>
                    <w:rPr>
                      <w:color w:val="auto"/>
                      <w:lang w:val="en-US"/>
                    </w:rPr>
                    <w:t>16</w:t>
                  </w:r>
                  <w:r>
                    <w:rPr>
                      <w:color w:val="auto"/>
                    </w:rPr>
                    <w:t>吨</w:t>
                  </w:r>
                </w:p>
              </w:tc>
              <w:tc>
                <w:tcPr>
                  <w:tcW w:w="724" w:type="pct"/>
                  <w:vAlign w:val="center"/>
                </w:tcPr>
                <w:p w14:paraId="2D891A4B">
                  <w:pPr>
                    <w:jc w:val="center"/>
                    <w:rPr>
                      <w:color w:val="auto"/>
                      <w:szCs w:val="21"/>
                    </w:rPr>
                  </w:pPr>
                  <w:r>
                    <w:rPr>
                      <w:rFonts w:hint="eastAsia"/>
                      <w:color w:val="auto"/>
                      <w:szCs w:val="21"/>
                    </w:rPr>
                    <w:t>2吨</w:t>
                  </w:r>
                </w:p>
              </w:tc>
              <w:tc>
                <w:tcPr>
                  <w:tcW w:w="578" w:type="pct"/>
                  <w:vAlign w:val="center"/>
                </w:tcPr>
                <w:p w14:paraId="32DDB884">
                  <w:pPr>
                    <w:pStyle w:val="70"/>
                    <w:rPr>
                      <w:rFonts w:hint="default"/>
                      <w:color w:val="auto"/>
                      <w:lang w:val="en-US"/>
                    </w:rPr>
                  </w:pPr>
                  <w:r>
                    <w:rPr>
                      <w:rFonts w:hint="eastAsia"/>
                      <w:color w:val="auto"/>
                      <w:lang w:val="en-US" w:eastAsia="zh-CN"/>
                    </w:rPr>
                    <w:t>20kg/箱</w:t>
                  </w:r>
                </w:p>
              </w:tc>
              <w:tc>
                <w:tcPr>
                  <w:tcW w:w="654" w:type="pct"/>
                  <w:vAlign w:val="center"/>
                </w:tcPr>
                <w:p w14:paraId="72ADD461">
                  <w:pPr>
                    <w:pStyle w:val="70"/>
                    <w:rPr>
                      <w:color w:val="auto"/>
                    </w:rPr>
                  </w:pPr>
                  <w:r>
                    <w:rPr>
                      <w:color w:val="auto"/>
                    </w:rPr>
                    <w:t>否</w:t>
                  </w:r>
                </w:p>
              </w:tc>
              <w:tc>
                <w:tcPr>
                  <w:tcW w:w="528" w:type="pct"/>
                  <w:vAlign w:val="center"/>
                </w:tcPr>
                <w:p w14:paraId="00A6128E">
                  <w:pPr>
                    <w:pStyle w:val="70"/>
                    <w:rPr>
                      <w:rFonts w:hint="default" w:eastAsia="宋体"/>
                      <w:color w:val="auto"/>
                      <w:lang w:val="en-US" w:eastAsia="zh-CN"/>
                    </w:rPr>
                  </w:pPr>
                  <w:r>
                    <w:rPr>
                      <w:rFonts w:hint="eastAsia"/>
                      <w:color w:val="auto"/>
                      <w:lang w:val="en-US" w:eastAsia="zh-CN"/>
                    </w:rPr>
                    <w:t>/</w:t>
                  </w:r>
                </w:p>
              </w:tc>
              <w:tc>
                <w:tcPr>
                  <w:tcW w:w="618" w:type="pct"/>
                  <w:vAlign w:val="center"/>
                </w:tcPr>
                <w:p w14:paraId="51F4B8D2">
                  <w:pPr>
                    <w:pStyle w:val="70"/>
                    <w:rPr>
                      <w:rFonts w:hint="eastAsia"/>
                      <w:color w:val="auto"/>
                      <w:lang w:val="en-US"/>
                    </w:rPr>
                  </w:pPr>
                  <w:r>
                    <w:rPr>
                      <w:rFonts w:hint="eastAsia"/>
                      <w:color w:val="auto"/>
                      <w:lang w:val="en-US"/>
                    </w:rPr>
                    <w:t>喷粉</w:t>
                  </w:r>
                </w:p>
              </w:tc>
            </w:tr>
            <w:tr w14:paraId="325A3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903" w:type="pct"/>
                  <w:vAlign w:val="center"/>
                </w:tcPr>
                <w:p w14:paraId="770E631A">
                  <w:pPr>
                    <w:pStyle w:val="70"/>
                    <w:rPr>
                      <w:color w:val="auto"/>
                      <w:lang w:val="en-US"/>
                    </w:rPr>
                  </w:pPr>
                  <w:r>
                    <w:rPr>
                      <w:rFonts w:hint="eastAsia"/>
                      <w:color w:val="auto"/>
                      <w:lang w:val="en-US"/>
                    </w:rPr>
                    <w:t>润滑油</w:t>
                  </w:r>
                </w:p>
              </w:tc>
              <w:tc>
                <w:tcPr>
                  <w:tcW w:w="397" w:type="pct"/>
                  <w:vAlign w:val="center"/>
                </w:tcPr>
                <w:p w14:paraId="1E193987">
                  <w:pPr>
                    <w:pStyle w:val="70"/>
                    <w:rPr>
                      <w:color w:val="auto"/>
                      <w:lang w:val="en-US"/>
                    </w:rPr>
                  </w:pPr>
                  <w:r>
                    <w:rPr>
                      <w:rFonts w:hint="eastAsia"/>
                      <w:color w:val="auto"/>
                      <w:lang w:val="en-US"/>
                    </w:rPr>
                    <w:t>液态</w:t>
                  </w:r>
                </w:p>
              </w:tc>
              <w:tc>
                <w:tcPr>
                  <w:tcW w:w="594" w:type="pct"/>
                  <w:noWrap/>
                  <w:vAlign w:val="center"/>
                </w:tcPr>
                <w:p w14:paraId="39794817">
                  <w:pPr>
                    <w:pStyle w:val="70"/>
                    <w:rPr>
                      <w:color w:val="auto"/>
                      <w:lang w:val="en-US"/>
                    </w:rPr>
                  </w:pPr>
                  <w:r>
                    <w:rPr>
                      <w:rFonts w:hint="eastAsia"/>
                      <w:color w:val="auto"/>
                      <w:lang w:val="en-US"/>
                    </w:rPr>
                    <w:t>0.1吨</w:t>
                  </w:r>
                </w:p>
              </w:tc>
              <w:tc>
                <w:tcPr>
                  <w:tcW w:w="724" w:type="pct"/>
                  <w:vAlign w:val="center"/>
                </w:tcPr>
                <w:p w14:paraId="2146A26E">
                  <w:pPr>
                    <w:pStyle w:val="70"/>
                    <w:rPr>
                      <w:color w:val="auto"/>
                      <w:lang w:val="en-US"/>
                    </w:rPr>
                  </w:pPr>
                  <w:r>
                    <w:rPr>
                      <w:rFonts w:hint="eastAsia"/>
                      <w:color w:val="auto"/>
                      <w:lang w:val="en-US"/>
                    </w:rPr>
                    <w:t>0.1吨</w:t>
                  </w:r>
                </w:p>
              </w:tc>
              <w:tc>
                <w:tcPr>
                  <w:tcW w:w="578" w:type="pct"/>
                  <w:vAlign w:val="center"/>
                </w:tcPr>
                <w:p w14:paraId="4B8F29C8">
                  <w:pPr>
                    <w:pStyle w:val="70"/>
                    <w:rPr>
                      <w:color w:val="auto"/>
                      <w:lang w:val="en-US"/>
                    </w:rPr>
                  </w:pPr>
                  <w:r>
                    <w:rPr>
                      <w:rFonts w:hint="eastAsia"/>
                      <w:color w:val="auto"/>
                      <w:lang w:val="en-US" w:eastAsia="zh-CN"/>
                    </w:rPr>
                    <w:t>25kg/</w:t>
                  </w:r>
                  <w:r>
                    <w:rPr>
                      <w:rFonts w:hint="eastAsia"/>
                      <w:color w:val="auto"/>
                      <w:lang w:val="en-US"/>
                    </w:rPr>
                    <w:t>桶</w:t>
                  </w:r>
                </w:p>
              </w:tc>
              <w:tc>
                <w:tcPr>
                  <w:tcW w:w="654" w:type="pct"/>
                  <w:vAlign w:val="center"/>
                </w:tcPr>
                <w:p w14:paraId="15586C0A">
                  <w:pPr>
                    <w:pStyle w:val="70"/>
                    <w:rPr>
                      <w:color w:val="auto"/>
                      <w:lang w:val="en-US"/>
                    </w:rPr>
                  </w:pPr>
                  <w:r>
                    <w:rPr>
                      <w:rFonts w:hint="eastAsia"/>
                      <w:color w:val="auto"/>
                      <w:lang w:val="en-US" w:eastAsia="zh-CN"/>
                    </w:rPr>
                    <w:t>是</w:t>
                  </w:r>
                </w:p>
              </w:tc>
              <w:tc>
                <w:tcPr>
                  <w:tcW w:w="528" w:type="pct"/>
                  <w:vAlign w:val="center"/>
                </w:tcPr>
                <w:p w14:paraId="7AEA1617">
                  <w:pPr>
                    <w:pStyle w:val="70"/>
                    <w:rPr>
                      <w:rFonts w:hint="default" w:eastAsia="宋体"/>
                      <w:color w:val="auto"/>
                      <w:lang w:val="en-US" w:eastAsia="zh-CN"/>
                    </w:rPr>
                  </w:pPr>
                  <w:r>
                    <w:rPr>
                      <w:rFonts w:hint="eastAsia"/>
                      <w:color w:val="auto"/>
                      <w:lang w:val="en-US" w:eastAsia="zh-CN"/>
                    </w:rPr>
                    <w:t>2500（油类物质）</w:t>
                  </w:r>
                </w:p>
              </w:tc>
              <w:tc>
                <w:tcPr>
                  <w:tcW w:w="618" w:type="pct"/>
                  <w:vAlign w:val="center"/>
                </w:tcPr>
                <w:p w14:paraId="33DBBDF8">
                  <w:pPr>
                    <w:pStyle w:val="70"/>
                    <w:rPr>
                      <w:color w:val="auto"/>
                    </w:rPr>
                  </w:pPr>
                  <w:r>
                    <w:rPr>
                      <w:rFonts w:hint="eastAsia"/>
                      <w:color w:val="auto"/>
                      <w:lang w:val="en-US" w:eastAsia="zh-CN"/>
                    </w:rPr>
                    <w:t>辅助</w:t>
                  </w:r>
                </w:p>
              </w:tc>
            </w:tr>
            <w:tr w14:paraId="62997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903" w:type="pct"/>
                  <w:vAlign w:val="center"/>
                </w:tcPr>
                <w:p w14:paraId="0DD37D57">
                  <w:pPr>
                    <w:pStyle w:val="70"/>
                    <w:rPr>
                      <w:rFonts w:hint="default" w:eastAsia="宋体"/>
                      <w:color w:val="auto"/>
                      <w:lang w:val="en-US" w:eastAsia="zh-CN"/>
                    </w:rPr>
                  </w:pPr>
                  <w:r>
                    <w:rPr>
                      <w:rFonts w:hint="eastAsia"/>
                      <w:color w:val="auto"/>
                      <w:lang w:val="en-US" w:eastAsia="zh-CN"/>
                    </w:rPr>
                    <w:t>液化石油气</w:t>
                  </w:r>
                </w:p>
              </w:tc>
              <w:tc>
                <w:tcPr>
                  <w:tcW w:w="397" w:type="pct"/>
                  <w:vAlign w:val="center"/>
                </w:tcPr>
                <w:p w14:paraId="22483081">
                  <w:pPr>
                    <w:pStyle w:val="70"/>
                    <w:rPr>
                      <w:rFonts w:hint="eastAsia" w:eastAsia="宋体"/>
                      <w:color w:val="auto"/>
                      <w:lang w:val="en-US" w:eastAsia="zh-CN"/>
                    </w:rPr>
                  </w:pPr>
                  <w:r>
                    <w:rPr>
                      <w:rFonts w:hint="eastAsia"/>
                      <w:color w:val="auto"/>
                      <w:lang w:val="en-US" w:eastAsia="zh-CN"/>
                    </w:rPr>
                    <w:t>气态</w:t>
                  </w:r>
                </w:p>
              </w:tc>
              <w:tc>
                <w:tcPr>
                  <w:tcW w:w="594" w:type="pct"/>
                  <w:noWrap/>
                  <w:vAlign w:val="center"/>
                </w:tcPr>
                <w:p w14:paraId="602093CA">
                  <w:pPr>
                    <w:pStyle w:val="70"/>
                    <w:rPr>
                      <w:rFonts w:hint="default" w:eastAsia="宋体"/>
                      <w:color w:val="auto"/>
                      <w:lang w:val="en-US" w:eastAsia="zh-CN"/>
                    </w:rPr>
                  </w:pPr>
                  <w:r>
                    <w:rPr>
                      <w:rFonts w:hint="eastAsia"/>
                      <w:color w:val="auto"/>
                      <w:lang w:val="en-US" w:eastAsia="zh-CN"/>
                    </w:rPr>
                    <w:t>111.1吨</w:t>
                  </w:r>
                </w:p>
              </w:tc>
              <w:tc>
                <w:tcPr>
                  <w:tcW w:w="724" w:type="pct"/>
                  <w:vAlign w:val="center"/>
                </w:tcPr>
                <w:p w14:paraId="566FE25D">
                  <w:pPr>
                    <w:pStyle w:val="70"/>
                    <w:rPr>
                      <w:rFonts w:hint="default" w:eastAsia="宋体"/>
                      <w:color w:val="auto"/>
                      <w:lang w:val="en-US" w:eastAsia="zh-CN"/>
                    </w:rPr>
                  </w:pPr>
                  <w:r>
                    <w:rPr>
                      <w:rFonts w:hint="eastAsia"/>
                      <w:color w:val="auto"/>
                      <w:lang w:val="en-US" w:eastAsia="zh-CN"/>
                    </w:rPr>
                    <w:t>0.5吨</w:t>
                  </w:r>
                </w:p>
              </w:tc>
              <w:tc>
                <w:tcPr>
                  <w:tcW w:w="578" w:type="pct"/>
                  <w:vAlign w:val="center"/>
                </w:tcPr>
                <w:p w14:paraId="44F441F8">
                  <w:pPr>
                    <w:pStyle w:val="70"/>
                    <w:rPr>
                      <w:rFonts w:hint="default" w:eastAsia="宋体"/>
                      <w:color w:val="auto"/>
                      <w:lang w:val="en-US" w:eastAsia="zh-CN"/>
                    </w:rPr>
                  </w:pPr>
                  <w:r>
                    <w:rPr>
                      <w:rFonts w:hint="eastAsia"/>
                      <w:color w:val="auto"/>
                      <w:lang w:val="en-US" w:eastAsia="zh-CN"/>
                    </w:rPr>
                    <w:t>50kg/瓶</w:t>
                  </w:r>
                </w:p>
              </w:tc>
              <w:tc>
                <w:tcPr>
                  <w:tcW w:w="654" w:type="pct"/>
                  <w:vAlign w:val="center"/>
                </w:tcPr>
                <w:p w14:paraId="0E897465">
                  <w:pPr>
                    <w:pStyle w:val="70"/>
                    <w:rPr>
                      <w:rFonts w:hint="default" w:eastAsia="宋体"/>
                      <w:color w:val="auto"/>
                      <w:lang w:val="en-US" w:eastAsia="zh-CN"/>
                    </w:rPr>
                  </w:pPr>
                  <w:r>
                    <w:rPr>
                      <w:rFonts w:hint="eastAsia"/>
                      <w:color w:val="auto"/>
                      <w:lang w:val="en-US" w:eastAsia="zh-CN"/>
                    </w:rPr>
                    <w:t>是</w:t>
                  </w:r>
                </w:p>
              </w:tc>
              <w:tc>
                <w:tcPr>
                  <w:tcW w:w="528" w:type="pct"/>
                  <w:vAlign w:val="center"/>
                </w:tcPr>
                <w:p w14:paraId="1E3F19A5">
                  <w:pPr>
                    <w:pStyle w:val="70"/>
                    <w:rPr>
                      <w:rFonts w:hint="default"/>
                      <w:color w:val="auto"/>
                      <w:lang w:val="en-US" w:eastAsia="zh-CN"/>
                    </w:rPr>
                  </w:pPr>
                  <w:r>
                    <w:rPr>
                      <w:rFonts w:hint="eastAsia"/>
                      <w:color w:val="auto"/>
                      <w:lang w:val="en-US" w:eastAsia="zh-CN"/>
                    </w:rPr>
                    <w:t>10（石油气）</w:t>
                  </w:r>
                </w:p>
              </w:tc>
              <w:tc>
                <w:tcPr>
                  <w:tcW w:w="618" w:type="pct"/>
                  <w:vAlign w:val="center"/>
                </w:tcPr>
                <w:p w14:paraId="71A7762F">
                  <w:pPr>
                    <w:pStyle w:val="70"/>
                    <w:rPr>
                      <w:rFonts w:hint="default"/>
                      <w:color w:val="auto"/>
                      <w:lang w:val="en-US" w:eastAsia="zh-CN"/>
                    </w:rPr>
                  </w:pPr>
                  <w:r>
                    <w:rPr>
                      <w:rFonts w:hint="eastAsia"/>
                      <w:color w:val="auto"/>
                      <w:lang w:val="en-US" w:eastAsia="zh-CN"/>
                    </w:rPr>
                    <w:t>固化、烘干（自动线）</w:t>
                  </w:r>
                </w:p>
              </w:tc>
            </w:tr>
          </w:tbl>
          <w:p w14:paraId="6A21A9E0">
            <w:pPr>
              <w:pStyle w:val="70"/>
              <w:jc w:val="left"/>
              <w:rPr>
                <w:rFonts w:hint="default"/>
                <w:b w:val="0"/>
                <w:color w:val="auto"/>
                <w:szCs w:val="21"/>
                <w:lang w:val="en-US"/>
              </w:rPr>
            </w:pPr>
            <w:r>
              <w:rPr>
                <w:rFonts w:hint="eastAsia" w:ascii="Times New Roman" w:hAnsi="Times New Roman" w:eastAsia="宋体" w:cs="Times New Roman"/>
                <w:color w:val="auto"/>
                <w:u w:val="none"/>
                <w:lang w:val="en-US" w:eastAsia="zh-CN"/>
              </w:rPr>
              <w:t>注：</w:t>
            </w:r>
            <w:r>
              <w:rPr>
                <w:rFonts w:hint="eastAsia"/>
                <w:color w:val="auto"/>
                <w:u w:val="none"/>
                <w:lang w:val="en-US" w:eastAsia="zh-CN"/>
              </w:rPr>
              <w:t>液</w:t>
            </w:r>
            <w:r>
              <w:rPr>
                <w:rFonts w:hint="eastAsia"/>
                <w:color w:val="auto"/>
                <w:lang w:val="en-US" w:eastAsia="zh-CN"/>
              </w:rPr>
              <w:t>化石油气瓶由</w:t>
            </w:r>
            <w:r>
              <w:rPr>
                <w:rFonts w:hint="eastAsia"/>
                <w:color w:val="auto"/>
                <w:lang w:eastAsia="zh-CN"/>
              </w:rPr>
              <w:t>供气单位提供，</w:t>
            </w:r>
            <w:r>
              <w:rPr>
                <w:rFonts w:hint="eastAsia"/>
                <w:color w:val="auto"/>
                <w:lang w:val="en-US" w:eastAsia="zh-CN"/>
              </w:rPr>
              <w:t>使用后</w:t>
            </w:r>
            <w:r>
              <w:rPr>
                <w:rFonts w:hint="eastAsia"/>
                <w:color w:val="auto"/>
                <w:lang w:eastAsia="zh-CN"/>
              </w:rPr>
              <w:t>回收，循环利用。</w:t>
            </w:r>
          </w:p>
          <w:p w14:paraId="1EFD4C91">
            <w:pPr>
              <w:pStyle w:val="9"/>
              <w:ind w:left="630" w:leftChars="0" w:firstLineChars="0"/>
              <w:rPr>
                <w:color w:val="auto"/>
                <w:szCs w:val="21"/>
              </w:rPr>
            </w:pPr>
            <w:r>
              <w:rPr>
                <w:rFonts w:hint="eastAsia"/>
                <w:color w:val="auto"/>
                <w:szCs w:val="21"/>
              </w:rPr>
              <w:t>主要原辅材料理化性质一览表</w:t>
            </w:r>
          </w:p>
          <w:tbl>
            <w:tblPr>
              <w:tblStyle w:val="3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37"/>
              <w:gridCol w:w="1643"/>
              <w:gridCol w:w="6158"/>
            </w:tblGrid>
            <w:tr w14:paraId="526201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5" w:hRule="atLeast"/>
              </w:trPr>
              <w:tc>
                <w:tcPr>
                  <w:tcW w:w="265" w:type="pct"/>
                  <w:vAlign w:val="center"/>
                </w:tcPr>
                <w:p w14:paraId="4D72A672">
                  <w:pPr>
                    <w:spacing w:line="360" w:lineRule="exact"/>
                    <w:jc w:val="center"/>
                    <w:rPr>
                      <w:color w:val="auto"/>
                      <w:szCs w:val="21"/>
                    </w:rPr>
                  </w:pPr>
                  <w:r>
                    <w:rPr>
                      <w:b/>
                      <w:color w:val="auto"/>
                      <w:szCs w:val="21"/>
                    </w:rPr>
                    <w:t>序号</w:t>
                  </w:r>
                </w:p>
              </w:tc>
              <w:tc>
                <w:tcPr>
                  <w:tcW w:w="997" w:type="pct"/>
                  <w:tcBorders>
                    <w:right w:val="single" w:color="auto" w:sz="4" w:space="0"/>
                  </w:tcBorders>
                  <w:vAlign w:val="center"/>
                </w:tcPr>
                <w:p w14:paraId="43C287A3">
                  <w:pPr>
                    <w:spacing w:line="360" w:lineRule="exact"/>
                    <w:jc w:val="center"/>
                    <w:rPr>
                      <w:b/>
                      <w:color w:val="auto"/>
                      <w:szCs w:val="21"/>
                    </w:rPr>
                  </w:pPr>
                  <w:r>
                    <w:rPr>
                      <w:b/>
                      <w:color w:val="auto"/>
                      <w:szCs w:val="21"/>
                    </w:rPr>
                    <w:t>名称</w:t>
                  </w:r>
                </w:p>
              </w:tc>
              <w:tc>
                <w:tcPr>
                  <w:tcW w:w="3737" w:type="pct"/>
                  <w:tcBorders>
                    <w:right w:val="single" w:color="auto" w:sz="4" w:space="0"/>
                  </w:tcBorders>
                  <w:vAlign w:val="center"/>
                </w:tcPr>
                <w:p w14:paraId="35BC0FFA">
                  <w:pPr>
                    <w:spacing w:line="360" w:lineRule="exact"/>
                    <w:jc w:val="center"/>
                    <w:rPr>
                      <w:b/>
                      <w:color w:val="auto"/>
                      <w:szCs w:val="21"/>
                    </w:rPr>
                  </w:pPr>
                  <w:r>
                    <w:rPr>
                      <w:b/>
                      <w:color w:val="auto"/>
                      <w:szCs w:val="21"/>
                    </w:rPr>
                    <w:t>理化性质</w:t>
                  </w:r>
                </w:p>
              </w:tc>
            </w:tr>
            <w:tr w14:paraId="7B495B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5" w:type="pct"/>
                  <w:vAlign w:val="center"/>
                </w:tcPr>
                <w:p w14:paraId="64733575">
                  <w:pPr>
                    <w:pStyle w:val="70"/>
                    <w:widowControl/>
                    <w:numPr>
                      <w:ilvl w:val="0"/>
                      <w:numId w:val="0"/>
                    </w:numPr>
                    <w:ind w:left="420" w:leftChars="0" w:hanging="420" w:firstLineChars="0"/>
                    <w:rPr>
                      <w:rFonts w:ascii="Times New Roman" w:hAnsi="Times New Roman" w:eastAsia="宋体" w:cs="Times New Roman"/>
                      <w:color w:val="auto"/>
                      <w:kern w:val="2"/>
                      <w:sz w:val="21"/>
                      <w:szCs w:val="21"/>
                      <w:lang w:val="zh-CN" w:eastAsia="zh-CN" w:bidi="ar-SA"/>
                    </w:rPr>
                  </w:pPr>
                  <w:r>
                    <w:rPr>
                      <w:rFonts w:ascii="Times New Roman" w:hAnsi="Times New Roman" w:eastAsia="宋体" w:cs="Times New Roman"/>
                      <w:color w:val="auto"/>
                      <w:kern w:val="2"/>
                      <w:sz w:val="21"/>
                      <w:szCs w:val="21"/>
                      <w:lang w:val="zh-CN" w:eastAsia="zh-CN" w:bidi="ar-SA"/>
                    </w:rPr>
                    <w:t>1</w:t>
                  </w:r>
                </w:p>
              </w:tc>
              <w:tc>
                <w:tcPr>
                  <w:tcW w:w="997" w:type="pct"/>
                  <w:vAlign w:val="center"/>
                </w:tcPr>
                <w:p w14:paraId="1122CBCA">
                  <w:pPr>
                    <w:pStyle w:val="70"/>
                    <w:rPr>
                      <w:rFonts w:hint="eastAsia" w:eastAsia="宋体"/>
                      <w:color w:val="auto"/>
                      <w:kern w:val="0"/>
                      <w:lang w:val="en-US" w:eastAsia="zh-CN"/>
                    </w:rPr>
                  </w:pPr>
                  <w:r>
                    <w:rPr>
                      <w:rFonts w:hint="eastAsia"/>
                      <w:color w:val="auto"/>
                      <w:kern w:val="0"/>
                      <w:lang w:val="en-US" w:eastAsia="zh-CN"/>
                    </w:rPr>
                    <w:t>铁管</w:t>
                  </w:r>
                </w:p>
              </w:tc>
              <w:tc>
                <w:tcPr>
                  <w:tcW w:w="3737" w:type="pct"/>
                  <w:tcBorders>
                    <w:right w:val="single" w:color="auto" w:sz="4" w:space="0"/>
                  </w:tcBorders>
                  <w:vAlign w:val="center"/>
                </w:tcPr>
                <w:p w14:paraId="3530442D">
                  <w:pPr>
                    <w:pStyle w:val="70"/>
                    <w:rPr>
                      <w:rFonts w:hint="default" w:eastAsia="宋体"/>
                      <w:color w:val="auto"/>
                      <w:lang w:val="en-US" w:eastAsia="zh-CN"/>
                    </w:rPr>
                  </w:pPr>
                  <w:r>
                    <w:rPr>
                      <w:rFonts w:hint="eastAsia" w:ascii="Times New Roman" w:hAnsi="Times New Roman" w:eastAsia="宋体"/>
                      <w:color w:val="auto"/>
                      <w:sz w:val="21"/>
                      <w:lang w:val="en-US" w:eastAsia="zh-CN"/>
                    </w:rPr>
                    <w:t>空心铁管，</w:t>
                  </w:r>
                  <w:r>
                    <w:rPr>
                      <w:rFonts w:hint="eastAsia" w:ascii="Times New Roman" w:hAnsi="Times New Roman" w:eastAsia="宋体"/>
                      <w:color w:val="auto"/>
                      <w:sz w:val="21"/>
                      <w:lang w:val="en-US" w:eastAsia="zh-CN"/>
                    </w:rPr>
                    <w:t>牌号Q235B，主要成分：</w:t>
                  </w:r>
                  <w:r>
                    <w:rPr>
                      <w:rFonts w:hint="eastAsia" w:ascii="Times New Roman" w:hAnsi="Times New Roman" w:eastAsia="宋体" w:cs="Times New Roman"/>
                      <w:snapToGrid w:val="0"/>
                      <w:color w:val="auto"/>
                      <w:kern w:val="2"/>
                      <w:sz w:val="21"/>
                      <w:szCs w:val="21"/>
                      <w:highlight w:val="none"/>
                      <w:lang w:val="en-US" w:eastAsia="zh-CN" w:bidi="ar-SA"/>
                    </w:rPr>
                    <w:t>碳C（0</w:t>
                  </w:r>
                  <w:r>
                    <w:rPr>
                      <w:rFonts w:hint="default" w:ascii="Times New Roman" w:hAnsi="Times New Roman" w:eastAsia="宋体" w:cs="Times New Roman"/>
                      <w:snapToGrid w:val="0"/>
                      <w:color w:val="auto"/>
                      <w:kern w:val="2"/>
                      <w:sz w:val="21"/>
                      <w:szCs w:val="21"/>
                      <w:highlight w:val="none"/>
                      <w:lang w:val="en-US" w:eastAsia="zh-CN" w:bidi="ar-SA"/>
                    </w:rPr>
                    <w:t>.</w:t>
                  </w:r>
                  <w:r>
                    <w:rPr>
                      <w:rFonts w:hint="eastAsia" w:ascii="Times New Roman" w:hAnsi="Times New Roman" w:eastAsia="宋体" w:cs="Times New Roman"/>
                      <w:snapToGrid w:val="0"/>
                      <w:color w:val="auto"/>
                      <w:kern w:val="2"/>
                      <w:sz w:val="21"/>
                      <w:szCs w:val="21"/>
                      <w:highlight w:val="none"/>
                      <w:lang w:val="en-US" w:eastAsia="zh-CN" w:bidi="ar-SA"/>
                    </w:rPr>
                    <w:t>18</w:t>
                  </w:r>
                  <w:r>
                    <w:rPr>
                      <w:rFonts w:hint="default" w:ascii="Times New Roman" w:hAnsi="Times New Roman" w:eastAsia="宋体" w:cs="Times New Roman"/>
                      <w:snapToGrid w:val="0"/>
                      <w:color w:val="auto"/>
                      <w:kern w:val="2"/>
                      <w:sz w:val="21"/>
                      <w:szCs w:val="21"/>
                      <w:highlight w:val="none"/>
                      <w:lang w:val="en-US" w:eastAsia="zh-CN" w:bidi="ar-SA"/>
                    </w:rPr>
                    <w:t>%</w:t>
                  </w:r>
                  <w:r>
                    <w:rPr>
                      <w:rFonts w:hint="eastAsia" w:ascii="Times New Roman" w:hAnsi="Times New Roman" w:eastAsia="宋体" w:cs="Times New Roman"/>
                      <w:snapToGrid w:val="0"/>
                      <w:color w:val="auto"/>
                      <w:kern w:val="2"/>
                      <w:sz w:val="21"/>
                      <w:szCs w:val="21"/>
                      <w:highlight w:val="none"/>
                      <w:lang w:val="en-US" w:eastAsia="zh-CN" w:bidi="ar-SA"/>
                    </w:rPr>
                    <w:t>）、硅Si（</w:t>
                  </w:r>
                  <w:r>
                    <w:rPr>
                      <w:rFonts w:hint="eastAsia" w:ascii="Times New Roman" w:hAnsi="Times New Roman" w:eastAsia="宋体" w:cs="Arial"/>
                      <w:snapToGrid w:val="0"/>
                      <w:color w:val="auto"/>
                      <w:kern w:val="2"/>
                      <w:sz w:val="21"/>
                      <w:szCs w:val="21"/>
                      <w:highlight w:val="none"/>
                      <w:lang w:val="en-US" w:eastAsia="zh-CN" w:bidi="ar-SA"/>
                    </w:rPr>
                    <w:t>0.</w:t>
                  </w:r>
                  <w:r>
                    <w:rPr>
                      <w:rFonts w:hint="eastAsia" w:ascii="Times New Roman" w:hAnsi="Times New Roman" w:eastAsia="宋体" w:cs="Times New Roman"/>
                      <w:snapToGrid w:val="0"/>
                      <w:color w:val="auto"/>
                      <w:kern w:val="2"/>
                      <w:sz w:val="21"/>
                      <w:szCs w:val="21"/>
                      <w:highlight w:val="none"/>
                      <w:lang w:val="en-US" w:eastAsia="zh-CN" w:bidi="ar-SA"/>
                    </w:rPr>
                    <w:t>27%）、锰Mn（0.34%）、磷P（0.</w:t>
                  </w:r>
                  <w:r>
                    <w:rPr>
                      <w:rFonts w:hint="eastAsia" w:cs="Times New Roman"/>
                      <w:snapToGrid w:val="0"/>
                      <w:color w:val="auto"/>
                      <w:kern w:val="2"/>
                      <w:sz w:val="21"/>
                      <w:szCs w:val="21"/>
                      <w:highlight w:val="none"/>
                      <w:lang w:val="en-US" w:eastAsia="zh-CN" w:bidi="ar-SA"/>
                    </w:rPr>
                    <w:t>0</w:t>
                  </w:r>
                  <w:r>
                    <w:rPr>
                      <w:rFonts w:hint="eastAsia" w:ascii="Times New Roman" w:hAnsi="Times New Roman" w:eastAsia="宋体" w:cs="Times New Roman"/>
                      <w:snapToGrid w:val="0"/>
                      <w:color w:val="auto"/>
                      <w:kern w:val="2"/>
                      <w:sz w:val="21"/>
                      <w:szCs w:val="21"/>
                      <w:highlight w:val="none"/>
                      <w:lang w:val="en-US" w:eastAsia="zh-CN" w:bidi="ar-SA"/>
                    </w:rPr>
                    <w:t>3</w:t>
                  </w:r>
                  <w:r>
                    <w:rPr>
                      <w:rFonts w:hint="eastAsia" w:cs="Times New Roman"/>
                      <w:snapToGrid w:val="0"/>
                      <w:color w:val="auto"/>
                      <w:kern w:val="2"/>
                      <w:sz w:val="21"/>
                      <w:szCs w:val="21"/>
                      <w:highlight w:val="none"/>
                      <w:lang w:val="en-US" w:eastAsia="zh-CN" w:bidi="ar-SA"/>
                    </w:rPr>
                    <w:t>1</w:t>
                  </w:r>
                  <w:r>
                    <w:rPr>
                      <w:rFonts w:hint="eastAsia" w:ascii="Times New Roman" w:hAnsi="Times New Roman" w:eastAsia="宋体" w:cs="Times New Roman"/>
                      <w:snapToGrid w:val="0"/>
                      <w:color w:val="auto"/>
                      <w:kern w:val="2"/>
                      <w:sz w:val="21"/>
                      <w:szCs w:val="21"/>
                      <w:highlight w:val="none"/>
                      <w:lang w:val="en-US" w:eastAsia="zh-CN" w:bidi="ar-SA"/>
                    </w:rPr>
                    <w:t>%）、硫S（0.</w:t>
                  </w:r>
                  <w:r>
                    <w:rPr>
                      <w:rFonts w:hint="eastAsia" w:cs="Times New Roman"/>
                      <w:snapToGrid w:val="0"/>
                      <w:color w:val="auto"/>
                      <w:kern w:val="2"/>
                      <w:sz w:val="21"/>
                      <w:szCs w:val="21"/>
                      <w:highlight w:val="none"/>
                      <w:lang w:val="en-US" w:eastAsia="zh-CN" w:bidi="ar-SA"/>
                    </w:rPr>
                    <w:t>039</w:t>
                  </w:r>
                  <w:r>
                    <w:rPr>
                      <w:rFonts w:hint="eastAsia" w:ascii="Times New Roman" w:hAnsi="Times New Roman" w:eastAsia="宋体" w:cs="Times New Roman"/>
                      <w:snapToGrid w:val="0"/>
                      <w:color w:val="auto"/>
                      <w:kern w:val="2"/>
                      <w:sz w:val="21"/>
                      <w:szCs w:val="21"/>
                      <w:highlight w:val="none"/>
                      <w:lang w:val="en-US" w:eastAsia="zh-CN" w:bidi="ar-SA"/>
                    </w:rPr>
                    <w:t>%）、铁余量</w:t>
                  </w:r>
                  <w:r>
                    <w:rPr>
                      <w:rFonts w:hint="eastAsia" w:ascii="Times New Roman" w:hAnsi="Times New Roman" w:eastAsia="宋体" w:cs="Times New Roman"/>
                      <w:snapToGrid w:val="0"/>
                      <w:color w:val="auto"/>
                      <w:kern w:val="2"/>
                      <w:sz w:val="21"/>
                      <w:szCs w:val="21"/>
                      <w:highlight w:val="none"/>
                      <w:lang w:val="en-US" w:eastAsia="zh-CN" w:bidi="ar-SA"/>
                    </w:rPr>
                    <w:t>；</w:t>
                  </w:r>
                  <w:r>
                    <w:rPr>
                      <w:rFonts w:hint="eastAsia" w:ascii="Times New Roman" w:hAnsi="Times New Roman" w:eastAsia="宋体"/>
                      <w:color w:val="auto"/>
                      <w:sz w:val="21"/>
                      <w:lang w:val="en-US" w:eastAsia="zh-CN"/>
                    </w:rPr>
                    <w:t>厚度为2mm，密度为</w:t>
                  </w:r>
                  <w:r>
                    <w:rPr>
                      <w:rFonts w:ascii="Times New Roman" w:hAnsi="Times New Roman" w:eastAsia="宋体"/>
                      <w:color w:val="auto"/>
                      <w:sz w:val="21"/>
                      <w:szCs w:val="21"/>
                    </w:rPr>
                    <w:t>7</w:t>
                  </w:r>
                  <w:r>
                    <w:rPr>
                      <w:rFonts w:hint="eastAsia" w:ascii="Times New Roman" w:hAnsi="Times New Roman" w:eastAsia="宋体"/>
                      <w:color w:val="auto"/>
                      <w:sz w:val="21"/>
                      <w:szCs w:val="21"/>
                      <w:lang w:eastAsia="zh-CN"/>
                    </w:rPr>
                    <w:t>.</w:t>
                  </w:r>
                  <w:r>
                    <w:rPr>
                      <w:rFonts w:ascii="Times New Roman" w:hAnsi="Times New Roman" w:eastAsia="宋体"/>
                      <w:color w:val="auto"/>
                      <w:sz w:val="21"/>
                      <w:szCs w:val="21"/>
                    </w:rPr>
                    <w:t>8</w:t>
                  </w:r>
                  <w:r>
                    <w:rPr>
                      <w:rFonts w:hint="eastAsia" w:ascii="Times New Roman" w:hAnsi="Times New Roman" w:eastAsia="宋体"/>
                      <w:color w:val="auto"/>
                      <w:sz w:val="21"/>
                      <w:szCs w:val="21"/>
                      <w:lang w:val="en-US" w:eastAsia="zh-CN"/>
                    </w:rPr>
                    <w:t>5</w:t>
                  </w:r>
                  <w:r>
                    <w:rPr>
                      <w:rFonts w:hint="eastAsia" w:ascii="Times New Roman" w:hAnsi="Times New Roman" w:eastAsia="宋体"/>
                      <w:color w:val="auto"/>
                      <w:sz w:val="21"/>
                      <w:szCs w:val="21"/>
                    </w:rPr>
                    <w:t>g/cm</w:t>
                  </w:r>
                  <w:r>
                    <w:rPr>
                      <w:rFonts w:hint="eastAsia" w:ascii="Times New Roman" w:hAnsi="Times New Roman" w:eastAsia="宋体"/>
                      <w:color w:val="auto"/>
                      <w:sz w:val="21"/>
                      <w:szCs w:val="21"/>
                      <w:vertAlign w:val="superscript"/>
                    </w:rPr>
                    <w:t>3</w:t>
                  </w:r>
                  <w:r>
                    <w:rPr>
                      <w:rFonts w:eastAsia="等线"/>
                      <w:color w:val="auto"/>
                      <w:szCs w:val="21"/>
                    </w:rPr>
                    <w:t xml:space="preserve"> </w:t>
                  </w:r>
                </w:p>
              </w:tc>
            </w:tr>
            <w:tr w14:paraId="5CA66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5" w:type="pct"/>
                  <w:vAlign w:val="center"/>
                </w:tcPr>
                <w:p w14:paraId="74059E37">
                  <w:pPr>
                    <w:pStyle w:val="70"/>
                    <w:widowControl/>
                    <w:numPr>
                      <w:ilvl w:val="0"/>
                      <w:numId w:val="0"/>
                    </w:numPr>
                    <w:ind w:left="420" w:leftChars="0" w:hanging="420" w:firstLineChars="0"/>
                    <w:rPr>
                      <w:color w:val="auto"/>
                    </w:rPr>
                  </w:pPr>
                  <w:r>
                    <w:rPr>
                      <w:rFonts w:ascii="Times New Roman" w:hAnsi="Times New Roman" w:eastAsia="宋体" w:cs="Times New Roman"/>
                      <w:color w:val="auto"/>
                      <w:kern w:val="2"/>
                      <w:sz w:val="21"/>
                      <w:szCs w:val="21"/>
                      <w:lang w:val="zh-CN" w:eastAsia="zh-CN" w:bidi="ar-SA"/>
                    </w:rPr>
                    <w:t>2</w:t>
                  </w:r>
                </w:p>
              </w:tc>
              <w:tc>
                <w:tcPr>
                  <w:tcW w:w="997" w:type="pct"/>
                  <w:vAlign w:val="center"/>
                </w:tcPr>
                <w:p w14:paraId="55371E19">
                  <w:pPr>
                    <w:pStyle w:val="70"/>
                    <w:rPr>
                      <w:color w:val="auto"/>
                    </w:rPr>
                  </w:pPr>
                  <w:r>
                    <w:rPr>
                      <w:color w:val="auto"/>
                      <w:kern w:val="0"/>
                    </w:rPr>
                    <w:t>环氧聚酯粉末</w:t>
                  </w:r>
                </w:p>
              </w:tc>
              <w:tc>
                <w:tcPr>
                  <w:tcW w:w="3737" w:type="pct"/>
                  <w:tcBorders>
                    <w:right w:val="single" w:color="auto" w:sz="4" w:space="0"/>
                  </w:tcBorders>
                  <w:vAlign w:val="center"/>
                </w:tcPr>
                <w:p w14:paraId="3D1BFF3E">
                  <w:pPr>
                    <w:pStyle w:val="70"/>
                    <w:rPr>
                      <w:color w:val="auto"/>
                    </w:rPr>
                  </w:pPr>
                  <w:r>
                    <w:rPr>
                      <w:color w:val="auto"/>
                    </w:rPr>
                    <w:t>主要成分是环氧树脂（30%）、聚酯树脂（30%）、填料（30%）、颜料（3%）、</w:t>
                  </w:r>
                  <w:r>
                    <w:rPr>
                      <w:color w:val="auto"/>
                      <w:highlight w:val="none"/>
                    </w:rPr>
                    <w:t>其它添加剂</w:t>
                  </w:r>
                  <w:r>
                    <w:rPr>
                      <w:color w:val="auto"/>
                    </w:rPr>
                    <w:t>（</w:t>
                  </w:r>
                  <w:r>
                    <w:rPr>
                      <w:rFonts w:hint="eastAsia"/>
                      <w:color w:val="auto"/>
                      <w:lang w:val="en-US" w:eastAsia="zh-CN"/>
                    </w:rPr>
                    <w:t>流平剂、边角改性剂、防潮剂等，</w:t>
                  </w:r>
                  <w:r>
                    <w:rPr>
                      <w:color w:val="auto"/>
                    </w:rPr>
                    <w:t>7%）</w:t>
                  </w:r>
                  <w:r>
                    <w:rPr>
                      <w:rFonts w:hint="eastAsia"/>
                      <w:color w:val="auto"/>
                      <w:lang w:eastAsia="zh-CN"/>
                    </w:rPr>
                    <w:t>，</w:t>
                  </w:r>
                  <w:r>
                    <w:rPr>
                      <w:rFonts w:hint="eastAsia"/>
                      <w:color w:val="auto"/>
                      <w:lang w:val="en-US" w:eastAsia="zh-CN"/>
                    </w:rPr>
                    <w:t>不含有重金属</w:t>
                  </w:r>
                  <w:r>
                    <w:rPr>
                      <w:color w:val="auto"/>
                    </w:rPr>
                    <w:t>。属于非危险品，化学性质稳定。</w:t>
                  </w:r>
                  <w:r>
                    <w:rPr>
                      <w:rFonts w:hint="eastAsia" w:ascii="Times New Roman" w:hAnsi="Times New Roman" w:eastAsia="宋体" w:cs="Times New Roman"/>
                      <w:color w:val="auto"/>
                      <w:lang w:val="en-US" w:eastAsia="zh-CN"/>
                    </w:rPr>
                    <w:t>根据《低挥发性有机化合物含量涂料产品技术要求》（GB/T 38597-2020）8.1粉末涂料、无机建筑涂料（含建筑无机粉体涂装材料）、建筑用有机粉体涂料产品中VOC含量通常很少，属于低挥发性有机化合物含量涂料产品</w:t>
                  </w:r>
                  <w:r>
                    <w:rPr>
                      <w:rFonts w:hint="eastAsia" w:ascii="Times New Roman" w:hAnsi="Times New Roman" w:eastAsia="宋体" w:cs="Times New Roman"/>
                      <w:color w:val="auto"/>
                      <w:lang w:eastAsia="zh-CN"/>
                    </w:rPr>
                    <w:t>。</w:t>
                  </w:r>
                </w:p>
              </w:tc>
            </w:tr>
            <w:tr w14:paraId="605528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265" w:type="pct"/>
                  <w:vAlign w:val="center"/>
                </w:tcPr>
                <w:p w14:paraId="0E7B5BD2">
                  <w:pPr>
                    <w:pStyle w:val="70"/>
                    <w:widowControl/>
                    <w:numPr>
                      <w:ilvl w:val="0"/>
                      <w:numId w:val="0"/>
                    </w:numPr>
                    <w:ind w:left="420" w:leftChars="0" w:hanging="420" w:firstLineChars="0"/>
                    <w:rPr>
                      <w:color w:val="auto"/>
                    </w:rPr>
                  </w:pPr>
                  <w:r>
                    <w:rPr>
                      <w:rFonts w:ascii="Times New Roman" w:hAnsi="Times New Roman" w:eastAsia="宋体" w:cs="Times New Roman"/>
                      <w:color w:val="auto"/>
                      <w:kern w:val="2"/>
                      <w:sz w:val="21"/>
                      <w:szCs w:val="21"/>
                      <w:lang w:val="zh-CN" w:eastAsia="zh-CN" w:bidi="ar-SA"/>
                    </w:rPr>
                    <w:t>3</w:t>
                  </w:r>
                </w:p>
              </w:tc>
              <w:tc>
                <w:tcPr>
                  <w:tcW w:w="997" w:type="pct"/>
                  <w:vAlign w:val="center"/>
                </w:tcPr>
                <w:p w14:paraId="79F36FCB">
                  <w:pPr>
                    <w:pStyle w:val="70"/>
                    <w:rPr>
                      <w:color w:val="auto"/>
                    </w:rPr>
                  </w:pPr>
                  <w:r>
                    <w:rPr>
                      <w:color w:val="auto"/>
                      <w:kern w:val="0"/>
                    </w:rPr>
                    <w:t>除油剂</w:t>
                  </w:r>
                </w:p>
              </w:tc>
              <w:tc>
                <w:tcPr>
                  <w:tcW w:w="3737" w:type="pct"/>
                  <w:tcBorders>
                    <w:right w:val="single" w:color="auto" w:sz="4" w:space="0"/>
                  </w:tcBorders>
                  <w:vAlign w:val="center"/>
                </w:tcPr>
                <w:p w14:paraId="26A9DE0E">
                  <w:pPr>
                    <w:pStyle w:val="70"/>
                    <w:rPr>
                      <w:color w:val="auto"/>
                    </w:rPr>
                  </w:pPr>
                  <w:r>
                    <w:rPr>
                      <w:color w:val="auto"/>
                    </w:rPr>
                    <w:t>除油剂：</w:t>
                  </w:r>
                  <w:r>
                    <w:rPr>
                      <w:rStyle w:val="45"/>
                      <w:rFonts w:hint="eastAsia"/>
                      <w:color w:val="auto"/>
                    </w:rPr>
                    <w:t>主要成分为平平加（聚氧乙烯脂肪醇醚）25%、硅酸钠 10%、AES (丙烯腈 -EPDM 橡胶-苯乙烯共聚物) 20%、6501（椰子油脂肪酸二乙醇酰胺）20%、渗透剂</w:t>
                  </w:r>
                  <w:r>
                    <w:rPr>
                      <w:rStyle w:val="45"/>
                      <w:rFonts w:hint="eastAsia"/>
                      <w:color w:val="auto"/>
                      <w:lang w:eastAsia="zh-CN"/>
                    </w:rPr>
                    <w:t>（</w:t>
                  </w:r>
                  <w:r>
                    <w:rPr>
                      <w:rStyle w:val="45"/>
                      <w:rFonts w:hint="eastAsia"/>
                      <w:color w:val="auto"/>
                      <w:lang w:val="en-US" w:eastAsia="zh-CN"/>
                    </w:rPr>
                    <w:t>表面活性剂、</w:t>
                  </w:r>
                  <w:r>
                    <w:rPr>
                      <w:rFonts w:ascii="Arial" w:hAnsi="Arial" w:eastAsia="宋体" w:cs="Arial"/>
                      <w:i w:val="0"/>
                      <w:iCs w:val="0"/>
                      <w:caps w:val="0"/>
                      <w:color w:val="auto"/>
                      <w:spacing w:val="0"/>
                      <w:sz w:val="21"/>
                      <w:szCs w:val="21"/>
                      <w:shd w:val="clear" w:fill="FFFFFF"/>
                    </w:rPr>
                    <w:t>二乙醇胺</w:t>
                  </w:r>
                  <w:r>
                    <w:rPr>
                      <w:rFonts w:hint="eastAsia" w:ascii="Arial" w:hAnsi="Arial" w:eastAsia="宋体" w:cs="Arial"/>
                      <w:i w:val="0"/>
                      <w:iCs w:val="0"/>
                      <w:caps w:val="0"/>
                      <w:color w:val="auto"/>
                      <w:spacing w:val="0"/>
                      <w:sz w:val="21"/>
                      <w:szCs w:val="21"/>
                      <w:shd w:val="clear" w:fill="FFFFFF"/>
                      <w:lang w:eastAsia="zh-CN"/>
                    </w:rPr>
                    <w:t>、</w:t>
                  </w:r>
                  <w:r>
                    <w:rPr>
                      <w:rFonts w:ascii="Arial" w:hAnsi="Arial" w:eastAsia="宋体" w:cs="Arial"/>
                      <w:i w:val="0"/>
                      <w:iCs w:val="0"/>
                      <w:caps w:val="0"/>
                      <w:color w:val="auto"/>
                      <w:spacing w:val="0"/>
                      <w:sz w:val="21"/>
                      <w:szCs w:val="21"/>
                      <w:shd w:val="clear" w:fill="FFFFFF"/>
                    </w:rPr>
                    <w:t>二乙二醇</w:t>
                  </w:r>
                  <w:r>
                    <w:rPr>
                      <w:rStyle w:val="45"/>
                      <w:rFonts w:hint="eastAsia"/>
                      <w:color w:val="auto"/>
                      <w:lang w:val="en-US" w:eastAsia="zh-CN"/>
                    </w:rPr>
                    <w:t>等</w:t>
                  </w:r>
                  <w:r>
                    <w:rPr>
                      <w:rStyle w:val="45"/>
                      <w:rFonts w:hint="eastAsia"/>
                      <w:color w:val="auto"/>
                      <w:lang w:eastAsia="zh-CN"/>
                    </w:rPr>
                    <w:t>）</w:t>
                  </w:r>
                  <w:r>
                    <w:rPr>
                      <w:rStyle w:val="45"/>
                      <w:rFonts w:hint="eastAsia"/>
                      <w:color w:val="auto"/>
                    </w:rPr>
                    <w:t xml:space="preserve"> 15%、 水 10%。pH 值为 9-10，淡黄</w:t>
                  </w:r>
                  <w:r>
                    <w:rPr>
                      <w:rStyle w:val="45"/>
                      <w:rFonts w:hint="eastAsia"/>
                      <w:color w:val="auto"/>
                      <w:lang w:eastAsia="zh-CN"/>
                    </w:rPr>
                    <w:t>色</w:t>
                  </w:r>
                  <w:r>
                    <w:rPr>
                      <w:rStyle w:val="45"/>
                      <w:rFonts w:hint="eastAsia"/>
                      <w:color w:val="auto"/>
                    </w:rPr>
                    <w:t>轻微</w:t>
                  </w:r>
                  <w:r>
                    <w:rPr>
                      <w:rStyle w:val="45"/>
                      <w:rFonts w:hint="eastAsia"/>
                      <w:color w:val="auto"/>
                      <w:lang w:eastAsia="zh-CN"/>
                    </w:rPr>
                    <w:t>黏稠</w:t>
                  </w:r>
                  <w:r>
                    <w:rPr>
                      <w:rStyle w:val="45"/>
                      <w:rFonts w:hint="eastAsia"/>
                      <w:color w:val="auto"/>
                    </w:rPr>
                    <w:t>性液体，沸点(℃)：110℃ ，相对密度(水=1)：1.16，与水混溶。</w:t>
                  </w:r>
                </w:p>
              </w:tc>
            </w:tr>
            <w:tr w14:paraId="187D8C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5" w:type="pct"/>
                  <w:vAlign w:val="center"/>
                </w:tcPr>
                <w:p w14:paraId="49AECB72">
                  <w:pPr>
                    <w:pStyle w:val="70"/>
                    <w:widowControl/>
                    <w:numPr>
                      <w:ilvl w:val="0"/>
                      <w:numId w:val="0"/>
                    </w:numPr>
                    <w:ind w:left="420" w:leftChars="0" w:hanging="420" w:firstLineChars="0"/>
                    <w:rPr>
                      <w:color w:val="auto"/>
                    </w:rPr>
                  </w:pPr>
                  <w:r>
                    <w:rPr>
                      <w:rFonts w:ascii="Times New Roman" w:hAnsi="Times New Roman" w:eastAsia="宋体" w:cs="Times New Roman"/>
                      <w:color w:val="auto"/>
                      <w:kern w:val="2"/>
                      <w:sz w:val="21"/>
                      <w:szCs w:val="21"/>
                      <w:lang w:val="zh-CN" w:eastAsia="zh-CN" w:bidi="ar-SA"/>
                    </w:rPr>
                    <w:t>4</w:t>
                  </w:r>
                </w:p>
              </w:tc>
              <w:tc>
                <w:tcPr>
                  <w:tcW w:w="997" w:type="pct"/>
                  <w:vAlign w:val="center"/>
                </w:tcPr>
                <w:p w14:paraId="4A439ED2">
                  <w:pPr>
                    <w:pStyle w:val="70"/>
                    <w:rPr>
                      <w:color w:val="auto"/>
                      <w:lang w:val="en-US"/>
                    </w:rPr>
                  </w:pPr>
                  <w:r>
                    <w:rPr>
                      <w:rFonts w:hint="eastAsia"/>
                      <w:color w:val="auto"/>
                      <w:lang w:val="en-US"/>
                    </w:rPr>
                    <w:t>陶化剂</w:t>
                  </w:r>
                </w:p>
              </w:tc>
              <w:tc>
                <w:tcPr>
                  <w:tcW w:w="3737" w:type="pct"/>
                  <w:tcBorders>
                    <w:right w:val="single" w:color="auto" w:sz="4" w:space="0"/>
                  </w:tcBorders>
                  <w:vAlign w:val="center"/>
                </w:tcPr>
                <w:p w14:paraId="221C4356">
                  <w:pPr>
                    <w:pStyle w:val="70"/>
                    <w:rPr>
                      <w:color w:val="auto"/>
                      <w:lang w:val="en-US"/>
                    </w:rPr>
                  </w:pPr>
                  <w:r>
                    <w:rPr>
                      <w:rStyle w:val="45"/>
                      <w:rFonts w:hint="eastAsia"/>
                      <w:color w:val="auto"/>
                    </w:rPr>
                    <w:t>硅烷（18%），缓冲剂（六亚甲基四胺</w:t>
                  </w:r>
                  <w:r>
                    <w:rPr>
                      <w:rStyle w:val="45"/>
                      <w:rFonts w:hint="eastAsia"/>
                      <w:color w:val="auto"/>
                      <w:lang w:eastAsia="zh-CN"/>
                    </w:rPr>
                    <w:t>，</w:t>
                  </w:r>
                  <w:r>
                    <w:rPr>
                      <w:rStyle w:val="45"/>
                      <w:rFonts w:hint="eastAsia"/>
                      <w:color w:val="auto"/>
                    </w:rPr>
                    <w:t>11.5%），防锈剂（主要为柠檬酸钠和亚硫酸钠）（6%），络合剂（</w:t>
                  </w:r>
                  <w:r>
                    <w:rPr>
                      <w:rStyle w:val="45"/>
                      <w:rFonts w:hint="eastAsia"/>
                      <w:color w:val="auto"/>
                      <w:lang w:val="en-US" w:eastAsia="zh-CN"/>
                    </w:rPr>
                    <w:t>酒石酸，</w:t>
                  </w:r>
                  <w:r>
                    <w:rPr>
                      <w:rStyle w:val="45"/>
                      <w:rFonts w:hint="eastAsia"/>
                      <w:color w:val="auto"/>
                    </w:rPr>
                    <w:t>1.5%），其余为水，</w:t>
                  </w:r>
                  <w:r>
                    <w:rPr>
                      <w:rStyle w:val="45"/>
                      <w:rFonts w:hint="eastAsia"/>
                      <w:color w:val="auto"/>
                      <w:lang w:eastAsia="zh-CN"/>
                    </w:rPr>
                    <w:t>pH值</w:t>
                  </w:r>
                  <w:r>
                    <w:rPr>
                      <w:rStyle w:val="45"/>
                      <w:rFonts w:hint="eastAsia"/>
                      <w:color w:val="auto"/>
                    </w:rPr>
                    <w:t>为7.0-7.5。制品的用途：皮膜增强附着力和防止氧化。不含有一类重金属。转化膜生成过程中无需加热，槽液中无沉渣产生。</w:t>
                  </w:r>
                </w:p>
              </w:tc>
            </w:tr>
            <w:tr w14:paraId="04F458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5" w:type="pct"/>
                  <w:vAlign w:val="center"/>
                </w:tcPr>
                <w:p w14:paraId="7B1BBA9C">
                  <w:pPr>
                    <w:pStyle w:val="70"/>
                    <w:widowControl/>
                    <w:numPr>
                      <w:ilvl w:val="0"/>
                      <w:numId w:val="0"/>
                    </w:numPr>
                    <w:ind w:left="0" w:leftChars="0" w:firstLine="0" w:firstLineChars="0"/>
                    <w:rPr>
                      <w:color w:val="auto"/>
                    </w:rPr>
                  </w:pPr>
                  <w:r>
                    <w:rPr>
                      <w:rFonts w:hint="eastAsia"/>
                      <w:color w:val="auto"/>
                      <w:lang w:val="en-US" w:eastAsia="zh-CN"/>
                    </w:rPr>
                    <w:t>5</w:t>
                  </w:r>
                </w:p>
              </w:tc>
              <w:tc>
                <w:tcPr>
                  <w:tcW w:w="997" w:type="pct"/>
                  <w:vAlign w:val="center"/>
                </w:tcPr>
                <w:p w14:paraId="762CCC62">
                  <w:pPr>
                    <w:pStyle w:val="70"/>
                    <w:rPr>
                      <w:color w:val="auto"/>
                    </w:rPr>
                  </w:pPr>
                  <w:r>
                    <w:rPr>
                      <w:color w:val="auto"/>
                    </w:rPr>
                    <w:t>润滑油</w:t>
                  </w:r>
                </w:p>
              </w:tc>
              <w:tc>
                <w:tcPr>
                  <w:tcW w:w="3737" w:type="pct"/>
                  <w:tcBorders>
                    <w:right w:val="single" w:color="auto" w:sz="4" w:space="0"/>
                  </w:tcBorders>
                  <w:vAlign w:val="center"/>
                </w:tcPr>
                <w:p w14:paraId="17AA9851">
                  <w:pPr>
                    <w:pStyle w:val="70"/>
                    <w:rPr>
                      <w:color w:val="auto"/>
                    </w:rPr>
                  </w:pPr>
                  <w:r>
                    <w:rPr>
                      <w:rFonts w:hint="eastAsia"/>
                      <w:color w:val="auto"/>
                    </w:rPr>
                    <w:t>即发动机润滑油。密度约为0.91g/</w:t>
                  </w:r>
                  <w:r>
                    <w:rPr>
                      <w:rFonts w:hint="eastAsia"/>
                      <w:color w:val="auto"/>
                      <w:lang w:val="en-US" w:eastAsia="zh-CN"/>
                    </w:rPr>
                    <w:t>c</w:t>
                  </w:r>
                  <w:r>
                    <w:rPr>
                      <w:rFonts w:hint="eastAsia"/>
                      <w:color w:val="auto"/>
                    </w:rPr>
                    <w:t>m³</w:t>
                  </w:r>
                  <w:r>
                    <w:rPr>
                      <w:rFonts w:hint="eastAsia"/>
                      <w:color w:val="auto"/>
                      <w:lang w:eastAsia="zh-CN"/>
                    </w:rPr>
                    <w:t>，</w:t>
                  </w:r>
                  <w:r>
                    <w:rPr>
                      <w:rFonts w:hint="eastAsia"/>
                      <w:color w:val="auto"/>
                    </w:rPr>
                    <w:t>能对发动机起到润滑减磨、辅助冷却降温、密封防漏、防锈防蚀、减震缓冲等作用。由基础油和添加剂两部分组成。基础油是润滑油的主要成分，决定着润滑油的基本性质，添加剂则可弥补和改善基础油性能方面的不足，赋予某些新的性能，是润滑油的重要组成部分。</w:t>
                  </w:r>
                </w:p>
              </w:tc>
            </w:tr>
            <w:tr w14:paraId="716636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65" w:type="pct"/>
                  <w:vAlign w:val="center"/>
                </w:tcPr>
                <w:p w14:paraId="7F809345">
                  <w:pPr>
                    <w:pStyle w:val="70"/>
                    <w:widowControl/>
                    <w:numPr>
                      <w:ilvl w:val="0"/>
                      <w:numId w:val="0"/>
                    </w:numPr>
                    <w:ind w:left="0" w:leftChars="0" w:firstLine="0" w:firstLineChars="0"/>
                    <w:rPr>
                      <w:rFonts w:hint="default"/>
                      <w:color w:val="auto"/>
                      <w:lang w:val="en-US" w:eastAsia="zh-CN"/>
                    </w:rPr>
                  </w:pPr>
                  <w:r>
                    <w:rPr>
                      <w:rFonts w:hint="eastAsia"/>
                      <w:color w:val="auto"/>
                      <w:lang w:val="en-US" w:eastAsia="zh-CN"/>
                    </w:rPr>
                    <w:t>6</w:t>
                  </w:r>
                </w:p>
              </w:tc>
              <w:tc>
                <w:tcPr>
                  <w:tcW w:w="997" w:type="pct"/>
                  <w:vAlign w:val="center"/>
                </w:tcPr>
                <w:p w14:paraId="395DA0E3">
                  <w:pPr>
                    <w:pStyle w:val="70"/>
                    <w:rPr>
                      <w:rFonts w:hint="default" w:eastAsia="宋体"/>
                      <w:color w:val="auto"/>
                      <w:lang w:val="en-US" w:eastAsia="zh-CN"/>
                    </w:rPr>
                  </w:pPr>
                  <w:r>
                    <w:rPr>
                      <w:rFonts w:hint="eastAsia"/>
                      <w:color w:val="auto"/>
                      <w:lang w:val="en-US" w:eastAsia="zh-CN"/>
                    </w:rPr>
                    <w:t>液化石油气</w:t>
                  </w:r>
                </w:p>
              </w:tc>
              <w:tc>
                <w:tcPr>
                  <w:tcW w:w="3737" w:type="pct"/>
                  <w:tcBorders>
                    <w:right w:val="single" w:color="auto" w:sz="4" w:space="0"/>
                  </w:tcBorders>
                  <w:vAlign w:val="center"/>
                </w:tcPr>
                <w:p w14:paraId="48254110">
                  <w:pPr>
                    <w:pStyle w:val="70"/>
                    <w:rPr>
                      <w:rFonts w:hint="eastAsia" w:eastAsia="宋体"/>
                      <w:color w:val="auto"/>
                      <w:lang w:eastAsia="zh-CN"/>
                    </w:rPr>
                  </w:pPr>
                  <w:r>
                    <w:rPr>
                      <w:rFonts w:hint="eastAsia"/>
                      <w:color w:val="auto"/>
                    </w:rPr>
                    <w:t>液化石油气是由碳氢化合物所组成，主要成分为丙烷、丁烷以及其他烷系或烯类等</w:t>
                  </w:r>
                  <w:r>
                    <w:rPr>
                      <w:rFonts w:hint="eastAsia"/>
                      <w:color w:val="auto"/>
                      <w:lang w:eastAsia="zh-CN"/>
                    </w:rPr>
                    <w:t>，</w:t>
                  </w:r>
                  <w:r>
                    <w:rPr>
                      <w:rFonts w:hint="eastAsia"/>
                      <w:color w:val="auto"/>
                      <w:lang w:val="en-US" w:eastAsia="zh-CN"/>
                    </w:rPr>
                    <w:t>其中丙烷加丁烷的比例超过60%</w:t>
                  </w:r>
                  <w:r>
                    <w:rPr>
                      <w:rFonts w:hint="eastAsia"/>
                      <w:color w:val="auto"/>
                      <w:lang w:eastAsia="zh-CN"/>
                    </w:rPr>
                    <w:t>。</w:t>
                  </w:r>
                  <w:r>
                    <w:rPr>
                      <w:rFonts w:hint="eastAsia"/>
                      <w:color w:val="auto"/>
                      <w:lang w:val="en-US" w:eastAsia="zh-CN"/>
                    </w:rPr>
                    <w:t>气瓶由</w:t>
                  </w:r>
                  <w:r>
                    <w:rPr>
                      <w:rFonts w:hint="eastAsia"/>
                      <w:color w:val="auto"/>
                      <w:lang w:eastAsia="zh-CN"/>
                    </w:rPr>
                    <w:t>供气单位提供，</w:t>
                  </w:r>
                  <w:r>
                    <w:rPr>
                      <w:rFonts w:hint="eastAsia"/>
                      <w:color w:val="auto"/>
                      <w:lang w:val="en-US" w:eastAsia="zh-CN"/>
                    </w:rPr>
                    <w:t>使用后</w:t>
                  </w:r>
                  <w:r>
                    <w:rPr>
                      <w:rFonts w:hint="eastAsia"/>
                      <w:color w:val="auto"/>
                      <w:lang w:eastAsia="zh-CN"/>
                    </w:rPr>
                    <w:t>回收，循环利用。</w:t>
                  </w:r>
                </w:p>
              </w:tc>
            </w:tr>
          </w:tbl>
          <w:p w14:paraId="0ECD5B95">
            <w:pPr>
              <w:pStyle w:val="14"/>
              <w:rPr>
                <w:rFonts w:hint="default" w:eastAsia="宋体"/>
                <w:b w:val="0"/>
                <w:bCs/>
                <w:color w:val="auto"/>
                <w:sz w:val="21"/>
                <w:szCs w:val="21"/>
                <w:lang w:val="en-US" w:eastAsia="zh-CN"/>
              </w:rPr>
            </w:pPr>
          </w:p>
          <w:p w14:paraId="33216B8F">
            <w:pPr>
              <w:pStyle w:val="95"/>
              <w:ind w:firstLine="422"/>
              <w:rPr>
                <w:color w:val="auto"/>
                <w:sz w:val="21"/>
                <w:szCs w:val="21"/>
              </w:rPr>
            </w:pPr>
            <w:r>
              <w:rPr>
                <w:b/>
                <w:color w:val="auto"/>
                <w:sz w:val="21"/>
                <w:szCs w:val="21"/>
              </w:rPr>
              <w:t>4</w:t>
            </w:r>
            <w:r>
              <w:rPr>
                <w:rFonts w:hint="eastAsia"/>
                <w:b/>
                <w:color w:val="auto"/>
                <w:sz w:val="21"/>
                <w:szCs w:val="21"/>
              </w:rPr>
              <w:t>、主要生产设备</w:t>
            </w:r>
          </w:p>
          <w:p w14:paraId="6C7B3751">
            <w:pPr>
              <w:pStyle w:val="9"/>
              <w:ind w:left="630" w:leftChars="0" w:firstLineChars="0"/>
              <w:rPr>
                <w:color w:val="auto"/>
                <w:szCs w:val="21"/>
              </w:rPr>
            </w:pPr>
            <w:r>
              <w:rPr>
                <w:rFonts w:hint="eastAsia"/>
                <w:color w:val="auto"/>
                <w:szCs w:val="21"/>
              </w:rPr>
              <w:t>项目主要生产设备一览表</w:t>
            </w:r>
          </w:p>
          <w:tbl>
            <w:tblPr>
              <w:tblStyle w:val="36"/>
              <w:tblW w:w="81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0"/>
              <w:gridCol w:w="433"/>
              <w:gridCol w:w="415"/>
              <w:gridCol w:w="138"/>
              <w:gridCol w:w="899"/>
              <w:gridCol w:w="2801"/>
              <w:gridCol w:w="831"/>
              <w:gridCol w:w="1065"/>
              <w:gridCol w:w="1066"/>
            </w:tblGrid>
            <w:tr w14:paraId="5C458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530" w:type="dxa"/>
                  <w:vAlign w:val="center"/>
                </w:tcPr>
                <w:p w14:paraId="3EB56FF0">
                  <w:pPr>
                    <w:pStyle w:val="70"/>
                    <w:rPr>
                      <w:color w:val="auto"/>
                    </w:rPr>
                  </w:pPr>
                  <w:r>
                    <w:rPr>
                      <w:color w:val="auto"/>
                    </w:rPr>
                    <w:t>序号</w:t>
                  </w:r>
                </w:p>
              </w:tc>
              <w:tc>
                <w:tcPr>
                  <w:tcW w:w="1885" w:type="dxa"/>
                  <w:gridSpan w:val="4"/>
                  <w:vAlign w:val="center"/>
                </w:tcPr>
                <w:p w14:paraId="4CF8612E">
                  <w:pPr>
                    <w:pStyle w:val="70"/>
                    <w:rPr>
                      <w:color w:val="auto"/>
                    </w:rPr>
                  </w:pPr>
                  <w:r>
                    <w:rPr>
                      <w:color w:val="auto"/>
                    </w:rPr>
                    <w:t>设备名称</w:t>
                  </w:r>
                </w:p>
              </w:tc>
              <w:tc>
                <w:tcPr>
                  <w:tcW w:w="2801" w:type="dxa"/>
                  <w:vAlign w:val="center"/>
                </w:tcPr>
                <w:p w14:paraId="35290DB8">
                  <w:pPr>
                    <w:pStyle w:val="70"/>
                    <w:jc w:val="center"/>
                    <w:rPr>
                      <w:rFonts w:hint="default" w:eastAsia="宋体"/>
                      <w:color w:val="auto"/>
                      <w:lang w:val="en-US" w:eastAsia="zh-CN"/>
                    </w:rPr>
                  </w:pPr>
                  <w:r>
                    <w:rPr>
                      <w:rFonts w:hint="eastAsia"/>
                      <w:color w:val="auto"/>
                    </w:rPr>
                    <w:t>设备型号</w:t>
                  </w:r>
                </w:p>
              </w:tc>
              <w:tc>
                <w:tcPr>
                  <w:tcW w:w="831" w:type="dxa"/>
                  <w:vAlign w:val="center"/>
                </w:tcPr>
                <w:p w14:paraId="3490D919">
                  <w:pPr>
                    <w:pStyle w:val="70"/>
                    <w:rPr>
                      <w:color w:val="auto"/>
                    </w:rPr>
                  </w:pPr>
                  <w:r>
                    <w:rPr>
                      <w:color w:val="auto"/>
                    </w:rPr>
                    <w:t>数量</w:t>
                  </w:r>
                </w:p>
              </w:tc>
              <w:tc>
                <w:tcPr>
                  <w:tcW w:w="1065" w:type="dxa"/>
                  <w:vAlign w:val="center"/>
                </w:tcPr>
                <w:p w14:paraId="3C054196">
                  <w:pPr>
                    <w:pStyle w:val="70"/>
                    <w:rPr>
                      <w:color w:val="auto"/>
                    </w:rPr>
                  </w:pPr>
                  <w:r>
                    <w:rPr>
                      <w:color w:val="auto"/>
                    </w:rPr>
                    <w:t>所在工序</w:t>
                  </w:r>
                </w:p>
              </w:tc>
              <w:tc>
                <w:tcPr>
                  <w:tcW w:w="1066" w:type="dxa"/>
                  <w:vAlign w:val="center"/>
                </w:tcPr>
                <w:p w14:paraId="52E1075A">
                  <w:pPr>
                    <w:pStyle w:val="70"/>
                    <w:rPr>
                      <w:rFonts w:hint="default" w:eastAsia="宋体"/>
                      <w:color w:val="auto"/>
                      <w:lang w:val="en-US" w:eastAsia="zh-CN"/>
                    </w:rPr>
                  </w:pPr>
                  <w:r>
                    <w:rPr>
                      <w:rFonts w:hint="eastAsia"/>
                      <w:color w:val="auto"/>
                      <w:lang w:val="en-US" w:eastAsia="zh-CN"/>
                    </w:rPr>
                    <w:t>能耗</w:t>
                  </w:r>
                </w:p>
              </w:tc>
            </w:tr>
            <w:tr w14:paraId="46572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restart"/>
                  <w:vAlign w:val="center"/>
                </w:tcPr>
                <w:p w14:paraId="4B5AE1C5">
                  <w:pPr>
                    <w:pStyle w:val="70"/>
                    <w:widowControl/>
                    <w:numPr>
                      <w:ilvl w:val="0"/>
                      <w:numId w:val="0"/>
                    </w:numPr>
                    <w:ind w:left="0" w:leftChars="0" w:firstLine="0" w:firstLineChars="0"/>
                    <w:rPr>
                      <w:color w:val="auto"/>
                      <w:lang w:val="en-US"/>
                    </w:rPr>
                  </w:pPr>
                  <w:r>
                    <w:rPr>
                      <w:rFonts w:hint="eastAsia"/>
                      <w:color w:val="auto"/>
                      <w:lang w:val="en-US" w:eastAsia="zh-CN"/>
                    </w:rPr>
                    <w:t>1</w:t>
                  </w:r>
                </w:p>
              </w:tc>
              <w:tc>
                <w:tcPr>
                  <w:tcW w:w="1885" w:type="dxa"/>
                  <w:gridSpan w:val="4"/>
                </w:tcPr>
                <w:p w14:paraId="164F8CBF">
                  <w:pPr>
                    <w:pStyle w:val="70"/>
                    <w:rPr>
                      <w:b/>
                      <w:color w:val="auto"/>
                      <w:lang w:val="en-US"/>
                    </w:rPr>
                  </w:pPr>
                  <w:r>
                    <w:rPr>
                      <w:rFonts w:hint="eastAsia"/>
                      <w:b/>
                      <w:color w:val="auto"/>
                      <w:lang w:val="en-US"/>
                    </w:rPr>
                    <w:t>自动线</w:t>
                  </w:r>
                </w:p>
              </w:tc>
              <w:tc>
                <w:tcPr>
                  <w:tcW w:w="2801" w:type="dxa"/>
                  <w:vAlign w:val="center"/>
                </w:tcPr>
                <w:p w14:paraId="7A71424B">
                  <w:pPr>
                    <w:pStyle w:val="70"/>
                    <w:rPr>
                      <w:rFonts w:hint="eastAsia" w:eastAsia="宋体"/>
                      <w:b/>
                      <w:color w:val="auto"/>
                      <w:lang w:val="en-US" w:eastAsia="zh-CN"/>
                    </w:rPr>
                  </w:pPr>
                  <w:r>
                    <w:rPr>
                      <w:rFonts w:hint="eastAsia"/>
                      <w:b/>
                      <w:color w:val="auto"/>
                      <w:lang w:val="en-US" w:eastAsia="zh-CN"/>
                    </w:rPr>
                    <w:t>/</w:t>
                  </w:r>
                </w:p>
              </w:tc>
              <w:tc>
                <w:tcPr>
                  <w:tcW w:w="831" w:type="dxa"/>
                  <w:vAlign w:val="center"/>
                </w:tcPr>
                <w:p w14:paraId="656410F5">
                  <w:pPr>
                    <w:pStyle w:val="70"/>
                    <w:rPr>
                      <w:b/>
                      <w:color w:val="auto"/>
                    </w:rPr>
                  </w:pPr>
                  <w:r>
                    <w:rPr>
                      <w:rFonts w:hint="eastAsia"/>
                      <w:b/>
                      <w:color w:val="auto"/>
                    </w:rPr>
                    <w:t>1条</w:t>
                  </w:r>
                </w:p>
              </w:tc>
              <w:tc>
                <w:tcPr>
                  <w:tcW w:w="1065" w:type="dxa"/>
                  <w:vAlign w:val="center"/>
                </w:tcPr>
                <w:p w14:paraId="4F44072C">
                  <w:pPr>
                    <w:pStyle w:val="70"/>
                    <w:rPr>
                      <w:b/>
                      <w:color w:val="auto"/>
                    </w:rPr>
                  </w:pPr>
                  <w:r>
                    <w:rPr>
                      <w:rFonts w:hint="eastAsia"/>
                      <w:b/>
                      <w:color w:val="auto"/>
                    </w:rPr>
                    <w:t>/</w:t>
                  </w:r>
                </w:p>
              </w:tc>
              <w:tc>
                <w:tcPr>
                  <w:tcW w:w="1066" w:type="dxa"/>
                  <w:vAlign w:val="center"/>
                </w:tcPr>
                <w:p w14:paraId="2CD94B28">
                  <w:pPr>
                    <w:pStyle w:val="70"/>
                    <w:rPr>
                      <w:rFonts w:hint="eastAsia" w:eastAsia="宋体"/>
                      <w:b/>
                      <w:color w:val="auto"/>
                      <w:lang w:val="en-US" w:eastAsia="zh-CN"/>
                    </w:rPr>
                  </w:pPr>
                  <w:r>
                    <w:rPr>
                      <w:rFonts w:hint="eastAsia"/>
                      <w:b/>
                      <w:color w:val="auto"/>
                      <w:lang w:val="en-US" w:eastAsia="zh-CN"/>
                    </w:rPr>
                    <w:t>/</w:t>
                  </w:r>
                </w:p>
              </w:tc>
            </w:tr>
            <w:tr w14:paraId="51BDE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530" w:type="dxa"/>
                  <w:vMerge w:val="continue"/>
                  <w:vAlign w:val="center"/>
                </w:tcPr>
                <w:p w14:paraId="7F4D2014">
                  <w:pPr>
                    <w:pStyle w:val="70"/>
                    <w:jc w:val="both"/>
                    <w:rPr>
                      <w:color w:val="auto"/>
                      <w:lang w:val="en-US"/>
                    </w:rPr>
                  </w:pPr>
                </w:p>
              </w:tc>
              <w:tc>
                <w:tcPr>
                  <w:tcW w:w="433" w:type="dxa"/>
                  <w:vMerge w:val="restart"/>
                  <w:vAlign w:val="center"/>
                </w:tcPr>
                <w:p w14:paraId="0600A7E8">
                  <w:pPr>
                    <w:pStyle w:val="70"/>
                    <w:jc w:val="center"/>
                    <w:rPr>
                      <w:color w:val="auto"/>
                      <w:lang w:val="en-US"/>
                    </w:rPr>
                  </w:pPr>
                  <w:r>
                    <w:rPr>
                      <w:rFonts w:hint="eastAsia"/>
                      <w:color w:val="auto"/>
                      <w:lang w:val="en-US"/>
                    </w:rPr>
                    <w:t>内含</w:t>
                  </w:r>
                </w:p>
              </w:tc>
              <w:tc>
                <w:tcPr>
                  <w:tcW w:w="1452" w:type="dxa"/>
                  <w:gridSpan w:val="3"/>
                </w:tcPr>
                <w:p w14:paraId="03D965F9">
                  <w:pPr>
                    <w:pStyle w:val="70"/>
                    <w:rPr>
                      <w:color w:val="auto"/>
                      <w:lang w:val="en-US"/>
                    </w:rPr>
                  </w:pPr>
                  <w:r>
                    <w:rPr>
                      <w:rFonts w:hint="eastAsia"/>
                      <w:color w:val="auto"/>
                      <w:lang w:val="en-US"/>
                    </w:rPr>
                    <w:t>烘干线+固化线（一体线）</w:t>
                  </w:r>
                </w:p>
              </w:tc>
              <w:tc>
                <w:tcPr>
                  <w:tcW w:w="2801" w:type="dxa"/>
                </w:tcPr>
                <w:p w14:paraId="1C75A29B">
                  <w:pPr>
                    <w:pStyle w:val="70"/>
                    <w:rPr>
                      <w:color w:val="auto"/>
                      <w:lang w:val="en-US"/>
                    </w:rPr>
                  </w:pPr>
                  <w:r>
                    <w:rPr>
                      <w:rFonts w:hint="eastAsia"/>
                      <w:color w:val="auto"/>
                      <w:lang w:val="en-US"/>
                    </w:rPr>
                    <w:t>长宽高：32</w:t>
                  </w:r>
                  <w:r>
                    <w:rPr>
                      <w:rFonts w:hint="eastAsia"/>
                      <w:color w:val="auto"/>
                      <w:lang w:val="en-US" w:eastAsia="zh-CN"/>
                    </w:rPr>
                    <w:t>（m）</w:t>
                  </w:r>
                  <w:r>
                    <w:rPr>
                      <w:color w:val="auto"/>
                      <w:lang w:val="en-US"/>
                    </w:rPr>
                    <w:t>×</w:t>
                  </w:r>
                  <w:r>
                    <w:rPr>
                      <w:rFonts w:hint="eastAsia"/>
                      <w:color w:val="auto"/>
                      <w:lang w:val="en-US"/>
                    </w:rPr>
                    <w:t>3</w:t>
                  </w:r>
                  <w:r>
                    <w:rPr>
                      <w:color w:val="auto"/>
                      <w:lang w:val="en-US"/>
                    </w:rPr>
                    <w:t>.</w:t>
                  </w:r>
                  <w:r>
                    <w:rPr>
                      <w:rFonts w:hint="eastAsia"/>
                      <w:color w:val="auto"/>
                      <w:lang w:val="en-US"/>
                    </w:rPr>
                    <w:t>25</w:t>
                  </w:r>
                  <w:r>
                    <w:rPr>
                      <w:rFonts w:hint="eastAsia"/>
                      <w:color w:val="auto"/>
                      <w:lang w:val="en-US" w:eastAsia="zh-CN"/>
                    </w:rPr>
                    <w:t>（m）</w:t>
                  </w:r>
                  <w:r>
                    <w:rPr>
                      <w:color w:val="auto"/>
                      <w:lang w:val="en-US"/>
                    </w:rPr>
                    <w:t>×</w:t>
                  </w:r>
                  <w:r>
                    <w:rPr>
                      <w:rFonts w:hint="eastAsia"/>
                      <w:color w:val="auto"/>
                      <w:lang w:val="en-US"/>
                    </w:rPr>
                    <w:t>2</w:t>
                  </w:r>
                  <w:r>
                    <w:rPr>
                      <w:color w:val="auto"/>
                      <w:lang w:val="en-US"/>
                    </w:rPr>
                    <w:t>.</w:t>
                  </w:r>
                  <w:r>
                    <w:rPr>
                      <w:rFonts w:hint="eastAsia"/>
                      <w:color w:val="auto"/>
                      <w:lang w:val="en-US"/>
                    </w:rPr>
                    <w:t>2（m），内含燃烧机一台，</w:t>
                  </w:r>
                  <w:r>
                    <w:rPr>
                      <w:rFonts w:hint="eastAsia"/>
                      <w:color w:val="auto"/>
                      <w:lang w:val="en-US" w:eastAsia="zh-CN"/>
                    </w:rPr>
                    <w:t>5</w:t>
                  </w:r>
                  <w:r>
                    <w:rPr>
                      <w:rFonts w:hint="eastAsia"/>
                      <w:color w:val="auto"/>
                      <w:lang w:val="en-US"/>
                    </w:rPr>
                    <w:t>0万大卡</w:t>
                  </w:r>
                </w:p>
              </w:tc>
              <w:tc>
                <w:tcPr>
                  <w:tcW w:w="831" w:type="dxa"/>
                  <w:vAlign w:val="center"/>
                </w:tcPr>
                <w:p w14:paraId="5A4DDB8A">
                  <w:pPr>
                    <w:pStyle w:val="70"/>
                    <w:rPr>
                      <w:color w:val="auto"/>
                    </w:rPr>
                  </w:pPr>
                  <w:r>
                    <w:rPr>
                      <w:rFonts w:hint="eastAsia"/>
                      <w:color w:val="auto"/>
                    </w:rPr>
                    <w:t>1条</w:t>
                  </w:r>
                </w:p>
              </w:tc>
              <w:tc>
                <w:tcPr>
                  <w:tcW w:w="1065" w:type="dxa"/>
                  <w:vAlign w:val="center"/>
                </w:tcPr>
                <w:p w14:paraId="6302C0C2">
                  <w:pPr>
                    <w:pStyle w:val="70"/>
                    <w:rPr>
                      <w:color w:val="auto"/>
                    </w:rPr>
                  </w:pPr>
                  <w:r>
                    <w:rPr>
                      <w:color w:val="auto"/>
                    </w:rPr>
                    <w:t>固化</w:t>
                  </w:r>
                  <w:r>
                    <w:rPr>
                      <w:rFonts w:hint="eastAsia"/>
                      <w:color w:val="auto"/>
                    </w:rPr>
                    <w:t>、</w:t>
                  </w:r>
                  <w:r>
                    <w:rPr>
                      <w:color w:val="auto"/>
                    </w:rPr>
                    <w:t>烘干</w:t>
                  </w:r>
                </w:p>
              </w:tc>
              <w:tc>
                <w:tcPr>
                  <w:tcW w:w="1066" w:type="dxa"/>
                  <w:vAlign w:val="center"/>
                </w:tcPr>
                <w:p w14:paraId="57B3F364">
                  <w:pPr>
                    <w:pStyle w:val="70"/>
                    <w:rPr>
                      <w:rFonts w:hint="default" w:eastAsia="宋体"/>
                      <w:color w:val="auto"/>
                      <w:lang w:val="en-US" w:eastAsia="zh-CN"/>
                    </w:rPr>
                  </w:pPr>
                  <w:r>
                    <w:rPr>
                      <w:rFonts w:hint="eastAsia"/>
                      <w:color w:val="auto"/>
                      <w:lang w:val="en-US" w:eastAsia="zh-CN"/>
                    </w:rPr>
                    <w:t>液化石油气</w:t>
                  </w:r>
                </w:p>
              </w:tc>
            </w:tr>
            <w:tr w14:paraId="03B08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72C900B4">
                  <w:pPr>
                    <w:pStyle w:val="70"/>
                    <w:jc w:val="both"/>
                    <w:rPr>
                      <w:color w:val="auto"/>
                      <w:lang w:val="en-US"/>
                    </w:rPr>
                  </w:pPr>
                </w:p>
              </w:tc>
              <w:tc>
                <w:tcPr>
                  <w:tcW w:w="433" w:type="dxa"/>
                  <w:vMerge w:val="continue"/>
                </w:tcPr>
                <w:p w14:paraId="03FEEB95">
                  <w:pPr>
                    <w:pStyle w:val="70"/>
                    <w:rPr>
                      <w:color w:val="auto"/>
                      <w:lang w:val="en-US"/>
                    </w:rPr>
                  </w:pPr>
                </w:p>
              </w:tc>
              <w:tc>
                <w:tcPr>
                  <w:tcW w:w="1452" w:type="dxa"/>
                  <w:gridSpan w:val="3"/>
                  <w:vAlign w:val="center"/>
                </w:tcPr>
                <w:p w14:paraId="49576919">
                  <w:pPr>
                    <w:pStyle w:val="70"/>
                    <w:jc w:val="center"/>
                    <w:rPr>
                      <w:color w:val="auto"/>
                      <w:lang w:val="en-US"/>
                    </w:rPr>
                  </w:pPr>
                  <w:r>
                    <w:rPr>
                      <w:rFonts w:hint="eastAsia"/>
                      <w:color w:val="auto"/>
                      <w:lang w:val="en-US"/>
                    </w:rPr>
                    <w:t>自动喷粉房</w:t>
                  </w:r>
                </w:p>
              </w:tc>
              <w:tc>
                <w:tcPr>
                  <w:tcW w:w="2801" w:type="dxa"/>
                  <w:vAlign w:val="center"/>
                </w:tcPr>
                <w:p w14:paraId="6CE3D7B5">
                  <w:pPr>
                    <w:pStyle w:val="70"/>
                    <w:jc w:val="center"/>
                    <w:rPr>
                      <w:rFonts w:hint="default" w:eastAsia="宋体"/>
                      <w:color w:val="auto"/>
                      <w:lang w:val="en-US" w:eastAsia="zh-CN"/>
                    </w:rPr>
                  </w:pPr>
                  <w:r>
                    <w:rPr>
                      <w:rFonts w:hint="eastAsia"/>
                      <w:color w:val="auto"/>
                      <w:lang w:val="en-US"/>
                    </w:rPr>
                    <w:t>长宽高：</w:t>
                  </w:r>
                  <w:r>
                    <w:rPr>
                      <w:color w:val="auto"/>
                      <w:lang w:val="en-US"/>
                    </w:rPr>
                    <w:t>8</w:t>
                  </w:r>
                  <w:r>
                    <w:rPr>
                      <w:rFonts w:hint="eastAsia"/>
                      <w:color w:val="auto"/>
                      <w:lang w:val="en-US" w:eastAsia="zh-CN"/>
                    </w:rPr>
                    <w:t>（m）</w:t>
                  </w:r>
                  <w:r>
                    <w:rPr>
                      <w:color w:val="auto"/>
                      <w:lang w:val="en-US"/>
                    </w:rPr>
                    <w:t>×1.22</w:t>
                  </w:r>
                  <w:r>
                    <w:rPr>
                      <w:rFonts w:hint="eastAsia"/>
                      <w:color w:val="auto"/>
                      <w:lang w:val="en-US" w:eastAsia="zh-CN"/>
                    </w:rPr>
                    <w:t>（m）</w:t>
                  </w:r>
                  <w:r>
                    <w:rPr>
                      <w:color w:val="auto"/>
                      <w:lang w:val="en-US"/>
                    </w:rPr>
                    <w:t>×2.2</w:t>
                  </w:r>
                  <w:r>
                    <w:rPr>
                      <w:rFonts w:hint="eastAsia"/>
                      <w:color w:val="auto"/>
                      <w:lang w:val="en-US"/>
                    </w:rPr>
                    <w:t>（m）</w:t>
                  </w:r>
                  <w:r>
                    <w:rPr>
                      <w:rFonts w:hint="eastAsia"/>
                      <w:color w:val="auto"/>
                      <w:lang w:eastAsia="zh-CN"/>
                    </w:rPr>
                    <w:t>，</w:t>
                  </w:r>
                  <w:r>
                    <w:rPr>
                      <w:rFonts w:hint="eastAsia"/>
                      <w:color w:val="auto"/>
                      <w:lang w:val="en-US" w:eastAsia="zh-CN"/>
                    </w:rPr>
                    <w:t>每间喷粉房内含</w:t>
                  </w:r>
                  <w:r>
                    <w:rPr>
                      <w:rFonts w:hint="eastAsia"/>
                      <w:color w:val="auto"/>
                      <w:lang w:val="en-US" w:eastAsia="zh-CN"/>
                    </w:rPr>
                    <w:t>喷粉柜1个</w:t>
                  </w:r>
                  <w:r>
                    <w:rPr>
                      <w:rFonts w:hint="eastAsia"/>
                      <w:color w:val="auto"/>
                      <w:lang w:val="en-US" w:eastAsia="zh-CN"/>
                    </w:rPr>
                    <w:t>及配套喷枪1把</w:t>
                  </w:r>
                </w:p>
              </w:tc>
              <w:tc>
                <w:tcPr>
                  <w:tcW w:w="831" w:type="dxa"/>
                  <w:vAlign w:val="center"/>
                </w:tcPr>
                <w:p w14:paraId="2435142B">
                  <w:pPr>
                    <w:pStyle w:val="70"/>
                    <w:rPr>
                      <w:rFonts w:hint="eastAsia" w:eastAsia="宋体"/>
                      <w:color w:val="auto"/>
                      <w:lang w:eastAsia="zh-CN"/>
                    </w:rPr>
                  </w:pPr>
                  <w:r>
                    <w:rPr>
                      <w:rFonts w:hint="eastAsia"/>
                      <w:color w:val="auto"/>
                      <w:lang w:val="en-US" w:eastAsia="zh-CN"/>
                    </w:rPr>
                    <w:t>3间</w:t>
                  </w:r>
                </w:p>
              </w:tc>
              <w:tc>
                <w:tcPr>
                  <w:tcW w:w="1065" w:type="dxa"/>
                  <w:vAlign w:val="center"/>
                </w:tcPr>
                <w:p w14:paraId="1C3C851A">
                  <w:pPr>
                    <w:pStyle w:val="70"/>
                    <w:rPr>
                      <w:rFonts w:hint="eastAsia" w:eastAsia="宋体"/>
                      <w:color w:val="auto"/>
                      <w:lang w:eastAsia="zh-CN"/>
                    </w:rPr>
                  </w:pPr>
                  <w:r>
                    <w:rPr>
                      <w:color w:val="auto"/>
                    </w:rPr>
                    <w:t>喷粉</w:t>
                  </w:r>
                </w:p>
              </w:tc>
              <w:tc>
                <w:tcPr>
                  <w:tcW w:w="1066" w:type="dxa"/>
                  <w:vAlign w:val="center"/>
                </w:tcPr>
                <w:p w14:paraId="7E1169A3">
                  <w:pPr>
                    <w:pStyle w:val="70"/>
                    <w:rPr>
                      <w:rFonts w:hint="eastAsia" w:eastAsia="宋体"/>
                      <w:color w:val="auto"/>
                      <w:lang w:val="en-US" w:eastAsia="zh-CN"/>
                    </w:rPr>
                  </w:pPr>
                  <w:r>
                    <w:rPr>
                      <w:rFonts w:hint="eastAsia"/>
                      <w:color w:val="auto"/>
                      <w:lang w:val="en-US" w:eastAsia="zh-CN"/>
                    </w:rPr>
                    <w:t>电能</w:t>
                  </w:r>
                </w:p>
              </w:tc>
            </w:tr>
            <w:tr w14:paraId="64B8A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6C94192A">
                  <w:pPr>
                    <w:pStyle w:val="70"/>
                    <w:jc w:val="both"/>
                    <w:rPr>
                      <w:color w:val="auto"/>
                      <w:lang w:val="en-US"/>
                    </w:rPr>
                  </w:pPr>
                </w:p>
              </w:tc>
              <w:tc>
                <w:tcPr>
                  <w:tcW w:w="433" w:type="dxa"/>
                  <w:vMerge w:val="continue"/>
                </w:tcPr>
                <w:p w14:paraId="6145BB53">
                  <w:pPr>
                    <w:pStyle w:val="70"/>
                    <w:rPr>
                      <w:color w:val="auto"/>
                      <w:lang w:val="en-US"/>
                    </w:rPr>
                  </w:pPr>
                </w:p>
              </w:tc>
              <w:tc>
                <w:tcPr>
                  <w:tcW w:w="1452" w:type="dxa"/>
                  <w:gridSpan w:val="3"/>
                  <w:vAlign w:val="center"/>
                </w:tcPr>
                <w:p w14:paraId="7D724575">
                  <w:pPr>
                    <w:pStyle w:val="70"/>
                    <w:jc w:val="center"/>
                    <w:rPr>
                      <w:color w:val="auto"/>
                      <w:lang w:val="en-US"/>
                    </w:rPr>
                  </w:pPr>
                  <w:r>
                    <w:rPr>
                      <w:rFonts w:hint="eastAsia"/>
                      <w:color w:val="auto"/>
                      <w:lang w:val="en-US"/>
                    </w:rPr>
                    <w:t>自动前处理线</w:t>
                  </w:r>
                </w:p>
              </w:tc>
              <w:tc>
                <w:tcPr>
                  <w:tcW w:w="2801" w:type="dxa"/>
                  <w:vAlign w:val="center"/>
                </w:tcPr>
                <w:p w14:paraId="3BCFD1FC">
                  <w:pPr>
                    <w:pStyle w:val="70"/>
                    <w:jc w:val="center"/>
                    <w:rPr>
                      <w:rFonts w:hint="default" w:eastAsia="宋体"/>
                      <w:color w:val="auto"/>
                      <w:lang w:val="en-US" w:eastAsia="zh-CN"/>
                    </w:rPr>
                  </w:pPr>
                  <w:r>
                    <w:rPr>
                      <w:rFonts w:hint="eastAsia"/>
                      <w:color w:val="auto"/>
                      <w:lang w:val="en-US"/>
                    </w:rPr>
                    <w:t>长宽高：</w:t>
                  </w:r>
                  <w:r>
                    <w:rPr>
                      <w:rFonts w:hint="eastAsia"/>
                      <w:color w:val="auto"/>
                      <w:lang w:val="en-US" w:eastAsia="zh-CN"/>
                    </w:rPr>
                    <w:t>35</w:t>
                  </w:r>
                  <w:r>
                    <w:rPr>
                      <w:rFonts w:hint="eastAsia"/>
                      <w:color w:val="auto"/>
                      <w:lang w:val="en-US" w:eastAsia="zh-CN"/>
                    </w:rPr>
                    <w:t>（m）</w:t>
                  </w:r>
                  <w:r>
                    <w:rPr>
                      <w:rFonts w:hint="eastAsia"/>
                      <w:color w:val="auto"/>
                      <w:lang w:val="en-US" w:eastAsia="zh-CN"/>
                    </w:rPr>
                    <w:t>×1.2</w:t>
                  </w:r>
                  <w:r>
                    <w:rPr>
                      <w:rFonts w:hint="eastAsia"/>
                      <w:color w:val="auto"/>
                      <w:lang w:val="en-US" w:eastAsia="zh-CN"/>
                    </w:rPr>
                    <w:t>（m）</w:t>
                  </w:r>
                  <w:r>
                    <w:rPr>
                      <w:rFonts w:hint="eastAsia"/>
                      <w:color w:val="auto"/>
                      <w:lang w:val="en-US" w:eastAsia="zh-CN"/>
                    </w:rPr>
                    <w:t>×2.5（m）</w:t>
                  </w:r>
                </w:p>
              </w:tc>
              <w:tc>
                <w:tcPr>
                  <w:tcW w:w="831" w:type="dxa"/>
                  <w:vAlign w:val="center"/>
                </w:tcPr>
                <w:p w14:paraId="2AAD6F37">
                  <w:pPr>
                    <w:pStyle w:val="70"/>
                    <w:rPr>
                      <w:color w:val="auto"/>
                    </w:rPr>
                  </w:pPr>
                  <w:r>
                    <w:rPr>
                      <w:rFonts w:hint="eastAsia"/>
                      <w:color w:val="auto"/>
                    </w:rPr>
                    <w:t>1条</w:t>
                  </w:r>
                </w:p>
              </w:tc>
              <w:tc>
                <w:tcPr>
                  <w:tcW w:w="1065" w:type="dxa"/>
                  <w:vAlign w:val="center"/>
                </w:tcPr>
                <w:p w14:paraId="18DFCB8B">
                  <w:pPr>
                    <w:pStyle w:val="70"/>
                    <w:rPr>
                      <w:rFonts w:hint="default" w:eastAsia="宋体"/>
                      <w:color w:val="auto"/>
                      <w:lang w:val="en-US" w:eastAsia="zh-CN"/>
                    </w:rPr>
                  </w:pPr>
                  <w:r>
                    <w:rPr>
                      <w:rFonts w:hint="eastAsia"/>
                      <w:color w:val="auto"/>
                      <w:lang w:val="en-US" w:eastAsia="zh-CN"/>
                    </w:rPr>
                    <w:t>除油、水洗、陶化</w:t>
                  </w:r>
                </w:p>
              </w:tc>
              <w:tc>
                <w:tcPr>
                  <w:tcW w:w="1066" w:type="dxa"/>
                  <w:vAlign w:val="center"/>
                </w:tcPr>
                <w:p w14:paraId="554BB7EB">
                  <w:pPr>
                    <w:pStyle w:val="70"/>
                    <w:rPr>
                      <w:rFonts w:hint="eastAsia" w:eastAsia="宋体"/>
                      <w:color w:val="auto"/>
                      <w:lang w:val="en-US" w:eastAsia="zh-CN"/>
                    </w:rPr>
                  </w:pPr>
                  <w:r>
                    <w:rPr>
                      <w:rFonts w:hint="eastAsia"/>
                      <w:color w:val="auto"/>
                      <w:lang w:val="en-US" w:eastAsia="zh-CN"/>
                    </w:rPr>
                    <w:t>电能</w:t>
                  </w:r>
                </w:p>
              </w:tc>
            </w:tr>
            <w:tr w14:paraId="0ABC7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7A179D05">
                  <w:pPr>
                    <w:pStyle w:val="70"/>
                    <w:jc w:val="both"/>
                    <w:rPr>
                      <w:color w:val="auto"/>
                      <w:lang w:val="en-US"/>
                    </w:rPr>
                  </w:pPr>
                </w:p>
              </w:tc>
              <w:tc>
                <w:tcPr>
                  <w:tcW w:w="433" w:type="dxa"/>
                  <w:vMerge w:val="continue"/>
                </w:tcPr>
                <w:p w14:paraId="31201BBA">
                  <w:pPr>
                    <w:pStyle w:val="70"/>
                    <w:rPr>
                      <w:color w:val="auto"/>
                      <w:lang w:val="en-US"/>
                    </w:rPr>
                  </w:pPr>
                </w:p>
              </w:tc>
              <w:tc>
                <w:tcPr>
                  <w:tcW w:w="415" w:type="dxa"/>
                  <w:vMerge w:val="restart"/>
                  <w:vAlign w:val="center"/>
                </w:tcPr>
                <w:p w14:paraId="1C8063D1">
                  <w:pPr>
                    <w:pStyle w:val="70"/>
                    <w:jc w:val="center"/>
                    <w:rPr>
                      <w:color w:val="auto"/>
                      <w:lang w:val="en-US"/>
                    </w:rPr>
                  </w:pPr>
                  <w:r>
                    <w:rPr>
                      <w:rFonts w:hint="eastAsia"/>
                      <w:color w:val="auto"/>
                      <w:lang w:val="en-US"/>
                    </w:rPr>
                    <w:t>内含</w:t>
                  </w:r>
                </w:p>
              </w:tc>
              <w:tc>
                <w:tcPr>
                  <w:tcW w:w="1037" w:type="dxa"/>
                  <w:gridSpan w:val="2"/>
                  <w:vAlign w:val="center"/>
                </w:tcPr>
                <w:p w14:paraId="2FCF6932">
                  <w:pPr>
                    <w:pStyle w:val="70"/>
                    <w:jc w:val="center"/>
                    <w:rPr>
                      <w:color w:val="auto"/>
                      <w:lang w:val="en-US"/>
                    </w:rPr>
                  </w:pPr>
                  <w:r>
                    <w:rPr>
                      <w:rFonts w:hint="eastAsia"/>
                      <w:color w:val="auto"/>
                      <w:lang w:val="en-US"/>
                    </w:rPr>
                    <w:t>预除油池1</w:t>
                  </w:r>
                </w:p>
              </w:tc>
              <w:tc>
                <w:tcPr>
                  <w:tcW w:w="2801" w:type="dxa"/>
                  <w:vAlign w:val="center"/>
                </w:tcPr>
                <w:p w14:paraId="3552039D">
                  <w:pPr>
                    <w:pStyle w:val="70"/>
                    <w:jc w:val="center"/>
                    <w:rPr>
                      <w:color w:val="auto"/>
                      <w:lang w:val="en-US"/>
                    </w:rPr>
                  </w:pPr>
                  <w:r>
                    <w:rPr>
                      <w:rFonts w:hint="eastAsia"/>
                      <w:color w:val="auto"/>
                      <w:lang w:val="en-US"/>
                    </w:rPr>
                    <w:t>长宽高：</w:t>
                  </w:r>
                  <w:r>
                    <w:rPr>
                      <w:rFonts w:hint="eastAsia"/>
                      <w:color w:val="auto"/>
                      <w:lang w:val="en-US" w:eastAsia="zh-CN"/>
                    </w:rPr>
                    <w:t>2（m）</w:t>
                  </w:r>
                  <w:r>
                    <w:rPr>
                      <w:color w:val="auto"/>
                      <w:lang w:val="en-US"/>
                    </w:rPr>
                    <w:t>×1</w:t>
                  </w:r>
                  <w:r>
                    <w:rPr>
                      <w:rFonts w:hint="eastAsia"/>
                      <w:color w:val="auto"/>
                      <w:lang w:val="en-US" w:eastAsia="zh-CN"/>
                    </w:rPr>
                    <w:t>（m）</w:t>
                  </w:r>
                  <w:r>
                    <w:rPr>
                      <w:color w:val="auto"/>
                      <w:lang w:val="en-US"/>
                    </w:rPr>
                    <w:t>×</w:t>
                  </w:r>
                  <w:r>
                    <w:rPr>
                      <w:rFonts w:hint="eastAsia"/>
                      <w:color w:val="auto"/>
                      <w:lang w:val="en-US" w:eastAsia="zh-CN"/>
                    </w:rPr>
                    <w:t>0.6</w:t>
                  </w:r>
                  <w:r>
                    <w:rPr>
                      <w:rFonts w:hint="eastAsia"/>
                      <w:color w:val="auto"/>
                      <w:lang w:val="en-US"/>
                    </w:rPr>
                    <w:t>（m），</w:t>
                  </w:r>
                  <w:r>
                    <w:rPr>
                      <w:rFonts w:hint="eastAsia"/>
                      <w:color w:val="auto"/>
                      <w:lang w:val="en-US" w:eastAsia="zh-CN"/>
                    </w:rPr>
                    <w:t>有效水深为0.5m，</w:t>
                  </w:r>
                </w:p>
                <w:p w14:paraId="47DD21C2">
                  <w:pPr>
                    <w:pStyle w:val="70"/>
                    <w:jc w:val="center"/>
                    <w:rPr>
                      <w:color w:val="auto"/>
                      <w:lang w:val="en-US"/>
                    </w:rPr>
                  </w:pPr>
                  <w:r>
                    <w:rPr>
                      <w:rFonts w:hint="eastAsia"/>
                      <w:color w:val="auto"/>
                      <w:lang w:val="en-US"/>
                    </w:rPr>
                    <w:t>有效容积</w:t>
                  </w:r>
                  <w:r>
                    <w:rPr>
                      <w:rFonts w:hint="eastAsia"/>
                      <w:color w:val="auto"/>
                      <w:lang w:val="en-US" w:eastAsia="zh-CN"/>
                    </w:rPr>
                    <w:t>1</w:t>
                  </w:r>
                  <w:r>
                    <w:rPr>
                      <w:color w:val="auto"/>
                      <w:lang w:val="en-US"/>
                    </w:rPr>
                    <w:t>m³</w:t>
                  </w:r>
                </w:p>
              </w:tc>
              <w:tc>
                <w:tcPr>
                  <w:tcW w:w="831" w:type="dxa"/>
                  <w:vAlign w:val="center"/>
                </w:tcPr>
                <w:p w14:paraId="55B6A782">
                  <w:pPr>
                    <w:pStyle w:val="70"/>
                    <w:rPr>
                      <w:color w:val="auto"/>
                    </w:rPr>
                  </w:pPr>
                  <w:r>
                    <w:rPr>
                      <w:rFonts w:hint="eastAsia"/>
                      <w:color w:val="auto"/>
                    </w:rPr>
                    <w:t>1个</w:t>
                  </w:r>
                </w:p>
              </w:tc>
              <w:tc>
                <w:tcPr>
                  <w:tcW w:w="1065" w:type="dxa"/>
                  <w:vAlign w:val="center"/>
                </w:tcPr>
                <w:p w14:paraId="6AC27781">
                  <w:pPr>
                    <w:pStyle w:val="70"/>
                    <w:rPr>
                      <w:color w:val="auto"/>
                    </w:rPr>
                  </w:pPr>
                  <w:r>
                    <w:rPr>
                      <w:color w:val="auto"/>
                    </w:rPr>
                    <w:t>预除油</w:t>
                  </w:r>
                  <w:r>
                    <w:rPr>
                      <w:rFonts w:hint="eastAsia"/>
                      <w:color w:val="auto"/>
                    </w:rPr>
                    <w:t>1</w:t>
                  </w:r>
                </w:p>
              </w:tc>
              <w:tc>
                <w:tcPr>
                  <w:tcW w:w="1066" w:type="dxa"/>
                  <w:vAlign w:val="center"/>
                </w:tcPr>
                <w:p w14:paraId="34DA8CBE">
                  <w:pPr>
                    <w:pStyle w:val="70"/>
                    <w:rPr>
                      <w:rFonts w:hint="eastAsia" w:eastAsia="宋体"/>
                      <w:color w:val="auto"/>
                      <w:lang w:val="en-US" w:eastAsia="zh-CN"/>
                    </w:rPr>
                  </w:pPr>
                  <w:r>
                    <w:rPr>
                      <w:rFonts w:hint="eastAsia"/>
                      <w:color w:val="auto"/>
                      <w:lang w:val="en-US" w:eastAsia="zh-CN"/>
                    </w:rPr>
                    <w:t>/</w:t>
                  </w:r>
                </w:p>
              </w:tc>
            </w:tr>
            <w:tr w14:paraId="141D0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108C2EBD">
                  <w:pPr>
                    <w:pStyle w:val="70"/>
                    <w:jc w:val="both"/>
                    <w:rPr>
                      <w:color w:val="auto"/>
                      <w:lang w:val="en-US"/>
                    </w:rPr>
                  </w:pPr>
                </w:p>
              </w:tc>
              <w:tc>
                <w:tcPr>
                  <w:tcW w:w="433" w:type="dxa"/>
                  <w:vMerge w:val="continue"/>
                </w:tcPr>
                <w:p w14:paraId="23F57054">
                  <w:pPr>
                    <w:pStyle w:val="70"/>
                    <w:rPr>
                      <w:color w:val="auto"/>
                      <w:lang w:val="en-US"/>
                    </w:rPr>
                  </w:pPr>
                </w:p>
              </w:tc>
              <w:tc>
                <w:tcPr>
                  <w:tcW w:w="415" w:type="dxa"/>
                  <w:vMerge w:val="continue"/>
                </w:tcPr>
                <w:p w14:paraId="45ACDAA3">
                  <w:pPr>
                    <w:pStyle w:val="70"/>
                    <w:rPr>
                      <w:color w:val="auto"/>
                      <w:lang w:val="en-US"/>
                    </w:rPr>
                  </w:pPr>
                </w:p>
              </w:tc>
              <w:tc>
                <w:tcPr>
                  <w:tcW w:w="1037" w:type="dxa"/>
                  <w:gridSpan w:val="2"/>
                  <w:vAlign w:val="center"/>
                </w:tcPr>
                <w:p w14:paraId="35D507D5">
                  <w:pPr>
                    <w:pStyle w:val="70"/>
                    <w:jc w:val="center"/>
                    <w:rPr>
                      <w:color w:val="auto"/>
                      <w:lang w:val="en-US"/>
                    </w:rPr>
                  </w:pPr>
                  <w:r>
                    <w:rPr>
                      <w:rFonts w:hint="eastAsia"/>
                      <w:color w:val="auto"/>
                      <w:lang w:val="en-US"/>
                    </w:rPr>
                    <w:t>主除油池1</w:t>
                  </w:r>
                </w:p>
              </w:tc>
              <w:tc>
                <w:tcPr>
                  <w:tcW w:w="2801" w:type="dxa"/>
                  <w:vAlign w:val="center"/>
                </w:tcPr>
                <w:p w14:paraId="5DE12BEC">
                  <w:pPr>
                    <w:pStyle w:val="70"/>
                    <w:jc w:val="center"/>
                    <w:rPr>
                      <w:color w:val="auto"/>
                      <w:lang w:val="en-US"/>
                    </w:rPr>
                  </w:pPr>
                  <w:r>
                    <w:rPr>
                      <w:rFonts w:hint="eastAsia"/>
                      <w:color w:val="auto"/>
                      <w:lang w:val="en-US"/>
                    </w:rPr>
                    <w:t>长宽高：</w:t>
                  </w:r>
                  <w:r>
                    <w:rPr>
                      <w:color w:val="auto"/>
                      <w:lang w:val="en-US"/>
                    </w:rPr>
                    <w:t>2</w:t>
                  </w:r>
                  <w:r>
                    <w:rPr>
                      <w:rFonts w:hint="eastAsia"/>
                      <w:color w:val="auto"/>
                      <w:lang w:val="en-US" w:eastAsia="zh-CN"/>
                    </w:rPr>
                    <w:t>（m）</w:t>
                  </w:r>
                  <w:r>
                    <w:rPr>
                      <w:color w:val="auto"/>
                      <w:lang w:val="en-US"/>
                    </w:rPr>
                    <w:t>×1</w:t>
                  </w:r>
                  <w:r>
                    <w:rPr>
                      <w:rFonts w:hint="eastAsia"/>
                      <w:color w:val="auto"/>
                      <w:lang w:val="en-US" w:eastAsia="zh-CN"/>
                    </w:rPr>
                    <w:t>（m）</w:t>
                  </w:r>
                  <w:r>
                    <w:rPr>
                      <w:color w:val="auto"/>
                      <w:lang w:val="en-US"/>
                    </w:rPr>
                    <w:t>×</w:t>
                  </w:r>
                  <w:r>
                    <w:rPr>
                      <w:rFonts w:hint="eastAsia"/>
                      <w:color w:val="auto"/>
                      <w:lang w:val="en-US" w:eastAsia="zh-CN"/>
                    </w:rPr>
                    <w:t>0.6</w:t>
                  </w:r>
                  <w:r>
                    <w:rPr>
                      <w:rFonts w:hint="eastAsia"/>
                      <w:color w:val="auto"/>
                      <w:lang w:val="en-US"/>
                    </w:rPr>
                    <w:t>（m），</w:t>
                  </w:r>
                  <w:r>
                    <w:rPr>
                      <w:rFonts w:hint="eastAsia"/>
                      <w:color w:val="auto"/>
                      <w:lang w:val="en-US" w:eastAsia="zh-CN"/>
                    </w:rPr>
                    <w:t>有效水深为0.5m，</w:t>
                  </w:r>
                </w:p>
                <w:p w14:paraId="6C04E57C">
                  <w:pPr>
                    <w:pStyle w:val="70"/>
                    <w:jc w:val="center"/>
                    <w:rPr>
                      <w:color w:val="auto"/>
                      <w:lang w:val="en-US"/>
                    </w:rPr>
                  </w:pPr>
                  <w:r>
                    <w:rPr>
                      <w:rFonts w:hint="eastAsia"/>
                      <w:color w:val="auto"/>
                      <w:lang w:val="en-US"/>
                    </w:rPr>
                    <w:t>有效容积1</w:t>
                  </w:r>
                  <w:r>
                    <w:rPr>
                      <w:color w:val="auto"/>
                      <w:lang w:val="en-US"/>
                    </w:rPr>
                    <w:t>m³</w:t>
                  </w:r>
                </w:p>
              </w:tc>
              <w:tc>
                <w:tcPr>
                  <w:tcW w:w="831" w:type="dxa"/>
                  <w:vAlign w:val="center"/>
                </w:tcPr>
                <w:p w14:paraId="436B741F">
                  <w:pPr>
                    <w:pStyle w:val="70"/>
                    <w:rPr>
                      <w:color w:val="auto"/>
                    </w:rPr>
                  </w:pPr>
                  <w:r>
                    <w:rPr>
                      <w:rFonts w:hint="eastAsia"/>
                      <w:color w:val="auto"/>
                    </w:rPr>
                    <w:t>1个</w:t>
                  </w:r>
                </w:p>
              </w:tc>
              <w:tc>
                <w:tcPr>
                  <w:tcW w:w="1065" w:type="dxa"/>
                  <w:vAlign w:val="center"/>
                </w:tcPr>
                <w:p w14:paraId="1AD1EE87">
                  <w:pPr>
                    <w:pStyle w:val="70"/>
                    <w:rPr>
                      <w:color w:val="auto"/>
                    </w:rPr>
                  </w:pPr>
                  <w:r>
                    <w:rPr>
                      <w:color w:val="auto"/>
                    </w:rPr>
                    <w:t>主除油</w:t>
                  </w:r>
                  <w:r>
                    <w:rPr>
                      <w:rFonts w:hint="eastAsia"/>
                      <w:color w:val="auto"/>
                    </w:rPr>
                    <w:t>1</w:t>
                  </w:r>
                </w:p>
              </w:tc>
              <w:tc>
                <w:tcPr>
                  <w:tcW w:w="1066" w:type="dxa"/>
                  <w:vAlign w:val="center"/>
                </w:tcPr>
                <w:p w14:paraId="64BD359C">
                  <w:pPr>
                    <w:pStyle w:val="70"/>
                    <w:rPr>
                      <w:rFonts w:hint="eastAsia" w:eastAsia="宋体"/>
                      <w:color w:val="auto"/>
                      <w:lang w:eastAsia="zh-CN"/>
                    </w:rPr>
                  </w:pPr>
                  <w:r>
                    <w:rPr>
                      <w:rFonts w:hint="eastAsia"/>
                      <w:color w:val="auto"/>
                      <w:lang w:val="en-US" w:eastAsia="zh-CN"/>
                    </w:rPr>
                    <w:t>/</w:t>
                  </w:r>
                </w:p>
              </w:tc>
            </w:tr>
            <w:tr w14:paraId="400E6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459CBE84">
                  <w:pPr>
                    <w:pStyle w:val="70"/>
                    <w:jc w:val="both"/>
                    <w:rPr>
                      <w:color w:val="auto"/>
                      <w:lang w:val="en-US"/>
                    </w:rPr>
                  </w:pPr>
                </w:p>
              </w:tc>
              <w:tc>
                <w:tcPr>
                  <w:tcW w:w="433" w:type="dxa"/>
                  <w:vMerge w:val="continue"/>
                </w:tcPr>
                <w:p w14:paraId="01317D66">
                  <w:pPr>
                    <w:pStyle w:val="70"/>
                    <w:rPr>
                      <w:color w:val="auto"/>
                      <w:lang w:val="en-US"/>
                    </w:rPr>
                  </w:pPr>
                </w:p>
              </w:tc>
              <w:tc>
                <w:tcPr>
                  <w:tcW w:w="415" w:type="dxa"/>
                  <w:vMerge w:val="continue"/>
                </w:tcPr>
                <w:p w14:paraId="38CB4560">
                  <w:pPr>
                    <w:pStyle w:val="70"/>
                    <w:rPr>
                      <w:color w:val="auto"/>
                      <w:lang w:val="en-US"/>
                    </w:rPr>
                  </w:pPr>
                </w:p>
              </w:tc>
              <w:tc>
                <w:tcPr>
                  <w:tcW w:w="1037" w:type="dxa"/>
                  <w:gridSpan w:val="2"/>
                  <w:vAlign w:val="center"/>
                </w:tcPr>
                <w:p w14:paraId="0FB812E2">
                  <w:pPr>
                    <w:pStyle w:val="70"/>
                    <w:jc w:val="center"/>
                    <w:rPr>
                      <w:color w:val="auto"/>
                      <w:lang w:val="en-US"/>
                    </w:rPr>
                  </w:pPr>
                  <w:r>
                    <w:rPr>
                      <w:rFonts w:hint="eastAsia"/>
                      <w:color w:val="auto"/>
                      <w:lang w:val="en-US"/>
                    </w:rPr>
                    <w:t>水洗池1</w:t>
                  </w:r>
                </w:p>
              </w:tc>
              <w:tc>
                <w:tcPr>
                  <w:tcW w:w="2801" w:type="dxa"/>
                  <w:vAlign w:val="center"/>
                </w:tcPr>
                <w:p w14:paraId="0D5A3D90">
                  <w:pPr>
                    <w:pStyle w:val="70"/>
                    <w:jc w:val="center"/>
                    <w:rPr>
                      <w:color w:val="auto"/>
                      <w:lang w:val="en-US"/>
                    </w:rPr>
                  </w:pPr>
                  <w:r>
                    <w:rPr>
                      <w:rFonts w:hint="eastAsia"/>
                      <w:color w:val="auto"/>
                      <w:lang w:val="en-US"/>
                    </w:rPr>
                    <w:t>长宽高：</w:t>
                  </w:r>
                  <w:r>
                    <w:rPr>
                      <w:color w:val="auto"/>
                      <w:lang w:val="en-US"/>
                    </w:rPr>
                    <w:t>2</w:t>
                  </w:r>
                  <w:r>
                    <w:rPr>
                      <w:rFonts w:hint="eastAsia"/>
                      <w:color w:val="auto"/>
                      <w:lang w:val="en-US" w:eastAsia="zh-CN"/>
                    </w:rPr>
                    <w:t>（m）</w:t>
                  </w:r>
                  <w:r>
                    <w:rPr>
                      <w:color w:val="auto"/>
                      <w:lang w:val="en-US"/>
                    </w:rPr>
                    <w:t>×1</w:t>
                  </w:r>
                  <w:r>
                    <w:rPr>
                      <w:rFonts w:hint="eastAsia"/>
                      <w:color w:val="auto"/>
                      <w:lang w:val="en-US" w:eastAsia="zh-CN"/>
                    </w:rPr>
                    <w:t>（m）</w:t>
                  </w:r>
                  <w:r>
                    <w:rPr>
                      <w:color w:val="auto"/>
                      <w:lang w:val="en-US"/>
                    </w:rPr>
                    <w:t>×</w:t>
                  </w:r>
                  <w:r>
                    <w:rPr>
                      <w:rFonts w:hint="eastAsia"/>
                      <w:color w:val="auto"/>
                      <w:lang w:val="en-US" w:eastAsia="zh-CN"/>
                    </w:rPr>
                    <w:t>0.6</w:t>
                  </w:r>
                  <w:r>
                    <w:rPr>
                      <w:rFonts w:hint="eastAsia"/>
                      <w:color w:val="auto"/>
                      <w:lang w:val="en-US"/>
                    </w:rPr>
                    <w:t>（m），</w:t>
                  </w:r>
                  <w:r>
                    <w:rPr>
                      <w:rFonts w:hint="eastAsia"/>
                      <w:color w:val="auto"/>
                      <w:lang w:val="en-US" w:eastAsia="zh-CN"/>
                    </w:rPr>
                    <w:t>有效水深为0.5m，</w:t>
                  </w:r>
                </w:p>
                <w:p w14:paraId="63DF7E26">
                  <w:pPr>
                    <w:pStyle w:val="70"/>
                    <w:jc w:val="center"/>
                    <w:rPr>
                      <w:color w:val="auto"/>
                      <w:lang w:val="en-US"/>
                    </w:rPr>
                  </w:pPr>
                  <w:r>
                    <w:rPr>
                      <w:rFonts w:hint="eastAsia"/>
                      <w:color w:val="auto"/>
                      <w:lang w:val="en-US"/>
                    </w:rPr>
                    <w:t>有效容积1</w:t>
                  </w:r>
                  <w:r>
                    <w:rPr>
                      <w:color w:val="auto"/>
                      <w:lang w:val="en-US"/>
                    </w:rPr>
                    <w:t>m³</w:t>
                  </w:r>
                </w:p>
              </w:tc>
              <w:tc>
                <w:tcPr>
                  <w:tcW w:w="831" w:type="dxa"/>
                  <w:vAlign w:val="center"/>
                </w:tcPr>
                <w:p w14:paraId="486BCFAA">
                  <w:pPr>
                    <w:pStyle w:val="70"/>
                    <w:rPr>
                      <w:color w:val="auto"/>
                    </w:rPr>
                  </w:pPr>
                  <w:r>
                    <w:rPr>
                      <w:rFonts w:hint="eastAsia"/>
                      <w:color w:val="auto"/>
                    </w:rPr>
                    <w:t>1个</w:t>
                  </w:r>
                </w:p>
              </w:tc>
              <w:tc>
                <w:tcPr>
                  <w:tcW w:w="1065" w:type="dxa"/>
                  <w:vAlign w:val="center"/>
                </w:tcPr>
                <w:p w14:paraId="439CA9AC">
                  <w:pPr>
                    <w:pStyle w:val="70"/>
                    <w:rPr>
                      <w:color w:val="auto"/>
                    </w:rPr>
                  </w:pPr>
                  <w:r>
                    <w:rPr>
                      <w:color w:val="auto"/>
                    </w:rPr>
                    <w:t>水洗</w:t>
                  </w:r>
                  <w:r>
                    <w:rPr>
                      <w:rFonts w:hint="eastAsia"/>
                      <w:color w:val="auto"/>
                    </w:rPr>
                    <w:t>1</w:t>
                  </w:r>
                </w:p>
              </w:tc>
              <w:tc>
                <w:tcPr>
                  <w:tcW w:w="1066" w:type="dxa"/>
                  <w:vAlign w:val="center"/>
                </w:tcPr>
                <w:p w14:paraId="708502C5">
                  <w:pPr>
                    <w:pStyle w:val="70"/>
                    <w:rPr>
                      <w:color w:val="auto"/>
                    </w:rPr>
                  </w:pPr>
                  <w:r>
                    <w:rPr>
                      <w:rFonts w:hint="eastAsia"/>
                      <w:color w:val="auto"/>
                      <w:lang w:val="en-US" w:eastAsia="zh-CN"/>
                    </w:rPr>
                    <w:t>/</w:t>
                  </w:r>
                </w:p>
              </w:tc>
            </w:tr>
            <w:tr w14:paraId="52951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2" w:hRule="atLeast"/>
              </w:trPr>
              <w:tc>
                <w:tcPr>
                  <w:tcW w:w="530" w:type="dxa"/>
                  <w:vMerge w:val="continue"/>
                  <w:vAlign w:val="center"/>
                </w:tcPr>
                <w:p w14:paraId="3C38365F">
                  <w:pPr>
                    <w:pStyle w:val="70"/>
                    <w:jc w:val="both"/>
                    <w:rPr>
                      <w:color w:val="auto"/>
                      <w:lang w:val="en-US"/>
                    </w:rPr>
                  </w:pPr>
                </w:p>
              </w:tc>
              <w:tc>
                <w:tcPr>
                  <w:tcW w:w="433" w:type="dxa"/>
                  <w:vMerge w:val="continue"/>
                </w:tcPr>
                <w:p w14:paraId="64725A3A">
                  <w:pPr>
                    <w:pStyle w:val="70"/>
                    <w:rPr>
                      <w:color w:val="auto"/>
                      <w:lang w:val="en-US"/>
                    </w:rPr>
                  </w:pPr>
                </w:p>
              </w:tc>
              <w:tc>
                <w:tcPr>
                  <w:tcW w:w="415" w:type="dxa"/>
                  <w:vMerge w:val="continue"/>
                </w:tcPr>
                <w:p w14:paraId="76EE027A">
                  <w:pPr>
                    <w:pStyle w:val="70"/>
                    <w:rPr>
                      <w:color w:val="auto"/>
                      <w:lang w:val="en-US"/>
                    </w:rPr>
                  </w:pPr>
                </w:p>
              </w:tc>
              <w:tc>
                <w:tcPr>
                  <w:tcW w:w="1037" w:type="dxa"/>
                  <w:gridSpan w:val="2"/>
                  <w:vAlign w:val="center"/>
                </w:tcPr>
                <w:p w14:paraId="266F0605">
                  <w:pPr>
                    <w:pStyle w:val="70"/>
                    <w:jc w:val="center"/>
                    <w:rPr>
                      <w:color w:val="auto"/>
                      <w:lang w:val="en-US"/>
                    </w:rPr>
                  </w:pPr>
                  <w:r>
                    <w:rPr>
                      <w:rFonts w:hint="eastAsia"/>
                      <w:color w:val="auto"/>
                      <w:lang w:val="en-US"/>
                    </w:rPr>
                    <w:t>陶化池1</w:t>
                  </w:r>
                </w:p>
              </w:tc>
              <w:tc>
                <w:tcPr>
                  <w:tcW w:w="2801" w:type="dxa"/>
                  <w:vAlign w:val="center"/>
                </w:tcPr>
                <w:p w14:paraId="2B063FDF">
                  <w:pPr>
                    <w:pStyle w:val="70"/>
                    <w:jc w:val="center"/>
                    <w:rPr>
                      <w:color w:val="auto"/>
                      <w:lang w:val="en-US"/>
                    </w:rPr>
                  </w:pPr>
                  <w:r>
                    <w:rPr>
                      <w:rFonts w:hint="eastAsia"/>
                      <w:color w:val="auto"/>
                      <w:lang w:val="en-US"/>
                    </w:rPr>
                    <w:t>长宽高：</w:t>
                  </w:r>
                  <w:r>
                    <w:rPr>
                      <w:color w:val="auto"/>
                      <w:lang w:val="en-US"/>
                    </w:rPr>
                    <w:t>2</w:t>
                  </w:r>
                  <w:r>
                    <w:rPr>
                      <w:rFonts w:hint="eastAsia"/>
                      <w:color w:val="auto"/>
                      <w:lang w:val="en-US" w:eastAsia="zh-CN"/>
                    </w:rPr>
                    <w:t>（m）</w:t>
                  </w:r>
                  <w:r>
                    <w:rPr>
                      <w:color w:val="auto"/>
                      <w:lang w:val="en-US"/>
                    </w:rPr>
                    <w:t>×1</w:t>
                  </w:r>
                  <w:r>
                    <w:rPr>
                      <w:rFonts w:hint="eastAsia"/>
                      <w:color w:val="auto"/>
                      <w:lang w:val="en-US" w:eastAsia="zh-CN"/>
                    </w:rPr>
                    <w:t>（m）</w:t>
                  </w:r>
                  <w:r>
                    <w:rPr>
                      <w:color w:val="auto"/>
                      <w:lang w:val="en-US"/>
                    </w:rPr>
                    <w:t>×</w:t>
                  </w:r>
                  <w:r>
                    <w:rPr>
                      <w:rFonts w:hint="eastAsia"/>
                      <w:color w:val="auto"/>
                      <w:lang w:val="en-US" w:eastAsia="zh-CN"/>
                    </w:rPr>
                    <w:t>0.6</w:t>
                  </w:r>
                  <w:r>
                    <w:rPr>
                      <w:rFonts w:hint="eastAsia"/>
                      <w:color w:val="auto"/>
                      <w:lang w:val="en-US"/>
                    </w:rPr>
                    <w:t>（m），</w:t>
                  </w:r>
                  <w:r>
                    <w:rPr>
                      <w:rFonts w:hint="eastAsia"/>
                      <w:color w:val="auto"/>
                      <w:lang w:val="en-US" w:eastAsia="zh-CN"/>
                    </w:rPr>
                    <w:t>有效水深为0.5m，</w:t>
                  </w:r>
                </w:p>
                <w:p w14:paraId="03FC7E3A">
                  <w:pPr>
                    <w:pStyle w:val="70"/>
                    <w:jc w:val="center"/>
                    <w:rPr>
                      <w:color w:val="auto"/>
                      <w:lang w:val="en-US"/>
                    </w:rPr>
                  </w:pPr>
                  <w:r>
                    <w:rPr>
                      <w:rFonts w:hint="eastAsia"/>
                      <w:color w:val="auto"/>
                      <w:lang w:val="en-US"/>
                    </w:rPr>
                    <w:t>有效容积1</w:t>
                  </w:r>
                  <w:r>
                    <w:rPr>
                      <w:color w:val="auto"/>
                      <w:lang w:val="en-US"/>
                    </w:rPr>
                    <w:t>m³</w:t>
                  </w:r>
                </w:p>
              </w:tc>
              <w:tc>
                <w:tcPr>
                  <w:tcW w:w="831" w:type="dxa"/>
                  <w:vAlign w:val="center"/>
                </w:tcPr>
                <w:p w14:paraId="51C0E186">
                  <w:pPr>
                    <w:pStyle w:val="70"/>
                    <w:rPr>
                      <w:color w:val="auto"/>
                    </w:rPr>
                  </w:pPr>
                  <w:r>
                    <w:rPr>
                      <w:rFonts w:hint="eastAsia"/>
                      <w:color w:val="auto"/>
                    </w:rPr>
                    <w:t>1个</w:t>
                  </w:r>
                </w:p>
              </w:tc>
              <w:tc>
                <w:tcPr>
                  <w:tcW w:w="1065" w:type="dxa"/>
                  <w:vAlign w:val="center"/>
                </w:tcPr>
                <w:p w14:paraId="01B2EE2E">
                  <w:pPr>
                    <w:pStyle w:val="70"/>
                    <w:rPr>
                      <w:color w:val="auto"/>
                    </w:rPr>
                  </w:pPr>
                  <w:r>
                    <w:rPr>
                      <w:color w:val="auto"/>
                    </w:rPr>
                    <w:t>陶化</w:t>
                  </w:r>
                  <w:r>
                    <w:rPr>
                      <w:rFonts w:hint="eastAsia"/>
                      <w:color w:val="auto"/>
                    </w:rPr>
                    <w:t>1</w:t>
                  </w:r>
                </w:p>
              </w:tc>
              <w:tc>
                <w:tcPr>
                  <w:tcW w:w="1066" w:type="dxa"/>
                  <w:vAlign w:val="center"/>
                </w:tcPr>
                <w:p w14:paraId="46A960C3">
                  <w:pPr>
                    <w:pStyle w:val="70"/>
                    <w:rPr>
                      <w:color w:val="auto"/>
                    </w:rPr>
                  </w:pPr>
                  <w:r>
                    <w:rPr>
                      <w:rFonts w:hint="eastAsia"/>
                      <w:color w:val="auto"/>
                      <w:lang w:val="en-US" w:eastAsia="zh-CN"/>
                    </w:rPr>
                    <w:t>/</w:t>
                  </w:r>
                </w:p>
              </w:tc>
            </w:tr>
            <w:tr w14:paraId="2112B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4B98FD7B">
                  <w:pPr>
                    <w:pStyle w:val="70"/>
                    <w:jc w:val="both"/>
                    <w:rPr>
                      <w:color w:val="auto"/>
                      <w:lang w:val="en-US"/>
                    </w:rPr>
                  </w:pPr>
                </w:p>
              </w:tc>
              <w:tc>
                <w:tcPr>
                  <w:tcW w:w="433" w:type="dxa"/>
                  <w:vMerge w:val="continue"/>
                </w:tcPr>
                <w:p w14:paraId="050FCCE3">
                  <w:pPr>
                    <w:pStyle w:val="70"/>
                    <w:rPr>
                      <w:color w:val="auto"/>
                      <w:lang w:val="en-US"/>
                    </w:rPr>
                  </w:pPr>
                </w:p>
              </w:tc>
              <w:tc>
                <w:tcPr>
                  <w:tcW w:w="415" w:type="dxa"/>
                  <w:vMerge w:val="continue"/>
                </w:tcPr>
                <w:p w14:paraId="41F6101F">
                  <w:pPr>
                    <w:pStyle w:val="70"/>
                    <w:rPr>
                      <w:color w:val="auto"/>
                      <w:lang w:val="en-US"/>
                    </w:rPr>
                  </w:pPr>
                </w:p>
              </w:tc>
              <w:tc>
                <w:tcPr>
                  <w:tcW w:w="1037" w:type="dxa"/>
                  <w:gridSpan w:val="2"/>
                  <w:vAlign w:val="center"/>
                </w:tcPr>
                <w:p w14:paraId="67C3CFB5">
                  <w:pPr>
                    <w:pStyle w:val="70"/>
                    <w:jc w:val="center"/>
                    <w:rPr>
                      <w:rFonts w:hint="eastAsia"/>
                      <w:color w:val="auto"/>
                      <w:lang w:val="en-US"/>
                    </w:rPr>
                  </w:pPr>
                  <w:r>
                    <w:rPr>
                      <w:rFonts w:hint="eastAsia"/>
                      <w:color w:val="auto"/>
                      <w:lang w:val="en-US"/>
                    </w:rPr>
                    <w:t>水洗池</w:t>
                  </w:r>
                  <w:r>
                    <w:rPr>
                      <w:color w:val="auto"/>
                      <w:lang w:val="en-US"/>
                    </w:rPr>
                    <w:t>2</w:t>
                  </w:r>
                </w:p>
              </w:tc>
              <w:tc>
                <w:tcPr>
                  <w:tcW w:w="2801" w:type="dxa"/>
                  <w:vAlign w:val="center"/>
                </w:tcPr>
                <w:p w14:paraId="0AF47CA6">
                  <w:pPr>
                    <w:pStyle w:val="70"/>
                    <w:jc w:val="center"/>
                    <w:rPr>
                      <w:color w:val="auto"/>
                      <w:lang w:val="en-US"/>
                    </w:rPr>
                  </w:pPr>
                  <w:r>
                    <w:rPr>
                      <w:rFonts w:hint="eastAsia"/>
                      <w:color w:val="auto"/>
                      <w:lang w:val="en-US"/>
                    </w:rPr>
                    <w:t>长宽高：</w:t>
                  </w:r>
                  <w:r>
                    <w:rPr>
                      <w:color w:val="auto"/>
                      <w:lang w:val="en-US"/>
                    </w:rPr>
                    <w:t>2</w:t>
                  </w:r>
                  <w:r>
                    <w:rPr>
                      <w:rFonts w:hint="eastAsia"/>
                      <w:color w:val="auto"/>
                      <w:lang w:val="en-US" w:eastAsia="zh-CN"/>
                    </w:rPr>
                    <w:t>（m）</w:t>
                  </w:r>
                  <w:r>
                    <w:rPr>
                      <w:color w:val="auto"/>
                      <w:lang w:val="en-US"/>
                    </w:rPr>
                    <w:t>×1</w:t>
                  </w:r>
                  <w:r>
                    <w:rPr>
                      <w:rFonts w:hint="eastAsia"/>
                      <w:color w:val="auto"/>
                      <w:lang w:val="en-US" w:eastAsia="zh-CN"/>
                    </w:rPr>
                    <w:t>（m）</w:t>
                  </w:r>
                  <w:r>
                    <w:rPr>
                      <w:color w:val="auto"/>
                      <w:lang w:val="en-US"/>
                    </w:rPr>
                    <w:t>×</w:t>
                  </w:r>
                  <w:r>
                    <w:rPr>
                      <w:rFonts w:hint="eastAsia"/>
                      <w:color w:val="auto"/>
                      <w:lang w:val="en-US" w:eastAsia="zh-CN"/>
                    </w:rPr>
                    <w:t>0.6</w:t>
                  </w:r>
                  <w:r>
                    <w:rPr>
                      <w:rFonts w:hint="eastAsia"/>
                      <w:color w:val="auto"/>
                      <w:lang w:val="en-US"/>
                    </w:rPr>
                    <w:t>（m），</w:t>
                  </w:r>
                  <w:r>
                    <w:rPr>
                      <w:rFonts w:hint="eastAsia"/>
                      <w:color w:val="auto"/>
                      <w:lang w:val="en-US" w:eastAsia="zh-CN"/>
                    </w:rPr>
                    <w:t>有效水深为0.5m，</w:t>
                  </w:r>
                </w:p>
                <w:p w14:paraId="440FCACF">
                  <w:pPr>
                    <w:pStyle w:val="70"/>
                    <w:jc w:val="center"/>
                    <w:rPr>
                      <w:rFonts w:hint="eastAsia"/>
                      <w:color w:val="auto"/>
                      <w:lang w:val="en-US"/>
                    </w:rPr>
                  </w:pPr>
                  <w:r>
                    <w:rPr>
                      <w:rFonts w:hint="eastAsia"/>
                      <w:color w:val="auto"/>
                      <w:lang w:val="en-US"/>
                    </w:rPr>
                    <w:t>有效容积1</w:t>
                  </w:r>
                  <w:r>
                    <w:rPr>
                      <w:color w:val="auto"/>
                      <w:lang w:val="en-US"/>
                    </w:rPr>
                    <w:t>m³</w:t>
                  </w:r>
                </w:p>
              </w:tc>
              <w:tc>
                <w:tcPr>
                  <w:tcW w:w="831" w:type="dxa"/>
                  <w:vAlign w:val="center"/>
                </w:tcPr>
                <w:p w14:paraId="436FEDEA">
                  <w:pPr>
                    <w:pStyle w:val="70"/>
                    <w:rPr>
                      <w:rFonts w:hint="eastAsia"/>
                      <w:color w:val="auto"/>
                    </w:rPr>
                  </w:pPr>
                  <w:r>
                    <w:rPr>
                      <w:rFonts w:hint="eastAsia"/>
                      <w:color w:val="auto"/>
                    </w:rPr>
                    <w:t>1个</w:t>
                  </w:r>
                </w:p>
              </w:tc>
              <w:tc>
                <w:tcPr>
                  <w:tcW w:w="1065" w:type="dxa"/>
                  <w:vAlign w:val="center"/>
                </w:tcPr>
                <w:p w14:paraId="5A1E71D5">
                  <w:pPr>
                    <w:pStyle w:val="70"/>
                    <w:rPr>
                      <w:color w:val="auto"/>
                    </w:rPr>
                  </w:pPr>
                  <w:r>
                    <w:rPr>
                      <w:color w:val="auto"/>
                    </w:rPr>
                    <w:t>水洗</w:t>
                  </w:r>
                  <w:r>
                    <w:rPr>
                      <w:rFonts w:hint="eastAsia"/>
                      <w:color w:val="auto"/>
                    </w:rPr>
                    <w:t>2</w:t>
                  </w:r>
                </w:p>
              </w:tc>
              <w:tc>
                <w:tcPr>
                  <w:tcW w:w="1066" w:type="dxa"/>
                  <w:vAlign w:val="center"/>
                </w:tcPr>
                <w:p w14:paraId="6491862D">
                  <w:pPr>
                    <w:pStyle w:val="70"/>
                    <w:rPr>
                      <w:color w:val="auto"/>
                    </w:rPr>
                  </w:pPr>
                  <w:r>
                    <w:rPr>
                      <w:rFonts w:hint="eastAsia"/>
                      <w:color w:val="auto"/>
                      <w:lang w:val="en-US" w:eastAsia="zh-CN"/>
                    </w:rPr>
                    <w:t>/</w:t>
                  </w:r>
                </w:p>
              </w:tc>
            </w:tr>
            <w:tr w14:paraId="2FA17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restart"/>
                  <w:vAlign w:val="center"/>
                </w:tcPr>
                <w:p w14:paraId="0006135B">
                  <w:pPr>
                    <w:pStyle w:val="70"/>
                    <w:jc w:val="both"/>
                    <w:rPr>
                      <w:rFonts w:hint="eastAsia" w:eastAsia="宋体"/>
                      <w:color w:val="auto"/>
                      <w:lang w:val="en-US" w:eastAsia="zh-CN"/>
                    </w:rPr>
                  </w:pPr>
                  <w:r>
                    <w:rPr>
                      <w:rFonts w:hint="eastAsia"/>
                      <w:color w:val="auto"/>
                      <w:lang w:val="en-US" w:eastAsia="zh-CN"/>
                    </w:rPr>
                    <w:t>2</w:t>
                  </w:r>
                </w:p>
              </w:tc>
              <w:tc>
                <w:tcPr>
                  <w:tcW w:w="1885" w:type="dxa"/>
                  <w:gridSpan w:val="4"/>
                </w:tcPr>
                <w:p w14:paraId="5E234295">
                  <w:pPr>
                    <w:pStyle w:val="70"/>
                    <w:rPr>
                      <w:b/>
                      <w:color w:val="auto"/>
                      <w:lang w:val="en-US"/>
                    </w:rPr>
                  </w:pPr>
                  <w:r>
                    <w:rPr>
                      <w:rFonts w:hint="eastAsia"/>
                      <w:b/>
                      <w:color w:val="auto"/>
                      <w:lang w:val="en-US"/>
                    </w:rPr>
                    <w:t>手动线</w:t>
                  </w:r>
                </w:p>
              </w:tc>
              <w:tc>
                <w:tcPr>
                  <w:tcW w:w="2801" w:type="dxa"/>
                </w:tcPr>
                <w:p w14:paraId="26C7AB0F">
                  <w:pPr>
                    <w:pStyle w:val="70"/>
                    <w:rPr>
                      <w:rFonts w:hint="eastAsia" w:eastAsia="宋体"/>
                      <w:b/>
                      <w:color w:val="auto"/>
                      <w:lang w:val="en-US" w:eastAsia="zh-CN"/>
                    </w:rPr>
                  </w:pPr>
                  <w:r>
                    <w:rPr>
                      <w:rFonts w:hint="eastAsia"/>
                      <w:b/>
                      <w:color w:val="auto"/>
                      <w:lang w:val="en-US" w:eastAsia="zh-CN"/>
                    </w:rPr>
                    <w:t>/</w:t>
                  </w:r>
                </w:p>
              </w:tc>
              <w:tc>
                <w:tcPr>
                  <w:tcW w:w="831" w:type="dxa"/>
                  <w:vAlign w:val="center"/>
                </w:tcPr>
                <w:p w14:paraId="72262FCF">
                  <w:pPr>
                    <w:pStyle w:val="70"/>
                    <w:rPr>
                      <w:b/>
                      <w:color w:val="auto"/>
                      <w:lang w:val="en-US"/>
                    </w:rPr>
                  </w:pPr>
                  <w:r>
                    <w:rPr>
                      <w:rFonts w:hint="eastAsia"/>
                      <w:b/>
                      <w:color w:val="auto"/>
                      <w:lang w:val="en-US"/>
                    </w:rPr>
                    <w:t>1条</w:t>
                  </w:r>
                </w:p>
              </w:tc>
              <w:tc>
                <w:tcPr>
                  <w:tcW w:w="1065" w:type="dxa"/>
                  <w:vAlign w:val="center"/>
                </w:tcPr>
                <w:p w14:paraId="62135CB9">
                  <w:pPr>
                    <w:pStyle w:val="70"/>
                    <w:rPr>
                      <w:b/>
                      <w:color w:val="auto"/>
                      <w:lang w:val="en-US"/>
                    </w:rPr>
                  </w:pPr>
                  <w:r>
                    <w:rPr>
                      <w:rFonts w:hint="eastAsia"/>
                      <w:b/>
                      <w:color w:val="auto"/>
                      <w:lang w:val="en-US"/>
                    </w:rPr>
                    <w:t>/</w:t>
                  </w:r>
                </w:p>
              </w:tc>
              <w:tc>
                <w:tcPr>
                  <w:tcW w:w="1066" w:type="dxa"/>
                  <w:vAlign w:val="center"/>
                </w:tcPr>
                <w:p w14:paraId="143D3018">
                  <w:pPr>
                    <w:pStyle w:val="70"/>
                    <w:rPr>
                      <w:rFonts w:hint="eastAsia"/>
                      <w:b/>
                      <w:color w:val="auto"/>
                      <w:lang w:val="en-US"/>
                    </w:rPr>
                  </w:pPr>
                  <w:r>
                    <w:rPr>
                      <w:rFonts w:hint="eastAsia"/>
                      <w:color w:val="auto"/>
                      <w:lang w:val="en-US" w:eastAsia="zh-CN"/>
                    </w:rPr>
                    <w:t>/</w:t>
                  </w:r>
                </w:p>
              </w:tc>
            </w:tr>
            <w:tr w14:paraId="50452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1D73A790">
                  <w:pPr>
                    <w:pStyle w:val="70"/>
                    <w:jc w:val="both"/>
                    <w:rPr>
                      <w:color w:val="auto"/>
                      <w:lang w:val="en-US"/>
                    </w:rPr>
                  </w:pPr>
                </w:p>
              </w:tc>
              <w:tc>
                <w:tcPr>
                  <w:tcW w:w="433" w:type="dxa"/>
                  <w:vMerge w:val="restart"/>
                  <w:vAlign w:val="center"/>
                </w:tcPr>
                <w:p w14:paraId="54951994">
                  <w:pPr>
                    <w:pStyle w:val="70"/>
                    <w:jc w:val="center"/>
                    <w:rPr>
                      <w:color w:val="auto"/>
                      <w:lang w:val="en-US"/>
                    </w:rPr>
                  </w:pPr>
                  <w:r>
                    <w:rPr>
                      <w:rFonts w:hint="eastAsia"/>
                      <w:color w:val="auto"/>
                      <w:lang w:val="en-US"/>
                    </w:rPr>
                    <w:t>内含</w:t>
                  </w:r>
                </w:p>
              </w:tc>
              <w:tc>
                <w:tcPr>
                  <w:tcW w:w="1452" w:type="dxa"/>
                  <w:gridSpan w:val="3"/>
                  <w:vAlign w:val="center"/>
                </w:tcPr>
                <w:p w14:paraId="15B95B09">
                  <w:pPr>
                    <w:pStyle w:val="70"/>
                    <w:jc w:val="center"/>
                    <w:rPr>
                      <w:color w:val="auto"/>
                      <w:lang w:val="en-US"/>
                    </w:rPr>
                  </w:pPr>
                  <w:r>
                    <w:rPr>
                      <w:rFonts w:hint="eastAsia"/>
                      <w:color w:val="auto"/>
                    </w:rPr>
                    <w:t>手动喷粉柜</w:t>
                  </w:r>
                </w:p>
              </w:tc>
              <w:tc>
                <w:tcPr>
                  <w:tcW w:w="2801" w:type="dxa"/>
                  <w:vAlign w:val="center"/>
                </w:tcPr>
                <w:p w14:paraId="085ADBE3">
                  <w:pPr>
                    <w:pStyle w:val="70"/>
                    <w:jc w:val="center"/>
                    <w:rPr>
                      <w:rFonts w:hint="eastAsia" w:eastAsia="宋体"/>
                      <w:color w:val="auto"/>
                      <w:lang w:val="en-US" w:eastAsia="zh-CN"/>
                    </w:rPr>
                  </w:pPr>
                  <w:r>
                    <w:rPr>
                      <w:rFonts w:hint="eastAsia"/>
                      <w:color w:val="auto"/>
                      <w:lang w:val="en-US"/>
                    </w:rPr>
                    <w:t>长宽高：</w:t>
                  </w:r>
                  <w:r>
                    <w:rPr>
                      <w:rFonts w:hint="eastAsia"/>
                      <w:color w:val="auto"/>
                      <w:highlight w:val="none"/>
                      <w:lang w:val="en-US" w:eastAsia="zh-CN"/>
                    </w:rPr>
                    <w:t>2</w:t>
                  </w:r>
                  <w:r>
                    <w:rPr>
                      <w:rFonts w:hint="eastAsia"/>
                      <w:color w:val="auto"/>
                      <w:lang w:val="en-US" w:eastAsia="zh-CN"/>
                    </w:rPr>
                    <w:t>（m）</w:t>
                  </w:r>
                  <w:r>
                    <w:rPr>
                      <w:color w:val="auto"/>
                      <w:highlight w:val="none"/>
                      <w:lang w:val="en-US"/>
                    </w:rPr>
                    <w:t>×</w:t>
                  </w:r>
                  <w:r>
                    <w:rPr>
                      <w:rFonts w:hint="eastAsia"/>
                      <w:color w:val="auto"/>
                      <w:highlight w:val="none"/>
                      <w:lang w:val="en-US" w:eastAsia="zh-CN"/>
                    </w:rPr>
                    <w:t>1.2</w:t>
                  </w:r>
                  <w:r>
                    <w:rPr>
                      <w:rFonts w:hint="eastAsia"/>
                      <w:color w:val="auto"/>
                      <w:lang w:val="en-US" w:eastAsia="zh-CN"/>
                    </w:rPr>
                    <w:t>（m）</w:t>
                  </w:r>
                  <w:r>
                    <w:rPr>
                      <w:color w:val="auto"/>
                      <w:highlight w:val="none"/>
                      <w:lang w:val="en-US"/>
                    </w:rPr>
                    <w:t>×</w:t>
                  </w:r>
                  <w:r>
                    <w:rPr>
                      <w:rFonts w:hint="eastAsia"/>
                      <w:color w:val="auto"/>
                      <w:highlight w:val="none"/>
                      <w:lang w:val="en-US" w:eastAsia="zh-CN"/>
                    </w:rPr>
                    <w:t>2</w:t>
                  </w:r>
                  <w:r>
                    <w:rPr>
                      <w:rFonts w:hint="eastAsia"/>
                      <w:color w:val="auto"/>
                      <w:lang w:val="en-US"/>
                    </w:rPr>
                    <w:t>（m），</w:t>
                  </w:r>
                  <w:r>
                    <w:rPr>
                      <w:rFonts w:hint="eastAsia"/>
                      <w:color w:val="auto"/>
                      <w:lang w:val="en-US" w:eastAsia="zh-CN"/>
                    </w:rPr>
                    <w:t>每个喷粉柜</w:t>
                  </w:r>
                  <w:r>
                    <w:rPr>
                      <w:rFonts w:hint="eastAsia"/>
                      <w:color w:val="auto"/>
                      <w:lang w:val="en-US"/>
                    </w:rPr>
                    <w:t>内含喷枪</w:t>
                  </w:r>
                  <w:r>
                    <w:rPr>
                      <w:color w:val="auto"/>
                      <w:lang w:val="en-US"/>
                    </w:rPr>
                    <w:t>1</w:t>
                  </w:r>
                  <w:r>
                    <w:rPr>
                      <w:rFonts w:hint="eastAsia"/>
                      <w:color w:val="auto"/>
                      <w:lang w:val="en-US" w:eastAsia="zh-CN"/>
                    </w:rPr>
                    <w:t>把</w:t>
                  </w:r>
                </w:p>
              </w:tc>
              <w:tc>
                <w:tcPr>
                  <w:tcW w:w="831" w:type="dxa"/>
                  <w:vAlign w:val="center"/>
                </w:tcPr>
                <w:p w14:paraId="7CCF9A38">
                  <w:pPr>
                    <w:pStyle w:val="70"/>
                    <w:rPr>
                      <w:color w:val="auto"/>
                    </w:rPr>
                  </w:pPr>
                  <w:r>
                    <w:rPr>
                      <w:rFonts w:hint="eastAsia"/>
                      <w:color w:val="auto"/>
                    </w:rPr>
                    <w:t>4个</w:t>
                  </w:r>
                </w:p>
              </w:tc>
              <w:tc>
                <w:tcPr>
                  <w:tcW w:w="1065" w:type="dxa"/>
                  <w:vAlign w:val="center"/>
                </w:tcPr>
                <w:p w14:paraId="2DB5B3C0">
                  <w:pPr>
                    <w:pStyle w:val="70"/>
                    <w:rPr>
                      <w:color w:val="auto"/>
                    </w:rPr>
                  </w:pPr>
                  <w:r>
                    <w:rPr>
                      <w:color w:val="auto"/>
                    </w:rPr>
                    <w:t>喷粉</w:t>
                  </w:r>
                </w:p>
              </w:tc>
              <w:tc>
                <w:tcPr>
                  <w:tcW w:w="1066" w:type="dxa"/>
                  <w:vAlign w:val="center"/>
                </w:tcPr>
                <w:p w14:paraId="401E7CC8">
                  <w:pPr>
                    <w:pStyle w:val="70"/>
                    <w:rPr>
                      <w:rFonts w:hint="default" w:eastAsia="宋体"/>
                      <w:color w:val="auto"/>
                      <w:lang w:val="en-US" w:eastAsia="zh-CN"/>
                    </w:rPr>
                  </w:pPr>
                  <w:r>
                    <w:rPr>
                      <w:rFonts w:hint="eastAsia"/>
                      <w:color w:val="auto"/>
                      <w:lang w:val="en-US" w:eastAsia="zh-CN"/>
                    </w:rPr>
                    <w:t>电能</w:t>
                  </w:r>
                </w:p>
              </w:tc>
            </w:tr>
            <w:tr w14:paraId="68FC9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2F509085">
                  <w:pPr>
                    <w:pStyle w:val="70"/>
                    <w:jc w:val="both"/>
                    <w:rPr>
                      <w:color w:val="auto"/>
                      <w:lang w:val="en-US"/>
                    </w:rPr>
                  </w:pPr>
                </w:p>
              </w:tc>
              <w:tc>
                <w:tcPr>
                  <w:tcW w:w="433" w:type="dxa"/>
                  <w:vMerge w:val="continue"/>
                </w:tcPr>
                <w:p w14:paraId="19539BAC">
                  <w:pPr>
                    <w:pStyle w:val="70"/>
                    <w:rPr>
                      <w:color w:val="auto"/>
                      <w:lang w:val="en-US"/>
                    </w:rPr>
                  </w:pPr>
                </w:p>
              </w:tc>
              <w:tc>
                <w:tcPr>
                  <w:tcW w:w="1452" w:type="dxa"/>
                  <w:gridSpan w:val="3"/>
                </w:tcPr>
                <w:p w14:paraId="7BA81706">
                  <w:pPr>
                    <w:pStyle w:val="70"/>
                    <w:rPr>
                      <w:color w:val="auto"/>
                      <w:lang w:val="en-US"/>
                    </w:rPr>
                  </w:pPr>
                  <w:r>
                    <w:rPr>
                      <w:rFonts w:hint="eastAsia"/>
                      <w:color w:val="auto"/>
                    </w:rPr>
                    <w:t>面包炉</w:t>
                  </w:r>
                </w:p>
              </w:tc>
              <w:tc>
                <w:tcPr>
                  <w:tcW w:w="2801" w:type="dxa"/>
                </w:tcPr>
                <w:p w14:paraId="097A19FC">
                  <w:pPr>
                    <w:pStyle w:val="70"/>
                    <w:rPr>
                      <w:color w:val="auto"/>
                      <w:lang w:val="en-US"/>
                    </w:rPr>
                  </w:pPr>
                  <w:r>
                    <w:rPr>
                      <w:rFonts w:hint="eastAsia"/>
                      <w:color w:val="auto"/>
                      <w:lang w:val="en-US"/>
                    </w:rPr>
                    <w:t>长宽高：</w:t>
                  </w:r>
                  <w:r>
                    <w:rPr>
                      <w:rFonts w:hint="eastAsia"/>
                      <w:color w:val="auto"/>
                      <w:lang w:val="en-US" w:eastAsia="zh-CN"/>
                    </w:rPr>
                    <w:t>4</w:t>
                  </w:r>
                  <w:r>
                    <w:rPr>
                      <w:rFonts w:hint="eastAsia"/>
                      <w:color w:val="auto"/>
                      <w:lang w:val="en-US" w:eastAsia="zh-CN"/>
                    </w:rPr>
                    <w:t>（m）</w:t>
                  </w:r>
                  <w:r>
                    <w:rPr>
                      <w:color w:val="auto"/>
                      <w:lang w:val="en-US"/>
                    </w:rPr>
                    <w:t>×</w:t>
                  </w:r>
                  <w:r>
                    <w:rPr>
                      <w:rFonts w:hint="eastAsia"/>
                      <w:color w:val="auto"/>
                      <w:lang w:val="en-US" w:eastAsia="zh-CN"/>
                    </w:rPr>
                    <w:t>2</w:t>
                  </w:r>
                  <w:r>
                    <w:rPr>
                      <w:rFonts w:hint="eastAsia"/>
                      <w:color w:val="auto"/>
                      <w:lang w:val="en-US" w:eastAsia="zh-CN"/>
                    </w:rPr>
                    <w:t>（m）</w:t>
                  </w:r>
                  <w:r>
                    <w:rPr>
                      <w:color w:val="auto"/>
                      <w:lang w:val="en-US"/>
                    </w:rPr>
                    <w:t>×</w:t>
                  </w:r>
                  <w:r>
                    <w:rPr>
                      <w:rFonts w:hint="eastAsia"/>
                      <w:color w:val="auto"/>
                      <w:lang w:val="en-US" w:eastAsia="zh-CN"/>
                    </w:rPr>
                    <w:t>1</w:t>
                  </w:r>
                  <w:r>
                    <w:rPr>
                      <w:color w:val="auto"/>
                      <w:lang w:val="en-US"/>
                    </w:rPr>
                    <w:t>.</w:t>
                  </w:r>
                  <w:r>
                    <w:rPr>
                      <w:rFonts w:hint="eastAsia"/>
                      <w:color w:val="auto"/>
                      <w:lang w:val="en-US" w:eastAsia="zh-CN"/>
                    </w:rPr>
                    <w:t>5</w:t>
                  </w:r>
                  <w:r>
                    <w:rPr>
                      <w:rFonts w:hint="eastAsia"/>
                      <w:color w:val="auto"/>
                      <w:lang w:val="en-US"/>
                    </w:rPr>
                    <w:t>（m）</w:t>
                  </w:r>
                </w:p>
              </w:tc>
              <w:tc>
                <w:tcPr>
                  <w:tcW w:w="831" w:type="dxa"/>
                  <w:vAlign w:val="center"/>
                </w:tcPr>
                <w:p w14:paraId="17B0FD38">
                  <w:pPr>
                    <w:pStyle w:val="70"/>
                    <w:rPr>
                      <w:color w:val="auto"/>
                    </w:rPr>
                  </w:pPr>
                  <w:r>
                    <w:rPr>
                      <w:rFonts w:hint="eastAsia"/>
                      <w:color w:val="auto"/>
                    </w:rPr>
                    <w:t>1台</w:t>
                  </w:r>
                </w:p>
              </w:tc>
              <w:tc>
                <w:tcPr>
                  <w:tcW w:w="1065" w:type="dxa"/>
                  <w:vAlign w:val="center"/>
                </w:tcPr>
                <w:p w14:paraId="0E736709">
                  <w:pPr>
                    <w:pStyle w:val="70"/>
                    <w:rPr>
                      <w:color w:val="auto"/>
                    </w:rPr>
                  </w:pPr>
                  <w:r>
                    <w:rPr>
                      <w:rFonts w:hint="eastAsia"/>
                      <w:color w:val="auto"/>
                    </w:rPr>
                    <w:t>固化</w:t>
                  </w:r>
                </w:p>
              </w:tc>
              <w:tc>
                <w:tcPr>
                  <w:tcW w:w="1066" w:type="dxa"/>
                  <w:vAlign w:val="center"/>
                </w:tcPr>
                <w:p w14:paraId="7992A422">
                  <w:pPr>
                    <w:pStyle w:val="70"/>
                    <w:rPr>
                      <w:rFonts w:hint="eastAsia" w:eastAsia="宋体"/>
                      <w:color w:val="auto"/>
                      <w:lang w:val="en-US" w:eastAsia="zh-CN"/>
                    </w:rPr>
                  </w:pPr>
                  <w:r>
                    <w:rPr>
                      <w:rFonts w:hint="eastAsia"/>
                      <w:color w:val="auto"/>
                      <w:lang w:val="en-US" w:eastAsia="zh-CN"/>
                    </w:rPr>
                    <w:t>电能</w:t>
                  </w:r>
                </w:p>
              </w:tc>
            </w:tr>
            <w:tr w14:paraId="2D23D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73CD6839">
                  <w:pPr>
                    <w:pStyle w:val="70"/>
                    <w:jc w:val="both"/>
                    <w:rPr>
                      <w:color w:val="auto"/>
                      <w:lang w:val="en-US"/>
                    </w:rPr>
                  </w:pPr>
                </w:p>
              </w:tc>
              <w:tc>
                <w:tcPr>
                  <w:tcW w:w="433" w:type="dxa"/>
                  <w:vMerge w:val="continue"/>
                </w:tcPr>
                <w:p w14:paraId="4F2553BD">
                  <w:pPr>
                    <w:pStyle w:val="70"/>
                    <w:rPr>
                      <w:color w:val="auto"/>
                      <w:lang w:val="en-US"/>
                    </w:rPr>
                  </w:pPr>
                </w:p>
              </w:tc>
              <w:tc>
                <w:tcPr>
                  <w:tcW w:w="1452" w:type="dxa"/>
                  <w:gridSpan w:val="3"/>
                </w:tcPr>
                <w:p w14:paraId="42E5F32B">
                  <w:pPr>
                    <w:pStyle w:val="70"/>
                    <w:rPr>
                      <w:color w:val="auto"/>
                      <w:lang w:val="en-US"/>
                    </w:rPr>
                  </w:pPr>
                  <w:r>
                    <w:rPr>
                      <w:rFonts w:hint="eastAsia"/>
                      <w:color w:val="auto"/>
                      <w:lang w:val="en-US" w:eastAsia="zh-CN"/>
                    </w:rPr>
                    <w:t>手</w:t>
                  </w:r>
                  <w:r>
                    <w:rPr>
                      <w:rFonts w:hint="eastAsia"/>
                      <w:color w:val="auto"/>
                      <w:lang w:val="en-US"/>
                    </w:rPr>
                    <w:t>动前处理线</w:t>
                  </w:r>
                </w:p>
              </w:tc>
              <w:tc>
                <w:tcPr>
                  <w:tcW w:w="2801" w:type="dxa"/>
                  <w:vAlign w:val="center"/>
                </w:tcPr>
                <w:p w14:paraId="7B3D6765">
                  <w:pPr>
                    <w:pStyle w:val="70"/>
                    <w:jc w:val="center"/>
                    <w:rPr>
                      <w:color w:val="auto"/>
                      <w:lang w:val="en-US"/>
                    </w:rPr>
                  </w:pPr>
                  <w:r>
                    <w:rPr>
                      <w:rFonts w:hint="eastAsia"/>
                      <w:color w:val="auto"/>
                      <w:lang w:val="en-US"/>
                    </w:rPr>
                    <w:t>/</w:t>
                  </w:r>
                </w:p>
              </w:tc>
              <w:tc>
                <w:tcPr>
                  <w:tcW w:w="831" w:type="dxa"/>
                  <w:vAlign w:val="center"/>
                </w:tcPr>
                <w:p w14:paraId="565A8B00">
                  <w:pPr>
                    <w:pStyle w:val="70"/>
                    <w:rPr>
                      <w:color w:val="auto"/>
                    </w:rPr>
                  </w:pPr>
                  <w:r>
                    <w:rPr>
                      <w:rFonts w:hint="eastAsia"/>
                      <w:color w:val="auto"/>
                    </w:rPr>
                    <w:t>1条</w:t>
                  </w:r>
                </w:p>
              </w:tc>
              <w:tc>
                <w:tcPr>
                  <w:tcW w:w="1065" w:type="dxa"/>
                  <w:vAlign w:val="center"/>
                </w:tcPr>
                <w:p w14:paraId="4BAFF1C0">
                  <w:pPr>
                    <w:pStyle w:val="70"/>
                    <w:rPr>
                      <w:color w:val="auto"/>
                    </w:rPr>
                  </w:pPr>
                  <w:r>
                    <w:rPr>
                      <w:rFonts w:hint="eastAsia"/>
                      <w:color w:val="auto"/>
                      <w:lang w:val="en-US" w:eastAsia="zh-CN"/>
                    </w:rPr>
                    <w:t>除油、水洗、陶化</w:t>
                  </w:r>
                </w:p>
              </w:tc>
              <w:tc>
                <w:tcPr>
                  <w:tcW w:w="1066" w:type="dxa"/>
                  <w:vAlign w:val="center"/>
                </w:tcPr>
                <w:p w14:paraId="3CC70A23">
                  <w:pPr>
                    <w:pStyle w:val="70"/>
                    <w:rPr>
                      <w:rFonts w:hint="eastAsia" w:eastAsia="宋体"/>
                      <w:color w:val="auto"/>
                      <w:lang w:val="en-US" w:eastAsia="zh-CN"/>
                    </w:rPr>
                  </w:pPr>
                  <w:r>
                    <w:rPr>
                      <w:rFonts w:hint="eastAsia"/>
                      <w:color w:val="auto"/>
                      <w:lang w:val="en-US" w:eastAsia="zh-CN"/>
                    </w:rPr>
                    <w:t>/</w:t>
                  </w:r>
                </w:p>
              </w:tc>
            </w:tr>
            <w:tr w14:paraId="2239D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28DA6C21">
                  <w:pPr>
                    <w:pStyle w:val="70"/>
                    <w:jc w:val="both"/>
                    <w:rPr>
                      <w:color w:val="auto"/>
                      <w:lang w:val="en-US"/>
                    </w:rPr>
                  </w:pPr>
                </w:p>
              </w:tc>
              <w:tc>
                <w:tcPr>
                  <w:tcW w:w="433" w:type="dxa"/>
                  <w:vMerge w:val="continue"/>
                </w:tcPr>
                <w:p w14:paraId="3C0C45FE">
                  <w:pPr>
                    <w:pStyle w:val="70"/>
                    <w:rPr>
                      <w:color w:val="auto"/>
                      <w:lang w:val="en-US"/>
                    </w:rPr>
                  </w:pPr>
                </w:p>
              </w:tc>
              <w:tc>
                <w:tcPr>
                  <w:tcW w:w="553" w:type="dxa"/>
                  <w:gridSpan w:val="2"/>
                  <w:vMerge w:val="restart"/>
                  <w:vAlign w:val="center"/>
                </w:tcPr>
                <w:p w14:paraId="7FEA5070">
                  <w:pPr>
                    <w:pStyle w:val="70"/>
                    <w:jc w:val="center"/>
                    <w:rPr>
                      <w:color w:val="auto"/>
                      <w:lang w:val="en-US"/>
                    </w:rPr>
                  </w:pPr>
                  <w:r>
                    <w:rPr>
                      <w:rFonts w:hint="eastAsia"/>
                      <w:color w:val="auto"/>
                      <w:lang w:val="en-US"/>
                    </w:rPr>
                    <w:t>内含</w:t>
                  </w:r>
                </w:p>
              </w:tc>
              <w:tc>
                <w:tcPr>
                  <w:tcW w:w="899" w:type="dxa"/>
                  <w:vAlign w:val="center"/>
                </w:tcPr>
                <w:p w14:paraId="669571AC">
                  <w:pPr>
                    <w:pStyle w:val="70"/>
                    <w:rPr>
                      <w:color w:val="auto"/>
                      <w:lang w:val="en-US"/>
                    </w:rPr>
                  </w:pPr>
                  <w:r>
                    <w:rPr>
                      <w:rFonts w:hint="eastAsia"/>
                      <w:color w:val="auto"/>
                    </w:rPr>
                    <w:t>预除油</w:t>
                  </w:r>
                  <w:r>
                    <w:rPr>
                      <w:rFonts w:hint="eastAsia"/>
                      <w:color w:val="auto"/>
                      <w:lang w:val="en-US"/>
                    </w:rPr>
                    <w:t>池a</w:t>
                  </w:r>
                </w:p>
              </w:tc>
              <w:tc>
                <w:tcPr>
                  <w:tcW w:w="2801" w:type="dxa"/>
                  <w:vAlign w:val="center"/>
                </w:tcPr>
                <w:p w14:paraId="06DF1BCE">
                  <w:pPr>
                    <w:pStyle w:val="70"/>
                    <w:jc w:val="center"/>
                    <w:rPr>
                      <w:color w:val="auto"/>
                      <w:lang w:val="en-US"/>
                    </w:rPr>
                  </w:pPr>
                  <w:r>
                    <w:rPr>
                      <w:rFonts w:hint="eastAsia"/>
                      <w:color w:val="auto"/>
                    </w:rPr>
                    <w:t>水</w:t>
                  </w:r>
                  <w:r>
                    <w:rPr>
                      <w:rFonts w:hint="eastAsia"/>
                      <w:color w:val="auto"/>
                      <w:lang w:val="en-US"/>
                    </w:rPr>
                    <w:t>池</w:t>
                  </w:r>
                  <w:r>
                    <w:rPr>
                      <w:rFonts w:hint="eastAsia"/>
                      <w:color w:val="auto"/>
                    </w:rPr>
                    <w:t>尺寸</w:t>
                  </w:r>
                  <w:r>
                    <w:rPr>
                      <w:rFonts w:hint="eastAsia"/>
                      <w:color w:val="auto"/>
                      <w:lang w:val="en-US"/>
                    </w:rPr>
                    <w:t>：</w:t>
                  </w:r>
                  <w:r>
                    <w:rPr>
                      <w:color w:val="auto"/>
                      <w:lang w:val="en-US"/>
                    </w:rPr>
                    <w:t>1.5</w:t>
                  </w:r>
                  <w:r>
                    <w:rPr>
                      <w:rFonts w:hint="eastAsia"/>
                      <w:color w:val="auto"/>
                      <w:lang w:val="en-US" w:eastAsia="zh-CN"/>
                    </w:rPr>
                    <w:t>（m）</w:t>
                  </w:r>
                  <w:r>
                    <w:rPr>
                      <w:color w:val="auto"/>
                      <w:lang w:val="en-US"/>
                    </w:rPr>
                    <w:t>×1.5</w:t>
                  </w:r>
                  <w:r>
                    <w:rPr>
                      <w:rFonts w:hint="eastAsia"/>
                      <w:color w:val="auto"/>
                      <w:lang w:val="en-US" w:eastAsia="zh-CN"/>
                    </w:rPr>
                    <w:t>（m）</w:t>
                  </w:r>
                  <w:r>
                    <w:rPr>
                      <w:color w:val="auto"/>
                      <w:lang w:val="en-US"/>
                    </w:rPr>
                    <w:t>×1</w:t>
                  </w:r>
                  <w:r>
                    <w:rPr>
                      <w:rFonts w:hint="eastAsia"/>
                      <w:color w:val="auto"/>
                      <w:lang w:val="en-US"/>
                    </w:rPr>
                    <w:t>（m）</w:t>
                  </w:r>
                  <w:r>
                    <w:rPr>
                      <w:rFonts w:hint="eastAsia"/>
                      <w:color w:val="auto"/>
                      <w:lang w:val="en-US"/>
                    </w:rPr>
                    <w:t>，</w:t>
                  </w:r>
                  <w:r>
                    <w:rPr>
                      <w:rFonts w:hint="eastAsia"/>
                      <w:color w:val="auto"/>
                      <w:lang w:val="en-US" w:eastAsia="zh-CN"/>
                    </w:rPr>
                    <w:t>有效水深为0.8m，</w:t>
                  </w:r>
                  <w:r>
                    <w:rPr>
                      <w:rFonts w:hint="eastAsia"/>
                      <w:color w:val="auto"/>
                      <w:lang w:val="en-US"/>
                    </w:rPr>
                    <w:t>有效容积1.</w:t>
                  </w:r>
                  <w:r>
                    <w:rPr>
                      <w:rFonts w:hint="eastAsia"/>
                      <w:color w:val="auto"/>
                      <w:lang w:val="en-US" w:eastAsia="zh-CN"/>
                    </w:rPr>
                    <w:t>8</w:t>
                  </w:r>
                  <w:r>
                    <w:rPr>
                      <w:color w:val="auto"/>
                      <w:lang w:val="en-US"/>
                    </w:rPr>
                    <w:t>m³</w:t>
                  </w:r>
                </w:p>
              </w:tc>
              <w:tc>
                <w:tcPr>
                  <w:tcW w:w="831" w:type="dxa"/>
                  <w:vAlign w:val="center"/>
                </w:tcPr>
                <w:p w14:paraId="6BE6CA81">
                  <w:pPr>
                    <w:pStyle w:val="70"/>
                    <w:rPr>
                      <w:color w:val="auto"/>
                      <w:lang w:val="en-US"/>
                    </w:rPr>
                  </w:pPr>
                  <w:r>
                    <w:rPr>
                      <w:rFonts w:hint="eastAsia"/>
                      <w:color w:val="auto"/>
                    </w:rPr>
                    <w:t>1个</w:t>
                  </w:r>
                </w:p>
              </w:tc>
              <w:tc>
                <w:tcPr>
                  <w:tcW w:w="1065" w:type="dxa"/>
                  <w:vAlign w:val="center"/>
                </w:tcPr>
                <w:p w14:paraId="310C11BB">
                  <w:pPr>
                    <w:pStyle w:val="70"/>
                    <w:rPr>
                      <w:color w:val="auto"/>
                      <w:lang w:val="en-US"/>
                    </w:rPr>
                  </w:pPr>
                  <w:r>
                    <w:rPr>
                      <w:color w:val="auto"/>
                    </w:rPr>
                    <w:t>预除油a</w:t>
                  </w:r>
                </w:p>
              </w:tc>
              <w:tc>
                <w:tcPr>
                  <w:tcW w:w="1066" w:type="dxa"/>
                  <w:vAlign w:val="center"/>
                </w:tcPr>
                <w:p w14:paraId="77F5A392">
                  <w:pPr>
                    <w:pStyle w:val="70"/>
                    <w:rPr>
                      <w:color w:val="auto"/>
                    </w:rPr>
                  </w:pPr>
                  <w:r>
                    <w:rPr>
                      <w:rFonts w:hint="eastAsia"/>
                      <w:color w:val="auto"/>
                      <w:lang w:val="en-US" w:eastAsia="zh-CN"/>
                    </w:rPr>
                    <w:t>/</w:t>
                  </w:r>
                </w:p>
              </w:tc>
            </w:tr>
            <w:tr w14:paraId="01172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609C49C6">
                  <w:pPr>
                    <w:pStyle w:val="70"/>
                    <w:jc w:val="both"/>
                    <w:rPr>
                      <w:color w:val="auto"/>
                      <w:lang w:val="en-US"/>
                    </w:rPr>
                  </w:pPr>
                </w:p>
              </w:tc>
              <w:tc>
                <w:tcPr>
                  <w:tcW w:w="433" w:type="dxa"/>
                  <w:vMerge w:val="continue"/>
                </w:tcPr>
                <w:p w14:paraId="3D378A10">
                  <w:pPr>
                    <w:pStyle w:val="70"/>
                    <w:rPr>
                      <w:color w:val="auto"/>
                      <w:lang w:val="en-US"/>
                    </w:rPr>
                  </w:pPr>
                </w:p>
              </w:tc>
              <w:tc>
                <w:tcPr>
                  <w:tcW w:w="553" w:type="dxa"/>
                  <w:gridSpan w:val="2"/>
                  <w:vMerge w:val="continue"/>
                </w:tcPr>
                <w:p w14:paraId="5B08C5D1">
                  <w:pPr>
                    <w:pStyle w:val="70"/>
                    <w:rPr>
                      <w:color w:val="auto"/>
                      <w:lang w:val="en-US"/>
                    </w:rPr>
                  </w:pPr>
                </w:p>
              </w:tc>
              <w:tc>
                <w:tcPr>
                  <w:tcW w:w="899" w:type="dxa"/>
                  <w:vAlign w:val="center"/>
                </w:tcPr>
                <w:p w14:paraId="3125A830">
                  <w:pPr>
                    <w:pStyle w:val="70"/>
                    <w:rPr>
                      <w:color w:val="auto"/>
                      <w:lang w:val="en-US"/>
                    </w:rPr>
                  </w:pPr>
                  <w:r>
                    <w:rPr>
                      <w:rFonts w:hint="eastAsia"/>
                      <w:color w:val="auto"/>
                      <w:lang w:val="en-US"/>
                    </w:rPr>
                    <w:t>除油池a</w:t>
                  </w:r>
                </w:p>
              </w:tc>
              <w:tc>
                <w:tcPr>
                  <w:tcW w:w="2801" w:type="dxa"/>
                  <w:vAlign w:val="center"/>
                </w:tcPr>
                <w:p w14:paraId="094BF071">
                  <w:pPr>
                    <w:pStyle w:val="70"/>
                    <w:jc w:val="center"/>
                    <w:rPr>
                      <w:color w:val="auto"/>
                      <w:lang w:val="en-US"/>
                    </w:rPr>
                  </w:pPr>
                  <w:r>
                    <w:rPr>
                      <w:rFonts w:hint="eastAsia"/>
                      <w:color w:val="auto"/>
                    </w:rPr>
                    <w:t>水</w:t>
                  </w:r>
                  <w:r>
                    <w:rPr>
                      <w:rFonts w:hint="eastAsia"/>
                      <w:color w:val="auto"/>
                      <w:lang w:val="en-US"/>
                    </w:rPr>
                    <w:t>池</w:t>
                  </w:r>
                  <w:r>
                    <w:rPr>
                      <w:rFonts w:hint="eastAsia"/>
                      <w:color w:val="auto"/>
                    </w:rPr>
                    <w:t>尺寸</w:t>
                  </w:r>
                  <w:r>
                    <w:rPr>
                      <w:rFonts w:hint="eastAsia"/>
                      <w:color w:val="auto"/>
                      <w:lang w:val="en-US"/>
                    </w:rPr>
                    <w:t>：</w:t>
                  </w:r>
                  <w:r>
                    <w:rPr>
                      <w:color w:val="auto"/>
                      <w:lang w:val="en-US"/>
                    </w:rPr>
                    <w:t>1.5</w:t>
                  </w:r>
                  <w:r>
                    <w:rPr>
                      <w:rFonts w:hint="eastAsia"/>
                      <w:color w:val="auto"/>
                      <w:lang w:val="en-US" w:eastAsia="zh-CN"/>
                    </w:rPr>
                    <w:t>（m）</w:t>
                  </w:r>
                  <w:r>
                    <w:rPr>
                      <w:color w:val="auto"/>
                      <w:lang w:val="en-US"/>
                    </w:rPr>
                    <w:t>×1.5</w:t>
                  </w:r>
                  <w:r>
                    <w:rPr>
                      <w:rFonts w:hint="eastAsia"/>
                      <w:color w:val="auto"/>
                      <w:lang w:val="en-US" w:eastAsia="zh-CN"/>
                    </w:rPr>
                    <w:t>（m）</w:t>
                  </w:r>
                  <w:r>
                    <w:rPr>
                      <w:color w:val="auto"/>
                      <w:lang w:val="en-US"/>
                    </w:rPr>
                    <w:t>×1</w:t>
                  </w:r>
                  <w:r>
                    <w:rPr>
                      <w:rFonts w:hint="eastAsia"/>
                      <w:color w:val="auto"/>
                      <w:lang w:val="en-US"/>
                    </w:rPr>
                    <w:t>（m），</w:t>
                  </w:r>
                  <w:r>
                    <w:rPr>
                      <w:rFonts w:hint="eastAsia"/>
                      <w:color w:val="auto"/>
                      <w:lang w:val="en-US" w:eastAsia="zh-CN"/>
                    </w:rPr>
                    <w:t>有效水深为0.8m，</w:t>
                  </w:r>
                  <w:r>
                    <w:rPr>
                      <w:rFonts w:hint="eastAsia"/>
                      <w:color w:val="auto"/>
                      <w:lang w:val="en-US"/>
                    </w:rPr>
                    <w:t>有效容积1.</w:t>
                  </w:r>
                  <w:r>
                    <w:rPr>
                      <w:rFonts w:hint="eastAsia"/>
                      <w:color w:val="auto"/>
                      <w:lang w:val="en-US" w:eastAsia="zh-CN"/>
                    </w:rPr>
                    <w:t>8</w:t>
                  </w:r>
                  <w:r>
                    <w:rPr>
                      <w:color w:val="auto"/>
                      <w:lang w:val="en-US"/>
                    </w:rPr>
                    <w:t>m³</w:t>
                  </w:r>
                </w:p>
              </w:tc>
              <w:tc>
                <w:tcPr>
                  <w:tcW w:w="831" w:type="dxa"/>
                  <w:vAlign w:val="center"/>
                </w:tcPr>
                <w:p w14:paraId="5ACCCA36">
                  <w:pPr>
                    <w:pStyle w:val="70"/>
                    <w:rPr>
                      <w:color w:val="auto"/>
                    </w:rPr>
                  </w:pPr>
                  <w:r>
                    <w:rPr>
                      <w:rFonts w:hint="eastAsia"/>
                      <w:color w:val="auto"/>
                    </w:rPr>
                    <w:t>1个</w:t>
                  </w:r>
                </w:p>
              </w:tc>
              <w:tc>
                <w:tcPr>
                  <w:tcW w:w="1065" w:type="dxa"/>
                  <w:vAlign w:val="center"/>
                </w:tcPr>
                <w:p w14:paraId="6C51C1F6">
                  <w:pPr>
                    <w:pStyle w:val="70"/>
                    <w:rPr>
                      <w:color w:val="auto"/>
                    </w:rPr>
                  </w:pPr>
                  <w:r>
                    <w:rPr>
                      <w:color w:val="auto"/>
                    </w:rPr>
                    <w:t>主除油</w:t>
                  </w:r>
                  <w:r>
                    <w:rPr>
                      <w:rFonts w:hint="eastAsia"/>
                      <w:color w:val="auto"/>
                    </w:rPr>
                    <w:t>a</w:t>
                  </w:r>
                </w:p>
              </w:tc>
              <w:tc>
                <w:tcPr>
                  <w:tcW w:w="1066" w:type="dxa"/>
                  <w:vAlign w:val="center"/>
                </w:tcPr>
                <w:p w14:paraId="33D6F702">
                  <w:pPr>
                    <w:pStyle w:val="70"/>
                    <w:rPr>
                      <w:color w:val="auto"/>
                    </w:rPr>
                  </w:pPr>
                  <w:r>
                    <w:rPr>
                      <w:rFonts w:hint="eastAsia"/>
                      <w:color w:val="auto"/>
                      <w:lang w:val="en-US" w:eastAsia="zh-CN"/>
                    </w:rPr>
                    <w:t>/</w:t>
                  </w:r>
                </w:p>
              </w:tc>
            </w:tr>
            <w:tr w14:paraId="79171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359D9CBF">
                  <w:pPr>
                    <w:pStyle w:val="70"/>
                    <w:jc w:val="both"/>
                    <w:rPr>
                      <w:color w:val="auto"/>
                      <w:lang w:val="en-US"/>
                    </w:rPr>
                  </w:pPr>
                </w:p>
              </w:tc>
              <w:tc>
                <w:tcPr>
                  <w:tcW w:w="433" w:type="dxa"/>
                  <w:vMerge w:val="continue"/>
                </w:tcPr>
                <w:p w14:paraId="790A02A6">
                  <w:pPr>
                    <w:pStyle w:val="70"/>
                    <w:rPr>
                      <w:color w:val="auto"/>
                      <w:lang w:val="en-US"/>
                    </w:rPr>
                  </w:pPr>
                </w:p>
              </w:tc>
              <w:tc>
                <w:tcPr>
                  <w:tcW w:w="553" w:type="dxa"/>
                  <w:gridSpan w:val="2"/>
                  <w:vMerge w:val="continue"/>
                </w:tcPr>
                <w:p w14:paraId="16F19BAC">
                  <w:pPr>
                    <w:pStyle w:val="70"/>
                    <w:rPr>
                      <w:color w:val="auto"/>
                      <w:lang w:val="en-US"/>
                    </w:rPr>
                  </w:pPr>
                </w:p>
              </w:tc>
              <w:tc>
                <w:tcPr>
                  <w:tcW w:w="899" w:type="dxa"/>
                  <w:vAlign w:val="center"/>
                </w:tcPr>
                <w:p w14:paraId="63539163">
                  <w:pPr>
                    <w:pStyle w:val="70"/>
                    <w:rPr>
                      <w:color w:val="auto"/>
                      <w:lang w:val="en-US"/>
                    </w:rPr>
                  </w:pPr>
                  <w:r>
                    <w:rPr>
                      <w:rFonts w:hint="eastAsia"/>
                      <w:color w:val="auto"/>
                      <w:lang w:val="en-US"/>
                    </w:rPr>
                    <w:t>水洗池a</w:t>
                  </w:r>
                </w:p>
              </w:tc>
              <w:tc>
                <w:tcPr>
                  <w:tcW w:w="2801" w:type="dxa"/>
                  <w:vAlign w:val="center"/>
                </w:tcPr>
                <w:p w14:paraId="36E51282">
                  <w:pPr>
                    <w:pStyle w:val="70"/>
                    <w:jc w:val="center"/>
                    <w:rPr>
                      <w:color w:val="auto"/>
                      <w:lang w:val="en-US"/>
                    </w:rPr>
                  </w:pPr>
                  <w:r>
                    <w:rPr>
                      <w:rFonts w:hint="eastAsia"/>
                      <w:color w:val="auto"/>
                    </w:rPr>
                    <w:t>水</w:t>
                  </w:r>
                  <w:r>
                    <w:rPr>
                      <w:rFonts w:hint="eastAsia"/>
                      <w:color w:val="auto"/>
                      <w:lang w:val="en-US"/>
                    </w:rPr>
                    <w:t>池</w:t>
                  </w:r>
                  <w:r>
                    <w:rPr>
                      <w:rFonts w:hint="eastAsia"/>
                      <w:color w:val="auto"/>
                    </w:rPr>
                    <w:t>尺寸</w:t>
                  </w:r>
                  <w:r>
                    <w:rPr>
                      <w:rFonts w:hint="eastAsia"/>
                      <w:color w:val="auto"/>
                      <w:lang w:val="en-US"/>
                    </w:rPr>
                    <w:t>：</w:t>
                  </w:r>
                  <w:r>
                    <w:rPr>
                      <w:color w:val="auto"/>
                      <w:lang w:val="en-US"/>
                    </w:rPr>
                    <w:t>1.5</w:t>
                  </w:r>
                  <w:r>
                    <w:rPr>
                      <w:rFonts w:hint="eastAsia"/>
                      <w:color w:val="auto"/>
                      <w:lang w:val="en-US" w:eastAsia="zh-CN"/>
                    </w:rPr>
                    <w:t>（m）</w:t>
                  </w:r>
                  <w:r>
                    <w:rPr>
                      <w:color w:val="auto"/>
                      <w:lang w:val="en-US"/>
                    </w:rPr>
                    <w:t>×1.5</w:t>
                  </w:r>
                  <w:r>
                    <w:rPr>
                      <w:rFonts w:hint="eastAsia"/>
                      <w:color w:val="auto"/>
                      <w:lang w:val="en-US" w:eastAsia="zh-CN"/>
                    </w:rPr>
                    <w:t>（m）</w:t>
                  </w:r>
                  <w:r>
                    <w:rPr>
                      <w:color w:val="auto"/>
                      <w:lang w:val="en-US"/>
                    </w:rPr>
                    <w:t>×1</w:t>
                  </w:r>
                  <w:r>
                    <w:rPr>
                      <w:rFonts w:hint="eastAsia"/>
                      <w:color w:val="auto"/>
                      <w:lang w:val="en-US"/>
                    </w:rPr>
                    <w:t>（m）</w:t>
                  </w:r>
                  <w:r>
                    <w:rPr>
                      <w:rFonts w:hint="eastAsia"/>
                      <w:color w:val="auto"/>
                      <w:lang w:val="en-US"/>
                    </w:rPr>
                    <w:t>，</w:t>
                  </w:r>
                  <w:r>
                    <w:rPr>
                      <w:rFonts w:hint="eastAsia"/>
                      <w:color w:val="auto"/>
                      <w:lang w:val="en-US" w:eastAsia="zh-CN"/>
                    </w:rPr>
                    <w:t>有效水深为0.8m，</w:t>
                  </w:r>
                  <w:r>
                    <w:rPr>
                      <w:rFonts w:hint="eastAsia"/>
                      <w:color w:val="auto"/>
                      <w:lang w:val="en-US"/>
                    </w:rPr>
                    <w:t>有效容积1.</w:t>
                  </w:r>
                  <w:r>
                    <w:rPr>
                      <w:rFonts w:hint="eastAsia"/>
                      <w:color w:val="auto"/>
                      <w:lang w:val="en-US" w:eastAsia="zh-CN"/>
                    </w:rPr>
                    <w:t>8</w:t>
                  </w:r>
                  <w:r>
                    <w:rPr>
                      <w:color w:val="auto"/>
                      <w:lang w:val="en-US"/>
                    </w:rPr>
                    <w:t>m³</w:t>
                  </w:r>
                </w:p>
              </w:tc>
              <w:tc>
                <w:tcPr>
                  <w:tcW w:w="831" w:type="dxa"/>
                  <w:vAlign w:val="center"/>
                </w:tcPr>
                <w:p w14:paraId="3D388CCE">
                  <w:pPr>
                    <w:pStyle w:val="70"/>
                    <w:rPr>
                      <w:color w:val="auto"/>
                    </w:rPr>
                  </w:pPr>
                  <w:r>
                    <w:rPr>
                      <w:rFonts w:hint="eastAsia"/>
                      <w:color w:val="auto"/>
                    </w:rPr>
                    <w:t>1个</w:t>
                  </w:r>
                </w:p>
              </w:tc>
              <w:tc>
                <w:tcPr>
                  <w:tcW w:w="1065" w:type="dxa"/>
                  <w:vAlign w:val="center"/>
                </w:tcPr>
                <w:p w14:paraId="18467A88">
                  <w:pPr>
                    <w:pStyle w:val="70"/>
                    <w:rPr>
                      <w:color w:val="auto"/>
                    </w:rPr>
                  </w:pPr>
                  <w:r>
                    <w:rPr>
                      <w:color w:val="auto"/>
                    </w:rPr>
                    <w:t>水洗</w:t>
                  </w:r>
                  <w:r>
                    <w:rPr>
                      <w:rFonts w:hint="eastAsia"/>
                      <w:color w:val="auto"/>
                    </w:rPr>
                    <w:t>a</w:t>
                  </w:r>
                </w:p>
              </w:tc>
              <w:tc>
                <w:tcPr>
                  <w:tcW w:w="1066" w:type="dxa"/>
                  <w:vAlign w:val="center"/>
                </w:tcPr>
                <w:p w14:paraId="7CA1142A">
                  <w:pPr>
                    <w:pStyle w:val="70"/>
                    <w:rPr>
                      <w:color w:val="auto"/>
                    </w:rPr>
                  </w:pPr>
                  <w:r>
                    <w:rPr>
                      <w:rFonts w:hint="eastAsia"/>
                      <w:color w:val="auto"/>
                      <w:lang w:val="en-US" w:eastAsia="zh-CN"/>
                    </w:rPr>
                    <w:t>/</w:t>
                  </w:r>
                </w:p>
              </w:tc>
            </w:tr>
            <w:tr w14:paraId="7A49D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4EDC0A6C">
                  <w:pPr>
                    <w:pStyle w:val="70"/>
                    <w:jc w:val="both"/>
                    <w:rPr>
                      <w:color w:val="auto"/>
                      <w:lang w:val="en-US"/>
                    </w:rPr>
                  </w:pPr>
                </w:p>
              </w:tc>
              <w:tc>
                <w:tcPr>
                  <w:tcW w:w="433" w:type="dxa"/>
                  <w:vMerge w:val="continue"/>
                </w:tcPr>
                <w:p w14:paraId="675FC976">
                  <w:pPr>
                    <w:pStyle w:val="70"/>
                    <w:rPr>
                      <w:color w:val="auto"/>
                      <w:lang w:val="en-US"/>
                    </w:rPr>
                  </w:pPr>
                </w:p>
              </w:tc>
              <w:tc>
                <w:tcPr>
                  <w:tcW w:w="553" w:type="dxa"/>
                  <w:gridSpan w:val="2"/>
                  <w:vMerge w:val="continue"/>
                </w:tcPr>
                <w:p w14:paraId="0DC085E3">
                  <w:pPr>
                    <w:pStyle w:val="70"/>
                    <w:rPr>
                      <w:color w:val="auto"/>
                      <w:lang w:val="en-US"/>
                    </w:rPr>
                  </w:pPr>
                </w:p>
              </w:tc>
              <w:tc>
                <w:tcPr>
                  <w:tcW w:w="899" w:type="dxa"/>
                  <w:vAlign w:val="center"/>
                </w:tcPr>
                <w:p w14:paraId="44D98C78">
                  <w:pPr>
                    <w:pStyle w:val="70"/>
                    <w:rPr>
                      <w:color w:val="auto"/>
                      <w:lang w:val="en-US"/>
                    </w:rPr>
                  </w:pPr>
                  <w:r>
                    <w:rPr>
                      <w:rFonts w:hint="eastAsia"/>
                      <w:color w:val="auto"/>
                      <w:lang w:val="en-US"/>
                    </w:rPr>
                    <w:t>陶化池a</w:t>
                  </w:r>
                </w:p>
              </w:tc>
              <w:tc>
                <w:tcPr>
                  <w:tcW w:w="2801" w:type="dxa"/>
                  <w:vAlign w:val="center"/>
                </w:tcPr>
                <w:p w14:paraId="00BD79F5">
                  <w:pPr>
                    <w:pStyle w:val="70"/>
                    <w:jc w:val="center"/>
                    <w:rPr>
                      <w:color w:val="auto"/>
                      <w:lang w:val="en-US"/>
                    </w:rPr>
                  </w:pPr>
                  <w:r>
                    <w:rPr>
                      <w:rFonts w:hint="eastAsia"/>
                      <w:color w:val="auto"/>
                    </w:rPr>
                    <w:t>水</w:t>
                  </w:r>
                  <w:r>
                    <w:rPr>
                      <w:rFonts w:hint="eastAsia"/>
                      <w:color w:val="auto"/>
                      <w:lang w:val="en-US"/>
                    </w:rPr>
                    <w:t>池</w:t>
                  </w:r>
                  <w:r>
                    <w:rPr>
                      <w:rFonts w:hint="eastAsia"/>
                      <w:color w:val="auto"/>
                    </w:rPr>
                    <w:t>尺寸</w:t>
                  </w:r>
                  <w:r>
                    <w:rPr>
                      <w:rFonts w:hint="eastAsia"/>
                      <w:color w:val="auto"/>
                      <w:lang w:val="en-US"/>
                    </w:rPr>
                    <w:t>：</w:t>
                  </w:r>
                  <w:r>
                    <w:rPr>
                      <w:color w:val="auto"/>
                      <w:lang w:val="en-US"/>
                    </w:rPr>
                    <w:t>1.5</w:t>
                  </w:r>
                  <w:r>
                    <w:rPr>
                      <w:rFonts w:hint="eastAsia"/>
                      <w:color w:val="auto"/>
                      <w:lang w:val="en-US" w:eastAsia="zh-CN"/>
                    </w:rPr>
                    <w:t>（m）</w:t>
                  </w:r>
                  <w:r>
                    <w:rPr>
                      <w:color w:val="auto"/>
                      <w:lang w:val="en-US"/>
                    </w:rPr>
                    <w:t>×1.5</w:t>
                  </w:r>
                  <w:r>
                    <w:rPr>
                      <w:rFonts w:hint="eastAsia"/>
                      <w:color w:val="auto"/>
                      <w:lang w:val="en-US" w:eastAsia="zh-CN"/>
                    </w:rPr>
                    <w:t>（m）</w:t>
                  </w:r>
                  <w:r>
                    <w:rPr>
                      <w:color w:val="auto"/>
                      <w:lang w:val="en-US"/>
                    </w:rPr>
                    <w:t>×1</w:t>
                  </w:r>
                  <w:r>
                    <w:rPr>
                      <w:rFonts w:hint="eastAsia"/>
                      <w:color w:val="auto"/>
                      <w:lang w:val="en-US"/>
                    </w:rPr>
                    <w:t>（m），</w:t>
                  </w:r>
                  <w:r>
                    <w:rPr>
                      <w:rFonts w:hint="eastAsia"/>
                      <w:color w:val="auto"/>
                      <w:lang w:val="en-US" w:eastAsia="zh-CN"/>
                    </w:rPr>
                    <w:t>有效水深为0.8m，</w:t>
                  </w:r>
                  <w:r>
                    <w:rPr>
                      <w:rFonts w:hint="eastAsia"/>
                      <w:color w:val="auto"/>
                      <w:lang w:val="en-US"/>
                    </w:rPr>
                    <w:t>有效容积1.</w:t>
                  </w:r>
                  <w:r>
                    <w:rPr>
                      <w:rFonts w:hint="eastAsia"/>
                      <w:color w:val="auto"/>
                      <w:lang w:val="en-US" w:eastAsia="zh-CN"/>
                    </w:rPr>
                    <w:t>8</w:t>
                  </w:r>
                  <w:r>
                    <w:rPr>
                      <w:color w:val="auto"/>
                      <w:lang w:val="en-US"/>
                    </w:rPr>
                    <w:t>m³</w:t>
                  </w:r>
                </w:p>
              </w:tc>
              <w:tc>
                <w:tcPr>
                  <w:tcW w:w="831" w:type="dxa"/>
                  <w:vAlign w:val="center"/>
                </w:tcPr>
                <w:p w14:paraId="7743B098">
                  <w:pPr>
                    <w:pStyle w:val="70"/>
                    <w:rPr>
                      <w:color w:val="auto"/>
                    </w:rPr>
                  </w:pPr>
                  <w:r>
                    <w:rPr>
                      <w:rFonts w:hint="eastAsia"/>
                      <w:color w:val="auto"/>
                    </w:rPr>
                    <w:t>1个</w:t>
                  </w:r>
                </w:p>
              </w:tc>
              <w:tc>
                <w:tcPr>
                  <w:tcW w:w="1065" w:type="dxa"/>
                  <w:vAlign w:val="center"/>
                </w:tcPr>
                <w:p w14:paraId="19B0C798">
                  <w:pPr>
                    <w:pStyle w:val="70"/>
                    <w:rPr>
                      <w:color w:val="auto"/>
                    </w:rPr>
                  </w:pPr>
                  <w:r>
                    <w:rPr>
                      <w:color w:val="auto"/>
                    </w:rPr>
                    <w:t>陶化</w:t>
                  </w:r>
                  <w:r>
                    <w:rPr>
                      <w:rFonts w:hint="eastAsia"/>
                      <w:color w:val="auto"/>
                    </w:rPr>
                    <w:t>a</w:t>
                  </w:r>
                </w:p>
              </w:tc>
              <w:tc>
                <w:tcPr>
                  <w:tcW w:w="1066" w:type="dxa"/>
                  <w:vAlign w:val="center"/>
                </w:tcPr>
                <w:p w14:paraId="516E6303">
                  <w:pPr>
                    <w:pStyle w:val="70"/>
                    <w:rPr>
                      <w:color w:val="auto"/>
                    </w:rPr>
                  </w:pPr>
                  <w:r>
                    <w:rPr>
                      <w:rFonts w:hint="eastAsia"/>
                      <w:color w:val="auto"/>
                      <w:lang w:val="en-US" w:eastAsia="zh-CN"/>
                    </w:rPr>
                    <w:t>/</w:t>
                  </w:r>
                </w:p>
              </w:tc>
            </w:tr>
            <w:tr w14:paraId="04958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6FF5800F">
                  <w:pPr>
                    <w:pStyle w:val="70"/>
                    <w:jc w:val="both"/>
                    <w:rPr>
                      <w:color w:val="auto"/>
                      <w:lang w:val="en-US"/>
                    </w:rPr>
                  </w:pPr>
                </w:p>
              </w:tc>
              <w:tc>
                <w:tcPr>
                  <w:tcW w:w="433" w:type="dxa"/>
                  <w:vMerge w:val="continue"/>
                </w:tcPr>
                <w:p w14:paraId="0115FA78">
                  <w:pPr>
                    <w:pStyle w:val="70"/>
                    <w:rPr>
                      <w:color w:val="auto"/>
                      <w:lang w:val="en-US"/>
                    </w:rPr>
                  </w:pPr>
                </w:p>
              </w:tc>
              <w:tc>
                <w:tcPr>
                  <w:tcW w:w="553" w:type="dxa"/>
                  <w:gridSpan w:val="2"/>
                  <w:vMerge w:val="continue"/>
                </w:tcPr>
                <w:p w14:paraId="43E946A2">
                  <w:pPr>
                    <w:pStyle w:val="70"/>
                    <w:rPr>
                      <w:color w:val="auto"/>
                      <w:lang w:val="en-US"/>
                    </w:rPr>
                  </w:pPr>
                </w:p>
              </w:tc>
              <w:tc>
                <w:tcPr>
                  <w:tcW w:w="899" w:type="dxa"/>
                  <w:vAlign w:val="center"/>
                </w:tcPr>
                <w:p w14:paraId="26EC29E9">
                  <w:pPr>
                    <w:pStyle w:val="70"/>
                    <w:rPr>
                      <w:color w:val="auto"/>
                      <w:lang w:val="en-US"/>
                    </w:rPr>
                  </w:pPr>
                  <w:r>
                    <w:rPr>
                      <w:rFonts w:hint="eastAsia"/>
                      <w:color w:val="auto"/>
                      <w:lang w:val="en-US"/>
                    </w:rPr>
                    <w:t>水洗池b</w:t>
                  </w:r>
                </w:p>
              </w:tc>
              <w:tc>
                <w:tcPr>
                  <w:tcW w:w="2801" w:type="dxa"/>
                  <w:vAlign w:val="center"/>
                </w:tcPr>
                <w:p w14:paraId="3696BF6A">
                  <w:pPr>
                    <w:pStyle w:val="70"/>
                    <w:jc w:val="center"/>
                    <w:rPr>
                      <w:color w:val="auto"/>
                      <w:lang w:val="en-US"/>
                    </w:rPr>
                  </w:pPr>
                  <w:r>
                    <w:rPr>
                      <w:rFonts w:hint="eastAsia"/>
                      <w:color w:val="auto"/>
                    </w:rPr>
                    <w:t>水</w:t>
                  </w:r>
                  <w:r>
                    <w:rPr>
                      <w:rFonts w:hint="eastAsia"/>
                      <w:color w:val="auto"/>
                      <w:lang w:val="en-US"/>
                    </w:rPr>
                    <w:t>池</w:t>
                  </w:r>
                  <w:r>
                    <w:rPr>
                      <w:rFonts w:hint="eastAsia"/>
                      <w:color w:val="auto"/>
                    </w:rPr>
                    <w:t>尺寸</w:t>
                  </w:r>
                  <w:r>
                    <w:rPr>
                      <w:rFonts w:hint="eastAsia"/>
                      <w:color w:val="auto"/>
                      <w:lang w:val="en-US"/>
                    </w:rPr>
                    <w:t>：</w:t>
                  </w:r>
                  <w:r>
                    <w:rPr>
                      <w:color w:val="auto"/>
                      <w:lang w:val="en-US"/>
                    </w:rPr>
                    <w:t>1.5</w:t>
                  </w:r>
                  <w:r>
                    <w:rPr>
                      <w:rFonts w:hint="eastAsia"/>
                      <w:color w:val="auto"/>
                      <w:lang w:val="en-US" w:eastAsia="zh-CN"/>
                    </w:rPr>
                    <w:t>（m）</w:t>
                  </w:r>
                  <w:r>
                    <w:rPr>
                      <w:color w:val="auto"/>
                      <w:lang w:val="en-US"/>
                    </w:rPr>
                    <w:t>×1.5</w:t>
                  </w:r>
                  <w:r>
                    <w:rPr>
                      <w:rFonts w:hint="eastAsia"/>
                      <w:color w:val="auto"/>
                      <w:lang w:val="en-US" w:eastAsia="zh-CN"/>
                    </w:rPr>
                    <w:t>（m）</w:t>
                  </w:r>
                  <w:r>
                    <w:rPr>
                      <w:color w:val="auto"/>
                      <w:lang w:val="en-US"/>
                    </w:rPr>
                    <w:t>×1</w:t>
                  </w:r>
                  <w:r>
                    <w:rPr>
                      <w:rFonts w:hint="eastAsia"/>
                      <w:color w:val="auto"/>
                      <w:lang w:val="en-US"/>
                    </w:rPr>
                    <w:t>（m），</w:t>
                  </w:r>
                  <w:r>
                    <w:rPr>
                      <w:rFonts w:hint="eastAsia"/>
                      <w:color w:val="auto"/>
                      <w:lang w:val="en-US" w:eastAsia="zh-CN"/>
                    </w:rPr>
                    <w:t>有效水深为0.8m，</w:t>
                  </w:r>
                  <w:r>
                    <w:rPr>
                      <w:rFonts w:hint="eastAsia"/>
                      <w:color w:val="auto"/>
                      <w:lang w:val="en-US"/>
                    </w:rPr>
                    <w:t>有效容积1.</w:t>
                  </w:r>
                  <w:r>
                    <w:rPr>
                      <w:rFonts w:hint="eastAsia"/>
                      <w:color w:val="auto"/>
                      <w:lang w:val="en-US" w:eastAsia="zh-CN"/>
                    </w:rPr>
                    <w:t>8</w:t>
                  </w:r>
                  <w:r>
                    <w:rPr>
                      <w:color w:val="auto"/>
                      <w:lang w:val="en-US"/>
                    </w:rPr>
                    <w:t>m³</w:t>
                  </w:r>
                </w:p>
              </w:tc>
              <w:tc>
                <w:tcPr>
                  <w:tcW w:w="831" w:type="dxa"/>
                  <w:vAlign w:val="center"/>
                </w:tcPr>
                <w:p w14:paraId="2DABF35E">
                  <w:pPr>
                    <w:pStyle w:val="70"/>
                    <w:rPr>
                      <w:color w:val="auto"/>
                    </w:rPr>
                  </w:pPr>
                  <w:r>
                    <w:rPr>
                      <w:rFonts w:hint="eastAsia"/>
                      <w:color w:val="auto"/>
                    </w:rPr>
                    <w:t>1个</w:t>
                  </w:r>
                </w:p>
              </w:tc>
              <w:tc>
                <w:tcPr>
                  <w:tcW w:w="1065" w:type="dxa"/>
                  <w:vAlign w:val="center"/>
                </w:tcPr>
                <w:p w14:paraId="38B7FBC7">
                  <w:pPr>
                    <w:pStyle w:val="70"/>
                    <w:rPr>
                      <w:color w:val="auto"/>
                    </w:rPr>
                  </w:pPr>
                  <w:r>
                    <w:rPr>
                      <w:color w:val="auto"/>
                    </w:rPr>
                    <w:t>水洗b</w:t>
                  </w:r>
                </w:p>
              </w:tc>
              <w:tc>
                <w:tcPr>
                  <w:tcW w:w="1066" w:type="dxa"/>
                  <w:vAlign w:val="center"/>
                </w:tcPr>
                <w:p w14:paraId="11F5C555">
                  <w:pPr>
                    <w:pStyle w:val="70"/>
                    <w:rPr>
                      <w:color w:val="auto"/>
                    </w:rPr>
                  </w:pPr>
                  <w:r>
                    <w:rPr>
                      <w:rFonts w:hint="eastAsia"/>
                      <w:color w:val="auto"/>
                      <w:lang w:val="en-US" w:eastAsia="zh-CN"/>
                    </w:rPr>
                    <w:t>/</w:t>
                  </w:r>
                </w:p>
              </w:tc>
            </w:tr>
            <w:tr w14:paraId="159A0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trPr>
              <w:tc>
                <w:tcPr>
                  <w:tcW w:w="530" w:type="dxa"/>
                  <w:vMerge w:val="continue"/>
                  <w:vAlign w:val="center"/>
                </w:tcPr>
                <w:p w14:paraId="07722471">
                  <w:pPr>
                    <w:pStyle w:val="70"/>
                    <w:jc w:val="both"/>
                    <w:rPr>
                      <w:color w:val="auto"/>
                      <w:lang w:val="en-US"/>
                    </w:rPr>
                  </w:pPr>
                </w:p>
              </w:tc>
              <w:tc>
                <w:tcPr>
                  <w:tcW w:w="433" w:type="dxa"/>
                  <w:vMerge w:val="continue"/>
                </w:tcPr>
                <w:p w14:paraId="6E8CFEB2">
                  <w:pPr>
                    <w:pStyle w:val="70"/>
                    <w:rPr>
                      <w:color w:val="auto"/>
                      <w:lang w:val="en-US"/>
                    </w:rPr>
                  </w:pPr>
                </w:p>
              </w:tc>
              <w:tc>
                <w:tcPr>
                  <w:tcW w:w="553" w:type="dxa"/>
                  <w:gridSpan w:val="2"/>
                  <w:vMerge w:val="continue"/>
                </w:tcPr>
                <w:p w14:paraId="026C26DB">
                  <w:pPr>
                    <w:pStyle w:val="70"/>
                    <w:rPr>
                      <w:color w:val="auto"/>
                      <w:lang w:val="en-US"/>
                    </w:rPr>
                  </w:pPr>
                </w:p>
              </w:tc>
              <w:tc>
                <w:tcPr>
                  <w:tcW w:w="899" w:type="dxa"/>
                  <w:vAlign w:val="center"/>
                </w:tcPr>
                <w:p w14:paraId="1728A57F">
                  <w:pPr>
                    <w:pStyle w:val="70"/>
                    <w:rPr>
                      <w:color w:val="auto"/>
                      <w:lang w:val="en-US"/>
                    </w:rPr>
                  </w:pPr>
                  <w:r>
                    <w:rPr>
                      <w:rFonts w:hint="eastAsia"/>
                      <w:color w:val="auto"/>
                      <w:lang w:val="en-US"/>
                    </w:rPr>
                    <w:t>水洗池c</w:t>
                  </w:r>
                </w:p>
              </w:tc>
              <w:tc>
                <w:tcPr>
                  <w:tcW w:w="2801" w:type="dxa"/>
                  <w:vAlign w:val="center"/>
                </w:tcPr>
                <w:p w14:paraId="2B3304ED">
                  <w:pPr>
                    <w:pStyle w:val="70"/>
                    <w:jc w:val="center"/>
                    <w:rPr>
                      <w:color w:val="auto"/>
                      <w:lang w:val="en-US"/>
                    </w:rPr>
                  </w:pPr>
                  <w:r>
                    <w:rPr>
                      <w:rFonts w:hint="eastAsia"/>
                      <w:color w:val="auto"/>
                    </w:rPr>
                    <w:t>水</w:t>
                  </w:r>
                  <w:r>
                    <w:rPr>
                      <w:rFonts w:hint="eastAsia"/>
                      <w:color w:val="auto"/>
                      <w:lang w:val="en-US"/>
                    </w:rPr>
                    <w:t>池</w:t>
                  </w:r>
                  <w:r>
                    <w:rPr>
                      <w:rFonts w:hint="eastAsia"/>
                      <w:color w:val="auto"/>
                    </w:rPr>
                    <w:t>尺寸</w:t>
                  </w:r>
                  <w:r>
                    <w:rPr>
                      <w:rFonts w:hint="eastAsia"/>
                      <w:color w:val="auto"/>
                      <w:lang w:val="en-US"/>
                    </w:rPr>
                    <w:t>：</w:t>
                  </w:r>
                  <w:r>
                    <w:rPr>
                      <w:color w:val="auto"/>
                      <w:lang w:val="en-US"/>
                    </w:rPr>
                    <w:t>1.5</w:t>
                  </w:r>
                  <w:r>
                    <w:rPr>
                      <w:rFonts w:hint="eastAsia"/>
                      <w:color w:val="auto"/>
                      <w:lang w:val="en-US" w:eastAsia="zh-CN"/>
                    </w:rPr>
                    <w:t>（m）</w:t>
                  </w:r>
                  <w:r>
                    <w:rPr>
                      <w:color w:val="auto"/>
                      <w:lang w:val="en-US"/>
                    </w:rPr>
                    <w:t>×1.5</w:t>
                  </w:r>
                  <w:r>
                    <w:rPr>
                      <w:rFonts w:hint="eastAsia"/>
                      <w:color w:val="auto"/>
                      <w:lang w:val="en-US" w:eastAsia="zh-CN"/>
                    </w:rPr>
                    <w:t>（m）</w:t>
                  </w:r>
                  <w:r>
                    <w:rPr>
                      <w:color w:val="auto"/>
                      <w:lang w:val="en-US"/>
                    </w:rPr>
                    <w:t>×1</w:t>
                  </w:r>
                  <w:r>
                    <w:rPr>
                      <w:rFonts w:hint="eastAsia"/>
                      <w:color w:val="auto"/>
                      <w:lang w:val="en-US"/>
                    </w:rPr>
                    <w:t>（m），</w:t>
                  </w:r>
                  <w:r>
                    <w:rPr>
                      <w:rFonts w:hint="eastAsia"/>
                      <w:color w:val="auto"/>
                      <w:lang w:val="en-US" w:eastAsia="zh-CN"/>
                    </w:rPr>
                    <w:t>有效水深为0.8m，</w:t>
                  </w:r>
                  <w:r>
                    <w:rPr>
                      <w:rFonts w:hint="eastAsia"/>
                      <w:color w:val="auto"/>
                      <w:lang w:val="en-US"/>
                    </w:rPr>
                    <w:t>有效容积1.</w:t>
                  </w:r>
                  <w:r>
                    <w:rPr>
                      <w:rFonts w:hint="eastAsia"/>
                      <w:color w:val="auto"/>
                      <w:lang w:val="en-US" w:eastAsia="zh-CN"/>
                    </w:rPr>
                    <w:t>8</w:t>
                  </w:r>
                  <w:r>
                    <w:rPr>
                      <w:color w:val="auto"/>
                      <w:lang w:val="en-US"/>
                    </w:rPr>
                    <w:t>m³</w:t>
                  </w:r>
                </w:p>
              </w:tc>
              <w:tc>
                <w:tcPr>
                  <w:tcW w:w="831" w:type="dxa"/>
                  <w:vAlign w:val="center"/>
                </w:tcPr>
                <w:p w14:paraId="4CB8E633">
                  <w:pPr>
                    <w:pStyle w:val="70"/>
                    <w:rPr>
                      <w:color w:val="auto"/>
                    </w:rPr>
                  </w:pPr>
                  <w:r>
                    <w:rPr>
                      <w:rFonts w:hint="eastAsia"/>
                      <w:color w:val="auto"/>
                    </w:rPr>
                    <w:t>1个</w:t>
                  </w:r>
                </w:p>
              </w:tc>
              <w:tc>
                <w:tcPr>
                  <w:tcW w:w="1065" w:type="dxa"/>
                  <w:vAlign w:val="center"/>
                </w:tcPr>
                <w:p w14:paraId="6D1AF7C2">
                  <w:pPr>
                    <w:pStyle w:val="70"/>
                    <w:rPr>
                      <w:color w:val="auto"/>
                    </w:rPr>
                  </w:pPr>
                  <w:r>
                    <w:rPr>
                      <w:color w:val="auto"/>
                    </w:rPr>
                    <w:t>水洗</w:t>
                  </w:r>
                  <w:r>
                    <w:rPr>
                      <w:rFonts w:hint="eastAsia"/>
                      <w:color w:val="auto"/>
                    </w:rPr>
                    <w:t>c</w:t>
                  </w:r>
                </w:p>
              </w:tc>
              <w:tc>
                <w:tcPr>
                  <w:tcW w:w="1066" w:type="dxa"/>
                  <w:vAlign w:val="center"/>
                </w:tcPr>
                <w:p w14:paraId="363A3741">
                  <w:pPr>
                    <w:pStyle w:val="70"/>
                    <w:rPr>
                      <w:color w:val="auto"/>
                    </w:rPr>
                  </w:pPr>
                  <w:r>
                    <w:rPr>
                      <w:rFonts w:hint="eastAsia"/>
                      <w:color w:val="auto"/>
                      <w:lang w:val="en-US" w:eastAsia="zh-CN"/>
                    </w:rPr>
                    <w:t>/</w:t>
                  </w:r>
                </w:p>
              </w:tc>
            </w:tr>
          </w:tbl>
          <w:p w14:paraId="28063B67">
            <w:pPr>
              <w:pStyle w:val="9"/>
              <w:keepNext/>
              <w:keepLines/>
              <w:pageBreakBefore w:val="0"/>
              <w:widowControl w:val="0"/>
              <w:numPr>
                <w:ilvl w:val="0"/>
                <w:numId w:val="0"/>
              </w:numPr>
              <w:kinsoku w:val="0"/>
              <w:wordWrap w:val="0"/>
              <w:overflowPunct/>
              <w:topLinePunct w:val="0"/>
              <w:autoSpaceDE/>
              <w:autoSpaceDN/>
              <w:bidi w:val="0"/>
              <w:adjustRightInd/>
              <w:snapToGrid/>
              <w:ind w:left="0" w:firstLine="0"/>
              <w:jc w:val="left"/>
              <w:textAlignment w:val="auto"/>
              <w:rPr>
                <w:b w:val="0"/>
                <w:color w:val="auto"/>
                <w:szCs w:val="21"/>
              </w:rPr>
            </w:pPr>
            <w:r>
              <w:rPr>
                <w:b w:val="0"/>
                <w:color w:val="auto"/>
                <w:szCs w:val="21"/>
              </w:rPr>
              <w:t>注</w:t>
            </w:r>
            <w:r>
              <w:rPr>
                <w:rFonts w:hint="eastAsia"/>
                <w:b w:val="0"/>
                <w:color w:val="auto"/>
                <w:szCs w:val="21"/>
              </w:rPr>
              <w:t>：本项目使用的设备均不在《产业结构调整指导目录（20</w:t>
            </w:r>
            <w:r>
              <w:rPr>
                <w:rFonts w:hint="eastAsia"/>
                <w:b w:val="0"/>
                <w:color w:val="auto"/>
                <w:szCs w:val="21"/>
                <w:lang w:val="en-US" w:eastAsia="zh-CN"/>
              </w:rPr>
              <w:t>24</w:t>
            </w:r>
            <w:r>
              <w:rPr>
                <w:rFonts w:hint="eastAsia"/>
                <w:b w:val="0"/>
                <w:color w:val="auto"/>
                <w:szCs w:val="21"/>
              </w:rPr>
              <w:t>年本）》淘汰类和限制类之列。</w:t>
            </w:r>
          </w:p>
          <w:p w14:paraId="1F3358ED">
            <w:pPr>
              <w:pStyle w:val="9"/>
              <w:ind w:left="630" w:leftChars="0" w:firstLineChars="0"/>
              <w:rPr>
                <w:color w:val="auto"/>
              </w:rPr>
            </w:pPr>
            <w:r>
              <w:rPr>
                <w:rFonts w:hint="eastAsia"/>
                <w:color w:val="auto"/>
                <w:lang w:val="en-US"/>
              </w:rPr>
              <w:t>自动前处理线</w:t>
            </w:r>
            <w:r>
              <w:rPr>
                <w:rFonts w:hint="eastAsia"/>
                <w:color w:val="auto"/>
              </w:rPr>
              <w:t>生产线产能核算表</w:t>
            </w:r>
          </w:p>
          <w:tbl>
            <w:tblPr>
              <w:tblStyle w:val="35"/>
              <w:tblW w:w="83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589"/>
              <w:gridCol w:w="1376"/>
              <w:gridCol w:w="1618"/>
              <w:gridCol w:w="1235"/>
              <w:gridCol w:w="1040"/>
              <w:gridCol w:w="1326"/>
            </w:tblGrid>
            <w:tr w14:paraId="3EB59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1206" w:type="dxa"/>
                  <w:vMerge w:val="restart"/>
                  <w:vAlign w:val="center"/>
                </w:tcPr>
                <w:p w14:paraId="26B0B51D">
                  <w:pPr>
                    <w:pStyle w:val="174"/>
                    <w:spacing w:before="120"/>
                    <w:rPr>
                      <w:b/>
                      <w:color w:val="auto"/>
                      <w:kern w:val="2"/>
                      <w:sz w:val="21"/>
                    </w:rPr>
                  </w:pPr>
                  <w:r>
                    <w:rPr>
                      <w:rFonts w:hint="eastAsia"/>
                      <w:b/>
                      <w:color w:val="auto"/>
                      <w:kern w:val="2"/>
                      <w:sz w:val="21"/>
                    </w:rPr>
                    <w:t>生产线名称</w:t>
                  </w:r>
                </w:p>
              </w:tc>
              <w:tc>
                <w:tcPr>
                  <w:tcW w:w="589" w:type="dxa"/>
                  <w:vMerge w:val="restart"/>
                  <w:vAlign w:val="center"/>
                </w:tcPr>
                <w:p w14:paraId="774CF0C9">
                  <w:pPr>
                    <w:pStyle w:val="174"/>
                    <w:spacing w:before="120"/>
                    <w:rPr>
                      <w:b/>
                      <w:color w:val="auto"/>
                      <w:kern w:val="2"/>
                      <w:sz w:val="21"/>
                    </w:rPr>
                  </w:pPr>
                  <w:r>
                    <w:rPr>
                      <w:rFonts w:hint="eastAsia"/>
                      <w:b/>
                      <w:color w:val="auto"/>
                      <w:kern w:val="2"/>
                      <w:sz w:val="21"/>
                    </w:rPr>
                    <w:t>数量</w:t>
                  </w:r>
                </w:p>
              </w:tc>
              <w:tc>
                <w:tcPr>
                  <w:tcW w:w="5269" w:type="dxa"/>
                  <w:gridSpan w:val="4"/>
                  <w:vAlign w:val="center"/>
                </w:tcPr>
                <w:p w14:paraId="6DC5CA4B">
                  <w:pPr>
                    <w:pStyle w:val="174"/>
                    <w:spacing w:before="120"/>
                    <w:rPr>
                      <w:b/>
                      <w:color w:val="auto"/>
                      <w:kern w:val="2"/>
                      <w:sz w:val="21"/>
                    </w:rPr>
                  </w:pPr>
                  <w:r>
                    <w:rPr>
                      <w:rFonts w:hint="eastAsia"/>
                      <w:b/>
                      <w:color w:val="auto"/>
                      <w:kern w:val="2"/>
                      <w:sz w:val="21"/>
                    </w:rPr>
                    <w:t>生产线运行参数</w:t>
                  </w:r>
                </w:p>
              </w:tc>
              <w:tc>
                <w:tcPr>
                  <w:tcW w:w="1326" w:type="dxa"/>
                  <w:vMerge w:val="restart"/>
                  <w:vAlign w:val="center"/>
                </w:tcPr>
                <w:p w14:paraId="663A8C2E">
                  <w:pPr>
                    <w:pStyle w:val="174"/>
                    <w:spacing w:before="120"/>
                    <w:rPr>
                      <w:b/>
                      <w:color w:val="auto"/>
                      <w:kern w:val="2"/>
                      <w:sz w:val="21"/>
                    </w:rPr>
                  </w:pPr>
                  <w:r>
                    <w:rPr>
                      <w:rFonts w:hint="eastAsia"/>
                      <w:b/>
                      <w:color w:val="auto"/>
                      <w:kern w:val="2"/>
                      <w:sz w:val="21"/>
                    </w:rPr>
                    <w:t>产品（万个）</w:t>
                  </w:r>
                </w:p>
              </w:tc>
            </w:tr>
            <w:tr w14:paraId="53841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1206" w:type="dxa"/>
                  <w:vMerge w:val="continue"/>
                  <w:vAlign w:val="center"/>
                </w:tcPr>
                <w:p w14:paraId="787D7123">
                  <w:pPr>
                    <w:pStyle w:val="174"/>
                    <w:spacing w:before="120"/>
                    <w:rPr>
                      <w:b/>
                      <w:color w:val="auto"/>
                      <w:kern w:val="2"/>
                      <w:sz w:val="21"/>
                    </w:rPr>
                  </w:pPr>
                </w:p>
              </w:tc>
              <w:tc>
                <w:tcPr>
                  <w:tcW w:w="589" w:type="dxa"/>
                  <w:vMerge w:val="continue"/>
                  <w:vAlign w:val="center"/>
                </w:tcPr>
                <w:p w14:paraId="42F9FD79">
                  <w:pPr>
                    <w:pStyle w:val="174"/>
                    <w:spacing w:before="120"/>
                    <w:rPr>
                      <w:b/>
                      <w:color w:val="auto"/>
                      <w:kern w:val="2"/>
                      <w:sz w:val="21"/>
                    </w:rPr>
                  </w:pPr>
                </w:p>
              </w:tc>
              <w:tc>
                <w:tcPr>
                  <w:tcW w:w="1376" w:type="dxa"/>
                  <w:vAlign w:val="center"/>
                </w:tcPr>
                <w:p w14:paraId="210B733A">
                  <w:pPr>
                    <w:pStyle w:val="174"/>
                    <w:spacing w:before="120"/>
                    <w:rPr>
                      <w:b/>
                      <w:color w:val="auto"/>
                      <w:kern w:val="2"/>
                      <w:sz w:val="21"/>
                    </w:rPr>
                  </w:pPr>
                  <w:r>
                    <w:rPr>
                      <w:rFonts w:hint="eastAsia"/>
                      <w:b/>
                      <w:color w:val="auto"/>
                      <w:kern w:val="2"/>
                      <w:sz w:val="21"/>
                    </w:rPr>
                    <w:t>输送线传输速度</w:t>
                  </w:r>
                </w:p>
              </w:tc>
              <w:tc>
                <w:tcPr>
                  <w:tcW w:w="1618" w:type="dxa"/>
                  <w:vAlign w:val="center"/>
                </w:tcPr>
                <w:p w14:paraId="64CA7711">
                  <w:pPr>
                    <w:pStyle w:val="174"/>
                    <w:spacing w:before="120"/>
                    <w:rPr>
                      <w:b/>
                      <w:color w:val="auto"/>
                      <w:kern w:val="2"/>
                      <w:sz w:val="21"/>
                    </w:rPr>
                  </w:pPr>
                  <w:r>
                    <w:rPr>
                      <w:rFonts w:hint="eastAsia"/>
                      <w:b/>
                      <w:color w:val="auto"/>
                      <w:kern w:val="2"/>
                      <w:sz w:val="21"/>
                    </w:rPr>
                    <w:t>每</w:t>
                  </w:r>
                  <w:r>
                    <w:rPr>
                      <w:b/>
                      <w:color w:val="auto"/>
                      <w:kern w:val="2"/>
                      <w:sz w:val="21"/>
                    </w:rPr>
                    <w:t>1</w:t>
                  </w:r>
                  <w:r>
                    <w:rPr>
                      <w:rFonts w:hint="eastAsia"/>
                      <w:b/>
                      <w:color w:val="auto"/>
                      <w:kern w:val="2"/>
                      <w:sz w:val="21"/>
                    </w:rPr>
                    <w:t>米区间范围内挂具数量</w:t>
                  </w:r>
                </w:p>
              </w:tc>
              <w:tc>
                <w:tcPr>
                  <w:tcW w:w="1235" w:type="dxa"/>
                  <w:vAlign w:val="center"/>
                </w:tcPr>
                <w:p w14:paraId="6955CEE4">
                  <w:pPr>
                    <w:pStyle w:val="174"/>
                    <w:spacing w:before="120"/>
                    <w:rPr>
                      <w:rFonts w:hint="eastAsia" w:eastAsia="宋体"/>
                      <w:b/>
                      <w:color w:val="auto"/>
                      <w:kern w:val="2"/>
                      <w:sz w:val="21"/>
                      <w:lang w:eastAsia="zh-CN"/>
                    </w:rPr>
                  </w:pPr>
                  <w:r>
                    <w:rPr>
                      <w:rFonts w:hint="eastAsia"/>
                      <w:b/>
                      <w:color w:val="auto"/>
                      <w:kern w:val="2"/>
                      <w:sz w:val="21"/>
                    </w:rPr>
                    <w:t>单</w:t>
                  </w:r>
                  <w:r>
                    <w:rPr>
                      <w:rFonts w:hint="eastAsia"/>
                      <w:b/>
                      <w:color w:val="auto"/>
                      <w:kern w:val="2"/>
                      <w:sz w:val="21"/>
                      <w:lang w:val="en-US" w:eastAsia="zh-CN"/>
                    </w:rPr>
                    <w:t>件</w:t>
                  </w:r>
                  <w:r>
                    <w:rPr>
                      <w:rFonts w:hint="eastAsia"/>
                      <w:b/>
                      <w:color w:val="auto"/>
                      <w:kern w:val="2"/>
                      <w:sz w:val="21"/>
                    </w:rPr>
                    <w:t>产品</w:t>
                  </w:r>
                  <w:r>
                    <w:rPr>
                      <w:rFonts w:hint="eastAsia"/>
                      <w:b/>
                      <w:color w:val="auto"/>
                      <w:kern w:val="2"/>
                      <w:sz w:val="21"/>
                      <w:lang w:val="en-US" w:eastAsia="zh-CN"/>
                    </w:rPr>
                    <w:t>所需挂具</w:t>
                  </w:r>
                </w:p>
              </w:tc>
              <w:tc>
                <w:tcPr>
                  <w:tcW w:w="1040" w:type="dxa"/>
                  <w:vAlign w:val="center"/>
                </w:tcPr>
                <w:p w14:paraId="20C86FEE">
                  <w:pPr>
                    <w:pStyle w:val="174"/>
                    <w:spacing w:before="120"/>
                    <w:rPr>
                      <w:b/>
                      <w:color w:val="auto"/>
                      <w:kern w:val="2"/>
                      <w:sz w:val="21"/>
                    </w:rPr>
                  </w:pPr>
                  <w:r>
                    <w:rPr>
                      <w:rFonts w:hint="eastAsia"/>
                      <w:b/>
                      <w:color w:val="auto"/>
                      <w:kern w:val="2"/>
                      <w:sz w:val="21"/>
                    </w:rPr>
                    <w:t>运行时间</w:t>
                  </w:r>
                </w:p>
              </w:tc>
              <w:tc>
                <w:tcPr>
                  <w:tcW w:w="1326" w:type="dxa"/>
                  <w:vMerge w:val="continue"/>
                  <w:vAlign w:val="center"/>
                </w:tcPr>
                <w:p w14:paraId="22C170F7">
                  <w:pPr>
                    <w:pStyle w:val="174"/>
                    <w:spacing w:before="120"/>
                    <w:rPr>
                      <w:b/>
                      <w:color w:val="auto"/>
                      <w:kern w:val="2"/>
                      <w:sz w:val="21"/>
                    </w:rPr>
                  </w:pPr>
                </w:p>
              </w:tc>
            </w:tr>
            <w:tr w14:paraId="13364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1206" w:type="dxa"/>
                  <w:vAlign w:val="center"/>
                </w:tcPr>
                <w:p w14:paraId="0B384FBF">
                  <w:pPr>
                    <w:pStyle w:val="174"/>
                    <w:spacing w:beforeLines="0"/>
                    <w:rPr>
                      <w:bCs/>
                      <w:color w:val="auto"/>
                      <w:kern w:val="2"/>
                      <w:sz w:val="21"/>
                    </w:rPr>
                  </w:pPr>
                  <w:r>
                    <w:rPr>
                      <w:rFonts w:hint="eastAsia"/>
                      <w:bCs/>
                      <w:color w:val="auto"/>
                      <w:kern w:val="2"/>
                      <w:sz w:val="21"/>
                    </w:rPr>
                    <w:t>自动线</w:t>
                  </w:r>
                </w:p>
              </w:tc>
              <w:tc>
                <w:tcPr>
                  <w:tcW w:w="589" w:type="dxa"/>
                  <w:vAlign w:val="center"/>
                </w:tcPr>
                <w:p w14:paraId="35A95543">
                  <w:pPr>
                    <w:pStyle w:val="174"/>
                    <w:spacing w:beforeLines="0"/>
                    <w:rPr>
                      <w:bCs/>
                      <w:color w:val="auto"/>
                      <w:kern w:val="2"/>
                      <w:sz w:val="21"/>
                    </w:rPr>
                  </w:pPr>
                  <w:r>
                    <w:rPr>
                      <w:bCs/>
                      <w:color w:val="auto"/>
                      <w:kern w:val="2"/>
                      <w:sz w:val="21"/>
                    </w:rPr>
                    <w:t>1</w:t>
                  </w:r>
                  <w:r>
                    <w:rPr>
                      <w:rFonts w:hint="eastAsia"/>
                      <w:bCs/>
                      <w:color w:val="auto"/>
                      <w:kern w:val="2"/>
                      <w:sz w:val="21"/>
                    </w:rPr>
                    <w:t>条</w:t>
                  </w:r>
                </w:p>
              </w:tc>
              <w:tc>
                <w:tcPr>
                  <w:tcW w:w="1376" w:type="dxa"/>
                  <w:vAlign w:val="center"/>
                </w:tcPr>
                <w:p w14:paraId="1375EB0E">
                  <w:pPr>
                    <w:pStyle w:val="174"/>
                    <w:spacing w:beforeLines="0"/>
                    <w:rPr>
                      <w:bCs/>
                      <w:color w:val="auto"/>
                      <w:kern w:val="2"/>
                      <w:sz w:val="21"/>
                    </w:rPr>
                  </w:pPr>
                  <w:r>
                    <w:rPr>
                      <w:rFonts w:hint="eastAsia" w:ascii="Times New Roman" w:hAnsi="Times New Roman" w:eastAsia="宋体" w:cs="Times New Roman"/>
                      <w:color w:val="auto"/>
                      <w:kern w:val="2"/>
                      <w:sz w:val="21"/>
                      <w:szCs w:val="21"/>
                      <w:lang w:val="en-US" w:eastAsia="zh-CN" w:bidi="ar-SA"/>
                    </w:rPr>
                    <w:t>2</w:t>
                  </w:r>
                  <w:r>
                    <w:rPr>
                      <w:rFonts w:hint="eastAsia"/>
                      <w:bCs/>
                      <w:color w:val="auto"/>
                      <w:kern w:val="2"/>
                      <w:sz w:val="21"/>
                    </w:rPr>
                    <w:t>m/min</w:t>
                  </w:r>
                </w:p>
              </w:tc>
              <w:tc>
                <w:tcPr>
                  <w:tcW w:w="1618" w:type="dxa"/>
                  <w:vAlign w:val="center"/>
                </w:tcPr>
                <w:p w14:paraId="05FE6260">
                  <w:pPr>
                    <w:pStyle w:val="174"/>
                    <w:spacing w:beforeLines="0"/>
                    <w:rPr>
                      <w:bCs/>
                      <w:color w:val="auto"/>
                      <w:kern w:val="2"/>
                      <w:sz w:val="21"/>
                    </w:rPr>
                  </w:pPr>
                  <w:r>
                    <w:rPr>
                      <w:rFonts w:hint="eastAsia"/>
                      <w:bCs/>
                      <w:color w:val="auto"/>
                      <w:kern w:val="2"/>
                      <w:sz w:val="21"/>
                      <w:lang w:val="en-US" w:eastAsia="zh-CN"/>
                    </w:rPr>
                    <w:t>4</w:t>
                  </w:r>
                  <w:r>
                    <w:rPr>
                      <w:rFonts w:hint="eastAsia"/>
                      <w:bCs/>
                      <w:color w:val="auto"/>
                      <w:kern w:val="2"/>
                      <w:sz w:val="21"/>
                    </w:rPr>
                    <w:t>个</w:t>
                  </w:r>
                </w:p>
              </w:tc>
              <w:tc>
                <w:tcPr>
                  <w:tcW w:w="1235" w:type="dxa"/>
                  <w:vAlign w:val="center"/>
                </w:tcPr>
                <w:p w14:paraId="7D7AF5AA">
                  <w:pPr>
                    <w:pStyle w:val="174"/>
                    <w:spacing w:beforeLines="0"/>
                    <w:rPr>
                      <w:bCs/>
                      <w:color w:val="auto"/>
                      <w:kern w:val="2"/>
                      <w:sz w:val="21"/>
                    </w:rPr>
                  </w:pPr>
                  <w:r>
                    <w:rPr>
                      <w:rFonts w:hint="eastAsia"/>
                      <w:bCs/>
                      <w:color w:val="auto"/>
                      <w:kern w:val="2"/>
                      <w:sz w:val="21"/>
                      <w:lang w:val="en-US" w:eastAsia="zh-CN"/>
                    </w:rPr>
                    <w:t>2</w:t>
                  </w:r>
                  <w:r>
                    <w:rPr>
                      <w:rFonts w:hint="eastAsia"/>
                      <w:bCs/>
                      <w:color w:val="auto"/>
                      <w:kern w:val="2"/>
                      <w:sz w:val="21"/>
                    </w:rPr>
                    <w:t>个</w:t>
                  </w:r>
                </w:p>
              </w:tc>
              <w:tc>
                <w:tcPr>
                  <w:tcW w:w="1040" w:type="dxa"/>
                  <w:vAlign w:val="center"/>
                </w:tcPr>
                <w:p w14:paraId="295292AA">
                  <w:pPr>
                    <w:pStyle w:val="174"/>
                    <w:spacing w:beforeLines="0"/>
                    <w:rPr>
                      <w:bCs/>
                      <w:color w:val="auto"/>
                      <w:kern w:val="2"/>
                      <w:sz w:val="21"/>
                    </w:rPr>
                  </w:pPr>
                  <w:r>
                    <w:rPr>
                      <w:rFonts w:hint="eastAsia"/>
                      <w:bCs/>
                      <w:color w:val="auto"/>
                      <w:kern w:val="2"/>
                      <w:sz w:val="21"/>
                      <w:lang w:val="en-US" w:eastAsia="zh-CN"/>
                    </w:rPr>
                    <w:t>24</w:t>
                  </w:r>
                  <w:r>
                    <w:rPr>
                      <w:bCs/>
                      <w:color w:val="auto"/>
                      <w:kern w:val="2"/>
                      <w:sz w:val="21"/>
                    </w:rPr>
                    <w:t>00</w:t>
                  </w:r>
                  <w:r>
                    <w:rPr>
                      <w:rFonts w:hint="eastAsia"/>
                      <w:bCs/>
                      <w:color w:val="auto"/>
                      <w:kern w:val="2"/>
                      <w:sz w:val="21"/>
                    </w:rPr>
                    <w:t>h/a</w:t>
                  </w:r>
                </w:p>
              </w:tc>
              <w:tc>
                <w:tcPr>
                  <w:tcW w:w="1326" w:type="dxa"/>
                  <w:vAlign w:val="center"/>
                </w:tcPr>
                <w:p w14:paraId="49B10F18">
                  <w:pPr>
                    <w:pStyle w:val="174"/>
                    <w:spacing w:beforeLines="0"/>
                    <w:rPr>
                      <w:rFonts w:hint="default" w:eastAsia="宋体"/>
                      <w:bCs/>
                      <w:color w:val="auto"/>
                      <w:kern w:val="2"/>
                      <w:sz w:val="21"/>
                      <w:lang w:val="en-US" w:eastAsia="zh-CN"/>
                    </w:rPr>
                  </w:pPr>
                  <w:r>
                    <w:rPr>
                      <w:rFonts w:hint="eastAsia" w:ascii="Times New Roman" w:hAnsi="Times New Roman" w:eastAsia="宋体" w:cs="Times New Roman"/>
                      <w:color w:val="auto"/>
                      <w:kern w:val="2"/>
                      <w:sz w:val="21"/>
                      <w:szCs w:val="21"/>
                      <w:lang w:val="en-US" w:eastAsia="zh-CN" w:bidi="ar-SA"/>
                    </w:rPr>
                    <w:t>57.6</w:t>
                  </w:r>
                </w:p>
              </w:tc>
            </w:tr>
            <w:tr w14:paraId="7A0E1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8390" w:type="dxa"/>
                  <w:gridSpan w:val="7"/>
                  <w:vAlign w:val="center"/>
                </w:tcPr>
                <w:p w14:paraId="2545A177">
                  <w:pPr>
                    <w:pStyle w:val="14"/>
                    <w:rPr>
                      <w:rFonts w:hint="eastAsia"/>
                      <w:bCs/>
                      <w:color w:val="auto"/>
                      <w:kern w:val="2"/>
                      <w:sz w:val="21"/>
                    </w:rPr>
                  </w:pPr>
                  <w:r>
                    <w:rPr>
                      <w:bCs/>
                      <w:color w:val="auto"/>
                      <w:kern w:val="2"/>
                      <w:sz w:val="21"/>
                    </w:rPr>
                    <w:t>注</w:t>
                  </w:r>
                  <w:r>
                    <w:rPr>
                      <w:rFonts w:hint="eastAsia"/>
                      <w:bCs/>
                      <w:color w:val="auto"/>
                      <w:kern w:val="2"/>
                      <w:sz w:val="21"/>
                    </w:rPr>
                    <w:t>：</w:t>
                  </w:r>
                  <w:r>
                    <w:rPr>
                      <w:rFonts w:hint="eastAsia"/>
                      <w:bCs/>
                      <w:color w:val="auto"/>
                      <w:kern w:val="2"/>
                      <w:sz w:val="21"/>
                    </w:rPr>
                    <w:fldChar w:fldCharType="begin"/>
                  </w:r>
                  <w:r>
                    <w:rPr>
                      <w:rFonts w:hint="eastAsia"/>
                      <w:bCs/>
                      <w:color w:val="auto"/>
                      <w:kern w:val="2"/>
                      <w:sz w:val="21"/>
                    </w:rPr>
                    <w:instrText xml:space="preserve"> = 1 \* GB3 \* MERGEFORMAT </w:instrText>
                  </w:r>
                  <w:r>
                    <w:rPr>
                      <w:rFonts w:hint="eastAsia"/>
                      <w:bCs/>
                      <w:color w:val="auto"/>
                      <w:kern w:val="2"/>
                      <w:sz w:val="21"/>
                    </w:rPr>
                    <w:fldChar w:fldCharType="separate"/>
                  </w:r>
                  <w:r>
                    <w:rPr>
                      <w:color w:val="auto"/>
                    </w:rPr>
                    <w:t>①</w:t>
                  </w:r>
                  <w:r>
                    <w:rPr>
                      <w:rFonts w:hint="eastAsia"/>
                      <w:bCs/>
                      <w:color w:val="auto"/>
                      <w:kern w:val="2"/>
                      <w:sz w:val="21"/>
                    </w:rPr>
                    <w:fldChar w:fldCharType="end"/>
                  </w:r>
                  <w:r>
                    <w:rPr>
                      <w:rFonts w:hint="eastAsia"/>
                      <w:color w:val="auto"/>
                      <w:lang w:val="en-US" w:eastAsia="zh-CN"/>
                    </w:rPr>
                    <w:t>相邻两个挂具的距离为30cm，1m内约4个挂具（3×30cm=90cm），1件产品用两个挂具，则1m输送线内可悬挂2件产品。</w:t>
                  </w:r>
                </w:p>
                <w:p w14:paraId="40C8C318">
                  <w:pPr>
                    <w:pStyle w:val="174"/>
                    <w:spacing w:beforeLines="0"/>
                    <w:jc w:val="left"/>
                    <w:rPr>
                      <w:rFonts w:hint="eastAsia" w:eastAsia="宋体"/>
                      <w:bCs/>
                      <w:color w:val="auto"/>
                      <w:kern w:val="2"/>
                      <w:sz w:val="21"/>
                      <w:lang w:eastAsia="zh-CN"/>
                    </w:rPr>
                  </w:pPr>
                  <w:r>
                    <w:rPr>
                      <w:rFonts w:hint="default" w:ascii="Times New Roman" w:hAnsi="Times New Roman" w:cs="Times New Roman"/>
                      <w:bCs/>
                      <w:color w:val="auto"/>
                      <w:kern w:val="2"/>
                      <w:sz w:val="21"/>
                      <w:szCs w:val="21"/>
                    </w:rPr>
                    <w:t>②</w:t>
                  </w:r>
                  <w:r>
                    <w:rPr>
                      <w:bCs/>
                      <w:color w:val="auto"/>
                      <w:kern w:val="2"/>
                      <w:sz w:val="21"/>
                    </w:rPr>
                    <w:t>项目产品平均质量为</w:t>
                  </w:r>
                  <w:r>
                    <w:rPr>
                      <w:rFonts w:hint="eastAsia"/>
                      <w:bCs/>
                      <w:color w:val="auto"/>
                      <w:kern w:val="2"/>
                      <w:sz w:val="21"/>
                    </w:rPr>
                    <w:t>1kg</w:t>
                  </w:r>
                  <w:r>
                    <w:rPr>
                      <w:bCs/>
                      <w:color w:val="auto"/>
                      <w:kern w:val="2"/>
                      <w:sz w:val="21"/>
                    </w:rPr>
                    <w:t>/个</w:t>
                  </w:r>
                  <w:r>
                    <w:rPr>
                      <w:rFonts w:hint="eastAsia"/>
                      <w:bCs/>
                      <w:color w:val="auto"/>
                      <w:kern w:val="2"/>
                      <w:sz w:val="21"/>
                    </w:rPr>
                    <w:t>，合计为</w:t>
                  </w:r>
                  <w:r>
                    <w:rPr>
                      <w:rFonts w:hint="eastAsia"/>
                      <w:bCs/>
                      <w:color w:val="auto"/>
                      <w:kern w:val="2"/>
                      <w:sz w:val="21"/>
                      <w:lang w:val="en-US" w:eastAsia="zh-CN"/>
                    </w:rPr>
                    <w:t>576</w:t>
                  </w:r>
                  <w:r>
                    <w:rPr>
                      <w:bCs/>
                      <w:color w:val="auto"/>
                      <w:kern w:val="2"/>
                      <w:sz w:val="21"/>
                    </w:rPr>
                    <w:t>吨</w:t>
                  </w:r>
                  <w:r>
                    <w:rPr>
                      <w:rFonts w:hint="eastAsia"/>
                      <w:bCs/>
                      <w:color w:val="auto"/>
                      <w:kern w:val="2"/>
                      <w:sz w:val="21"/>
                      <w:lang w:eastAsia="zh-CN"/>
                    </w:rPr>
                    <w:t>。</w:t>
                  </w:r>
                </w:p>
              </w:tc>
            </w:tr>
          </w:tbl>
          <w:p w14:paraId="2C24B41D">
            <w:pPr>
              <w:pStyle w:val="9"/>
              <w:numPr>
                <w:ilvl w:val="0"/>
                <w:numId w:val="0"/>
              </w:numPr>
              <w:ind w:left="420"/>
              <w:jc w:val="both"/>
              <w:rPr>
                <w:color w:val="auto"/>
                <w:szCs w:val="21"/>
                <w:lang w:val="en-US"/>
              </w:rPr>
            </w:pPr>
          </w:p>
          <w:p w14:paraId="4E63C7C3">
            <w:pPr>
              <w:pStyle w:val="9"/>
              <w:ind w:left="630" w:leftChars="0" w:firstLineChars="0"/>
              <w:rPr>
                <w:color w:val="auto"/>
                <w:szCs w:val="21"/>
              </w:rPr>
            </w:pPr>
            <w:r>
              <w:rPr>
                <w:rFonts w:hint="eastAsia"/>
                <w:color w:val="auto"/>
                <w:lang w:val="en-US" w:eastAsia="zh-CN"/>
              </w:rPr>
              <w:t>手</w:t>
            </w:r>
            <w:r>
              <w:rPr>
                <w:rFonts w:hint="eastAsia"/>
                <w:color w:val="auto"/>
                <w:lang w:val="en-US"/>
              </w:rPr>
              <w:t>动</w:t>
            </w:r>
            <w:r>
              <w:rPr>
                <w:rFonts w:hint="eastAsia"/>
                <w:color w:val="auto"/>
                <w:lang w:val="en-US"/>
              </w:rPr>
              <w:t>前处理线</w:t>
            </w:r>
            <w:r>
              <w:rPr>
                <w:rFonts w:hint="eastAsia"/>
                <w:color w:val="auto"/>
                <w:szCs w:val="21"/>
              </w:rPr>
              <w:t>生产线</w:t>
            </w:r>
            <w:r>
              <w:rPr>
                <w:rFonts w:hint="eastAsia"/>
                <w:color w:val="auto"/>
                <w:szCs w:val="21"/>
                <w:lang w:val="en-US" w:eastAsia="zh-CN"/>
              </w:rPr>
              <w:t>产</w:t>
            </w:r>
            <w:r>
              <w:rPr>
                <w:rFonts w:hint="eastAsia"/>
                <w:color w:val="auto"/>
                <w:szCs w:val="21"/>
              </w:rPr>
              <w:t>能核算表</w:t>
            </w: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9"/>
              <w:gridCol w:w="637"/>
              <w:gridCol w:w="1486"/>
              <w:gridCol w:w="1233"/>
              <w:gridCol w:w="1072"/>
              <w:gridCol w:w="1254"/>
              <w:gridCol w:w="1255"/>
            </w:tblGrid>
            <w:tr w14:paraId="79C38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8" w:type="pct"/>
                  <w:vAlign w:val="center"/>
                </w:tcPr>
                <w:p w14:paraId="43527F5D">
                  <w:pPr>
                    <w:pStyle w:val="46"/>
                    <w:rPr>
                      <w:rFonts w:ascii="Times New Roman" w:cs="Times New Roman"/>
                      <w:color w:val="auto"/>
                      <w:kern w:val="0"/>
                      <w:sz w:val="21"/>
                      <w:szCs w:val="21"/>
                      <w:lang w:bidi="ar"/>
                    </w:rPr>
                  </w:pPr>
                  <w:r>
                    <w:rPr>
                      <w:rFonts w:hint="eastAsia" w:ascii="Times New Roman" w:cs="Times New Roman"/>
                      <w:b/>
                      <w:bCs/>
                      <w:color w:val="auto"/>
                      <w:kern w:val="0"/>
                      <w:sz w:val="21"/>
                      <w:szCs w:val="21"/>
                      <w:lang w:bidi="ar"/>
                    </w:rPr>
                    <w:t>生产线名称</w:t>
                  </w:r>
                </w:p>
              </w:tc>
              <w:tc>
                <w:tcPr>
                  <w:tcW w:w="386" w:type="pct"/>
                  <w:vAlign w:val="center"/>
                </w:tcPr>
                <w:p w14:paraId="71B8DB5E">
                  <w:pPr>
                    <w:pStyle w:val="46"/>
                    <w:rPr>
                      <w:rFonts w:ascii="Times New Roman" w:cs="Times New Roman"/>
                      <w:b/>
                      <w:bCs/>
                      <w:color w:val="auto"/>
                      <w:kern w:val="0"/>
                      <w:sz w:val="21"/>
                      <w:szCs w:val="21"/>
                      <w:lang w:bidi="ar"/>
                    </w:rPr>
                  </w:pPr>
                  <w:r>
                    <w:rPr>
                      <w:rFonts w:hint="eastAsia" w:ascii="Times New Roman" w:cs="Times New Roman"/>
                      <w:b/>
                      <w:bCs/>
                      <w:color w:val="auto"/>
                      <w:kern w:val="0"/>
                      <w:sz w:val="21"/>
                      <w:szCs w:val="21"/>
                      <w:lang w:bidi="ar"/>
                    </w:rPr>
                    <w:t>数量</w:t>
                  </w:r>
                </w:p>
              </w:tc>
              <w:tc>
                <w:tcPr>
                  <w:tcW w:w="902" w:type="pct"/>
                  <w:vAlign w:val="center"/>
                </w:tcPr>
                <w:p w14:paraId="4666C276">
                  <w:pPr>
                    <w:pStyle w:val="46"/>
                    <w:rPr>
                      <w:rFonts w:ascii="Times New Roman" w:cs="Times New Roman"/>
                      <w:b/>
                      <w:bCs/>
                      <w:color w:val="auto"/>
                      <w:kern w:val="0"/>
                      <w:sz w:val="21"/>
                      <w:szCs w:val="21"/>
                      <w:lang w:bidi="ar"/>
                    </w:rPr>
                  </w:pPr>
                  <w:r>
                    <w:rPr>
                      <w:rFonts w:hint="eastAsia" w:ascii="Times New Roman" w:cs="Times New Roman"/>
                      <w:b/>
                      <w:bCs/>
                      <w:color w:val="auto"/>
                      <w:kern w:val="0"/>
                      <w:sz w:val="21"/>
                      <w:szCs w:val="21"/>
                      <w:lang w:bidi="ar"/>
                    </w:rPr>
                    <w:t>单批次预除油、主除油、水</w:t>
                  </w:r>
                  <w:r>
                    <w:rPr>
                      <w:rFonts w:hint="eastAsia" w:ascii="Times New Roman" w:cs="Times New Roman"/>
                      <w:b/>
                      <w:bCs/>
                      <w:color w:val="auto"/>
                      <w:kern w:val="0"/>
                      <w:sz w:val="21"/>
                      <w:szCs w:val="21"/>
                      <w:lang w:val="en-US" w:eastAsia="zh-CN" w:bidi="ar"/>
                    </w:rPr>
                    <w:t>洗</w:t>
                  </w:r>
                  <w:r>
                    <w:rPr>
                      <w:rFonts w:hint="eastAsia" w:ascii="Times New Roman" w:cs="Times New Roman"/>
                      <w:b/>
                      <w:bCs/>
                      <w:color w:val="auto"/>
                      <w:kern w:val="0"/>
                      <w:sz w:val="21"/>
                      <w:szCs w:val="21"/>
                      <w:lang w:bidi="ar"/>
                    </w:rPr>
                    <w:t>、陶化</w:t>
                  </w:r>
                  <w:r>
                    <w:rPr>
                      <w:rFonts w:hint="eastAsia" w:ascii="Times New Roman" w:cs="Times New Roman"/>
                      <w:b/>
                      <w:bCs/>
                      <w:color w:val="auto"/>
                      <w:kern w:val="0"/>
                      <w:sz w:val="21"/>
                      <w:szCs w:val="21"/>
                      <w:lang w:val="en-US" w:eastAsia="zh-CN" w:bidi="ar"/>
                    </w:rPr>
                    <w:t>工序</w:t>
                  </w:r>
                  <w:r>
                    <w:rPr>
                      <w:rFonts w:hint="eastAsia" w:ascii="Times New Roman" w:cs="Times New Roman"/>
                      <w:b/>
                      <w:bCs/>
                      <w:color w:val="auto"/>
                      <w:kern w:val="0"/>
                      <w:sz w:val="21"/>
                      <w:szCs w:val="21"/>
                      <w:lang w:bidi="ar"/>
                    </w:rPr>
                    <w:t>所需时间（min）</w:t>
                  </w:r>
                </w:p>
              </w:tc>
              <w:tc>
                <w:tcPr>
                  <w:tcW w:w="748" w:type="pct"/>
                  <w:vAlign w:val="center"/>
                </w:tcPr>
                <w:p w14:paraId="270A74F1">
                  <w:pPr>
                    <w:pStyle w:val="46"/>
                    <w:rPr>
                      <w:rFonts w:ascii="Times New Roman" w:cs="Times New Roman"/>
                      <w:b/>
                      <w:bCs/>
                      <w:color w:val="auto"/>
                      <w:kern w:val="0"/>
                      <w:sz w:val="21"/>
                      <w:szCs w:val="21"/>
                      <w:lang w:bidi="ar"/>
                    </w:rPr>
                  </w:pPr>
                  <w:r>
                    <w:rPr>
                      <w:rFonts w:hint="eastAsia" w:ascii="Times New Roman" w:cs="Times New Roman"/>
                      <w:b/>
                      <w:bCs/>
                      <w:color w:val="auto"/>
                      <w:kern w:val="0"/>
                      <w:sz w:val="21"/>
                      <w:szCs w:val="21"/>
                      <w:lang w:bidi="ar"/>
                    </w:rPr>
                    <w:t>单批次处理量(kg)</w:t>
                  </w:r>
                </w:p>
              </w:tc>
              <w:tc>
                <w:tcPr>
                  <w:tcW w:w="650" w:type="pct"/>
                  <w:vAlign w:val="center"/>
                </w:tcPr>
                <w:p w14:paraId="667B1647">
                  <w:pPr>
                    <w:pStyle w:val="46"/>
                    <w:rPr>
                      <w:rFonts w:ascii="Times New Roman" w:cs="Times New Roman"/>
                      <w:b/>
                      <w:bCs/>
                      <w:color w:val="auto"/>
                      <w:kern w:val="0"/>
                      <w:sz w:val="21"/>
                      <w:szCs w:val="21"/>
                      <w:lang w:bidi="ar"/>
                    </w:rPr>
                  </w:pPr>
                  <w:r>
                    <w:rPr>
                      <w:rFonts w:hint="eastAsia" w:ascii="Times New Roman" w:cs="Times New Roman"/>
                      <w:b/>
                      <w:bCs/>
                      <w:color w:val="auto"/>
                      <w:kern w:val="0"/>
                      <w:sz w:val="21"/>
                      <w:szCs w:val="21"/>
                      <w:lang w:bidi="ar"/>
                    </w:rPr>
                    <w:t>工作时间（h）</w:t>
                  </w:r>
                </w:p>
              </w:tc>
              <w:tc>
                <w:tcPr>
                  <w:tcW w:w="761" w:type="pct"/>
                  <w:vAlign w:val="center"/>
                </w:tcPr>
                <w:p w14:paraId="5DB38B49">
                  <w:pPr>
                    <w:pStyle w:val="46"/>
                    <w:rPr>
                      <w:rFonts w:ascii="Times New Roman" w:cs="Times New Roman"/>
                      <w:b/>
                      <w:bCs/>
                      <w:color w:val="auto"/>
                      <w:kern w:val="0"/>
                      <w:sz w:val="21"/>
                      <w:szCs w:val="21"/>
                      <w:lang w:bidi="ar"/>
                    </w:rPr>
                  </w:pPr>
                  <w:r>
                    <w:rPr>
                      <w:rFonts w:hint="eastAsia" w:ascii="Times New Roman" w:cs="Times New Roman"/>
                      <w:b/>
                      <w:bCs/>
                      <w:color w:val="auto"/>
                      <w:kern w:val="0"/>
                      <w:sz w:val="21"/>
                      <w:szCs w:val="21"/>
                      <w:lang w:bidi="ar"/>
                    </w:rPr>
                    <w:t>年生产批次数（批）</w:t>
                  </w:r>
                </w:p>
              </w:tc>
              <w:tc>
                <w:tcPr>
                  <w:tcW w:w="761" w:type="pct"/>
                  <w:vAlign w:val="center"/>
                </w:tcPr>
                <w:p w14:paraId="33F4EF4B">
                  <w:pPr>
                    <w:pStyle w:val="46"/>
                    <w:rPr>
                      <w:rFonts w:ascii="Times New Roman" w:cs="Times New Roman"/>
                      <w:b/>
                      <w:bCs/>
                      <w:color w:val="auto"/>
                      <w:kern w:val="0"/>
                      <w:sz w:val="21"/>
                      <w:szCs w:val="21"/>
                      <w:lang w:bidi="ar"/>
                    </w:rPr>
                  </w:pPr>
                  <w:r>
                    <w:rPr>
                      <w:rFonts w:hint="eastAsia" w:ascii="Times New Roman" w:cs="Times New Roman"/>
                      <w:b/>
                      <w:bCs/>
                      <w:color w:val="auto"/>
                      <w:kern w:val="0"/>
                      <w:sz w:val="21"/>
                      <w:szCs w:val="21"/>
                      <w:lang w:bidi="ar"/>
                    </w:rPr>
                    <w:t>理论产能(吨）</w:t>
                  </w:r>
                </w:p>
              </w:tc>
            </w:tr>
            <w:tr w14:paraId="28CB4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88" w:type="pct"/>
                </w:tcPr>
                <w:p w14:paraId="5F9DC162">
                  <w:pPr>
                    <w:pStyle w:val="46"/>
                    <w:rPr>
                      <w:rFonts w:ascii="Times New Roman" w:cs="Times New Roman"/>
                      <w:color w:val="auto"/>
                      <w:kern w:val="0"/>
                      <w:sz w:val="21"/>
                      <w:szCs w:val="21"/>
                      <w:lang w:bidi="ar"/>
                    </w:rPr>
                  </w:pPr>
                  <w:r>
                    <w:rPr>
                      <w:rFonts w:hint="eastAsia" w:ascii="Times New Roman" w:cs="Times New Roman"/>
                      <w:color w:val="auto"/>
                      <w:kern w:val="0"/>
                      <w:sz w:val="21"/>
                      <w:szCs w:val="21"/>
                      <w:lang w:bidi="ar"/>
                    </w:rPr>
                    <w:t>手动线</w:t>
                  </w:r>
                </w:p>
              </w:tc>
              <w:tc>
                <w:tcPr>
                  <w:tcW w:w="386" w:type="pct"/>
                </w:tcPr>
                <w:p w14:paraId="59899FDE">
                  <w:pPr>
                    <w:pStyle w:val="46"/>
                    <w:rPr>
                      <w:rFonts w:ascii="Times New Roman" w:cs="Times New Roman"/>
                      <w:color w:val="auto"/>
                      <w:kern w:val="0"/>
                      <w:sz w:val="21"/>
                      <w:szCs w:val="21"/>
                      <w:lang w:bidi="ar"/>
                    </w:rPr>
                  </w:pPr>
                  <w:r>
                    <w:rPr>
                      <w:rFonts w:ascii="Times New Roman" w:cs="Times New Roman"/>
                      <w:color w:val="auto"/>
                      <w:kern w:val="0"/>
                      <w:sz w:val="21"/>
                      <w:szCs w:val="21"/>
                      <w:lang w:bidi="ar"/>
                    </w:rPr>
                    <w:t>1条</w:t>
                  </w:r>
                </w:p>
              </w:tc>
              <w:tc>
                <w:tcPr>
                  <w:tcW w:w="902" w:type="pct"/>
                  <w:vAlign w:val="center"/>
                </w:tcPr>
                <w:p w14:paraId="5EC59932">
                  <w:pPr>
                    <w:pStyle w:val="46"/>
                    <w:rPr>
                      <w:rFonts w:hint="default" w:ascii="Times New Roman" w:eastAsia="宋体" w:cs="Times New Roman"/>
                      <w:color w:val="auto"/>
                      <w:kern w:val="0"/>
                      <w:sz w:val="21"/>
                      <w:szCs w:val="21"/>
                      <w:lang w:val="en-US" w:eastAsia="zh-CN" w:bidi="ar"/>
                    </w:rPr>
                  </w:pPr>
                  <w:r>
                    <w:rPr>
                      <w:rFonts w:hint="eastAsia" w:ascii="Times New Roman" w:cs="Times New Roman"/>
                      <w:color w:val="auto"/>
                      <w:kern w:val="0"/>
                      <w:sz w:val="21"/>
                      <w:szCs w:val="21"/>
                      <w:lang w:val="en-US" w:eastAsia="zh-CN" w:bidi="ar"/>
                    </w:rPr>
                    <w:t>18</w:t>
                  </w:r>
                </w:p>
              </w:tc>
              <w:tc>
                <w:tcPr>
                  <w:tcW w:w="748" w:type="pct"/>
                  <w:vAlign w:val="center"/>
                </w:tcPr>
                <w:p w14:paraId="169160FD">
                  <w:pPr>
                    <w:pStyle w:val="46"/>
                    <w:rPr>
                      <w:rFonts w:ascii="Times New Roman" w:cs="Times New Roman"/>
                      <w:color w:val="auto"/>
                      <w:kern w:val="0"/>
                      <w:sz w:val="21"/>
                      <w:szCs w:val="21"/>
                      <w:lang w:bidi="ar"/>
                    </w:rPr>
                  </w:pPr>
                  <w:r>
                    <w:rPr>
                      <w:rFonts w:hint="eastAsia" w:ascii="Times New Roman" w:cs="Times New Roman"/>
                      <w:color w:val="auto"/>
                      <w:kern w:val="0"/>
                      <w:sz w:val="21"/>
                      <w:szCs w:val="21"/>
                      <w:lang w:val="en-US" w:eastAsia="zh-CN" w:bidi="ar"/>
                    </w:rPr>
                    <w:t>4</w:t>
                  </w:r>
                  <w:r>
                    <w:rPr>
                      <w:rFonts w:ascii="Times New Roman" w:cs="Times New Roman"/>
                      <w:color w:val="auto"/>
                      <w:kern w:val="0"/>
                      <w:sz w:val="21"/>
                      <w:szCs w:val="21"/>
                      <w:lang w:bidi="ar"/>
                    </w:rPr>
                    <w:t>0</w:t>
                  </w:r>
                </w:p>
              </w:tc>
              <w:tc>
                <w:tcPr>
                  <w:tcW w:w="650" w:type="pct"/>
                  <w:vAlign w:val="center"/>
                </w:tcPr>
                <w:p w14:paraId="6A60B574">
                  <w:pPr>
                    <w:pStyle w:val="46"/>
                    <w:rPr>
                      <w:rFonts w:ascii="Times New Roman" w:cs="Times New Roman"/>
                      <w:color w:val="auto"/>
                      <w:kern w:val="0"/>
                      <w:sz w:val="21"/>
                      <w:szCs w:val="21"/>
                      <w:lang w:bidi="ar"/>
                    </w:rPr>
                  </w:pPr>
                  <w:r>
                    <w:rPr>
                      <w:rFonts w:hint="eastAsia" w:ascii="Times New Roman" w:cs="Times New Roman"/>
                      <w:color w:val="auto"/>
                      <w:kern w:val="0"/>
                      <w:sz w:val="21"/>
                      <w:szCs w:val="21"/>
                      <w:lang w:val="en-US" w:eastAsia="zh-CN" w:bidi="ar"/>
                    </w:rPr>
                    <w:t>30</w:t>
                  </w:r>
                  <w:r>
                    <w:rPr>
                      <w:rFonts w:ascii="Times New Roman" w:cs="Times New Roman"/>
                      <w:color w:val="auto"/>
                      <w:kern w:val="0"/>
                      <w:sz w:val="21"/>
                      <w:szCs w:val="21"/>
                      <w:lang w:bidi="ar"/>
                    </w:rPr>
                    <w:t>0</w:t>
                  </w:r>
                </w:p>
              </w:tc>
              <w:tc>
                <w:tcPr>
                  <w:tcW w:w="761" w:type="pct"/>
                  <w:vAlign w:val="center"/>
                </w:tcPr>
                <w:p w14:paraId="547788A0">
                  <w:pPr>
                    <w:pStyle w:val="46"/>
                    <w:rPr>
                      <w:rFonts w:hint="default" w:ascii="Times New Roman" w:eastAsia="宋体" w:cs="Times New Roman"/>
                      <w:color w:val="auto"/>
                      <w:kern w:val="0"/>
                      <w:sz w:val="21"/>
                      <w:szCs w:val="21"/>
                      <w:lang w:val="en-US" w:eastAsia="zh-CN" w:bidi="ar"/>
                    </w:rPr>
                  </w:pPr>
                  <w:r>
                    <w:rPr>
                      <w:rFonts w:hint="eastAsia" w:ascii="Times New Roman" w:cs="Times New Roman"/>
                      <w:color w:val="auto"/>
                      <w:kern w:val="0"/>
                      <w:sz w:val="21"/>
                      <w:szCs w:val="21"/>
                      <w:lang w:val="en-US" w:eastAsia="zh-CN" w:bidi="ar"/>
                    </w:rPr>
                    <w:t>1000</w:t>
                  </w:r>
                </w:p>
              </w:tc>
              <w:tc>
                <w:tcPr>
                  <w:tcW w:w="761" w:type="pct"/>
                  <w:vAlign w:val="center"/>
                </w:tcPr>
                <w:p w14:paraId="7FEC48A1">
                  <w:pPr>
                    <w:pStyle w:val="46"/>
                    <w:rPr>
                      <w:rFonts w:hint="default" w:ascii="Times New Roman" w:eastAsia="宋体" w:cs="Times New Roman"/>
                      <w:color w:val="auto"/>
                      <w:kern w:val="0"/>
                      <w:sz w:val="21"/>
                      <w:szCs w:val="21"/>
                      <w:lang w:val="en-US" w:eastAsia="zh-CN" w:bidi="ar"/>
                    </w:rPr>
                  </w:pPr>
                  <w:r>
                    <w:rPr>
                      <w:rFonts w:hint="eastAsia" w:ascii="Times New Roman" w:cs="Times New Roman"/>
                      <w:color w:val="auto"/>
                      <w:kern w:val="0"/>
                      <w:sz w:val="21"/>
                      <w:szCs w:val="21"/>
                      <w:lang w:val="en-US" w:eastAsia="zh-CN" w:bidi="ar"/>
                    </w:rPr>
                    <w:t>40</w:t>
                  </w:r>
                </w:p>
              </w:tc>
            </w:tr>
          </w:tbl>
          <w:p w14:paraId="2E9F7076">
            <w:pPr>
              <w:rPr>
                <w:color w:val="auto"/>
                <w:lang w:val="zh-CN"/>
              </w:rPr>
            </w:pPr>
            <w:r>
              <w:rPr>
                <w:rFonts w:hint="eastAsia"/>
                <w:color w:val="auto"/>
                <w:lang w:val="zh-CN"/>
              </w:rPr>
              <w:t>注：项目</w:t>
            </w:r>
            <w:r>
              <w:rPr>
                <w:rFonts w:hint="eastAsia"/>
                <w:color w:val="auto"/>
                <w:lang w:val="en-US" w:eastAsia="zh-CN"/>
              </w:rPr>
              <w:t>手</w:t>
            </w:r>
            <w:r>
              <w:rPr>
                <w:rFonts w:hint="eastAsia"/>
                <w:color w:val="auto"/>
                <w:lang w:val="zh-CN"/>
              </w:rPr>
              <w:t>动前处理线清洗方式为：采用航吊，吊取一批</w:t>
            </w:r>
            <w:r>
              <w:rPr>
                <w:color w:val="auto"/>
                <w:lang w:val="zh-CN"/>
              </w:rPr>
              <w:t>半成品</w:t>
            </w:r>
            <w:r>
              <w:rPr>
                <w:rFonts w:hint="eastAsia"/>
                <w:color w:val="auto"/>
                <w:lang w:val="zh-CN"/>
              </w:rPr>
              <w:t>（</w:t>
            </w:r>
            <w:r>
              <w:rPr>
                <w:rFonts w:hint="eastAsia"/>
                <w:color w:val="auto"/>
                <w:lang w:val="en-US" w:eastAsia="zh-CN"/>
              </w:rPr>
              <w:t>约40个</w:t>
            </w:r>
            <w:r>
              <w:rPr>
                <w:rFonts w:hint="eastAsia"/>
                <w:color w:val="auto"/>
                <w:lang w:val="zh-CN"/>
              </w:rPr>
              <w:t>），</w:t>
            </w:r>
            <w:r>
              <w:rPr>
                <w:color w:val="auto"/>
                <w:lang w:val="zh-CN"/>
              </w:rPr>
              <w:t>放入槽内</w:t>
            </w:r>
            <w:r>
              <w:rPr>
                <w:rFonts w:hint="eastAsia"/>
                <w:color w:val="auto"/>
                <w:lang w:val="zh-CN"/>
              </w:rPr>
              <w:t>浸泡式清洗，时间为1</w:t>
            </w:r>
            <w:r>
              <w:rPr>
                <w:rFonts w:hint="eastAsia"/>
                <w:color w:val="auto"/>
                <w:lang w:val="en-US" w:eastAsia="zh-CN"/>
              </w:rPr>
              <w:t>6</w:t>
            </w:r>
            <w:r>
              <w:rPr>
                <w:rFonts w:hint="eastAsia"/>
                <w:color w:val="auto"/>
                <w:lang w:val="zh-CN"/>
              </w:rPr>
              <w:t>分钟（</w:t>
            </w:r>
            <w:r>
              <w:rPr>
                <w:rFonts w:hint="eastAsia"/>
                <w:color w:val="auto"/>
                <w:lang w:val="en-US" w:eastAsia="zh-CN"/>
              </w:rPr>
              <w:t>含预除油a、主除油a、水洗a、陶化a、水洗b、水洗c</w:t>
            </w:r>
            <w:r>
              <w:rPr>
                <w:rFonts w:hint="eastAsia"/>
                <w:color w:val="auto"/>
                <w:lang w:val="zh-CN"/>
              </w:rPr>
              <w:t>），</w:t>
            </w:r>
            <w:r>
              <w:rPr>
                <w:color w:val="auto"/>
                <w:lang w:val="zh-CN"/>
              </w:rPr>
              <w:t>考虑人工操作航吊时间</w:t>
            </w:r>
            <w:r>
              <w:rPr>
                <w:rFonts w:hint="eastAsia"/>
                <w:color w:val="auto"/>
                <w:lang w:val="zh-CN"/>
              </w:rPr>
              <w:t>，</w:t>
            </w:r>
            <w:r>
              <w:rPr>
                <w:color w:val="auto"/>
                <w:lang w:val="zh-CN"/>
              </w:rPr>
              <w:t>整个清洗过程以</w:t>
            </w:r>
            <w:r>
              <w:rPr>
                <w:rFonts w:hint="eastAsia"/>
                <w:color w:val="auto"/>
                <w:lang w:val="en-US" w:eastAsia="zh-CN"/>
              </w:rPr>
              <w:t>18</w:t>
            </w:r>
            <w:r>
              <w:rPr>
                <w:color w:val="auto"/>
                <w:lang w:val="zh-CN"/>
              </w:rPr>
              <w:t>分钟</w:t>
            </w:r>
            <w:r>
              <w:rPr>
                <w:rFonts w:hint="eastAsia"/>
                <w:color w:val="auto"/>
                <w:lang w:val="zh-CN"/>
              </w:rPr>
              <w:t>/批计算。</w:t>
            </w:r>
          </w:p>
          <w:p w14:paraId="3023806E">
            <w:pPr>
              <w:pStyle w:val="9"/>
              <w:ind w:left="630" w:leftChars="0" w:firstLineChars="0"/>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五金配件表面积核算表</w:t>
            </w:r>
          </w:p>
          <w:tbl>
            <w:tblPr>
              <w:tblStyle w:val="35"/>
              <w:tblW w:w="8217" w:type="dxa"/>
              <w:jc w:val="center"/>
              <w:tblLayout w:type="fixed"/>
              <w:tblCellMar>
                <w:top w:w="0" w:type="dxa"/>
                <w:left w:w="108" w:type="dxa"/>
                <w:bottom w:w="0" w:type="dxa"/>
                <w:right w:w="108" w:type="dxa"/>
              </w:tblCellMar>
            </w:tblPr>
            <w:tblGrid>
              <w:gridCol w:w="1237"/>
              <w:gridCol w:w="1272"/>
              <w:gridCol w:w="1050"/>
              <w:gridCol w:w="863"/>
              <w:gridCol w:w="1084"/>
              <w:gridCol w:w="1277"/>
              <w:gridCol w:w="1434"/>
            </w:tblGrid>
            <w:tr w14:paraId="423CFBF3">
              <w:tblPrEx>
                <w:tblCellMar>
                  <w:top w:w="0" w:type="dxa"/>
                  <w:left w:w="108" w:type="dxa"/>
                  <w:bottom w:w="0" w:type="dxa"/>
                  <w:right w:w="108" w:type="dxa"/>
                </w:tblCellMar>
              </w:tblPrEx>
              <w:trPr>
                <w:trHeight w:val="456" w:hRule="atLeast"/>
                <w:jc w:val="center"/>
              </w:trPr>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737F2FD0">
                  <w:pPr>
                    <w:widowControl/>
                    <w:jc w:val="center"/>
                    <w:rPr>
                      <w:rFonts w:ascii="宋体" w:hAnsi="宋体" w:cs="宋体"/>
                      <w:b/>
                      <w:bCs/>
                      <w:color w:val="auto"/>
                      <w:kern w:val="0"/>
                      <w:szCs w:val="21"/>
                    </w:rPr>
                  </w:pPr>
                  <w:r>
                    <w:rPr>
                      <w:rFonts w:hint="eastAsia" w:ascii="宋体" w:hAnsi="宋体" w:cs="宋体"/>
                      <w:b/>
                      <w:bCs/>
                      <w:color w:val="auto"/>
                      <w:kern w:val="0"/>
                      <w:szCs w:val="21"/>
                    </w:rPr>
                    <w:t>类型</w:t>
                  </w:r>
                </w:p>
              </w:tc>
              <w:tc>
                <w:tcPr>
                  <w:tcW w:w="1272" w:type="dxa"/>
                  <w:tcBorders>
                    <w:top w:val="single" w:color="auto" w:sz="4" w:space="0"/>
                    <w:left w:val="single" w:color="auto" w:sz="4" w:space="0"/>
                    <w:bottom w:val="single" w:color="auto" w:sz="4" w:space="0"/>
                    <w:right w:val="single" w:color="auto" w:sz="4" w:space="0"/>
                  </w:tcBorders>
                  <w:shd w:val="clear" w:color="auto" w:fill="auto"/>
                  <w:vAlign w:val="center"/>
                </w:tcPr>
                <w:p w14:paraId="57F64075">
                  <w:pPr>
                    <w:widowControl/>
                    <w:jc w:val="center"/>
                    <w:rPr>
                      <w:b/>
                      <w:bCs/>
                      <w:color w:val="auto"/>
                      <w:kern w:val="0"/>
                      <w:szCs w:val="21"/>
                    </w:rPr>
                  </w:pPr>
                  <w:r>
                    <w:rPr>
                      <w:b/>
                      <w:bCs/>
                      <w:color w:val="auto"/>
                      <w:kern w:val="0"/>
                      <w:szCs w:val="21"/>
                    </w:rPr>
                    <w:t>质量t</w:t>
                  </w:r>
                </w:p>
              </w:tc>
              <w:tc>
                <w:tcPr>
                  <w:tcW w:w="1050" w:type="dxa"/>
                  <w:tcBorders>
                    <w:top w:val="single" w:color="auto" w:sz="4" w:space="0"/>
                    <w:left w:val="single" w:color="auto" w:sz="4" w:space="0"/>
                    <w:bottom w:val="single" w:color="auto" w:sz="4" w:space="0"/>
                    <w:right w:val="single" w:color="auto" w:sz="4" w:space="0"/>
                  </w:tcBorders>
                  <w:shd w:val="clear" w:color="auto" w:fill="auto"/>
                  <w:vAlign w:val="center"/>
                </w:tcPr>
                <w:p w14:paraId="2A52508C">
                  <w:pPr>
                    <w:widowControl/>
                    <w:jc w:val="center"/>
                    <w:rPr>
                      <w:b/>
                      <w:bCs/>
                      <w:color w:val="auto"/>
                      <w:kern w:val="0"/>
                      <w:szCs w:val="21"/>
                    </w:rPr>
                  </w:pPr>
                  <w:r>
                    <w:rPr>
                      <w:b/>
                      <w:bCs/>
                      <w:color w:val="auto"/>
                      <w:kern w:val="0"/>
                      <w:szCs w:val="21"/>
                    </w:rPr>
                    <w:t>密度g/</w:t>
                  </w:r>
                  <w:r>
                    <w:rPr>
                      <w:rFonts w:hint="eastAsia"/>
                      <w:b/>
                      <w:bCs/>
                      <w:color w:val="auto"/>
                      <w:kern w:val="0"/>
                      <w:szCs w:val="21"/>
                      <w:lang w:val="en-US" w:eastAsia="zh-CN"/>
                    </w:rPr>
                    <w:t>c</w:t>
                  </w:r>
                  <w:r>
                    <w:rPr>
                      <w:b/>
                      <w:bCs/>
                      <w:color w:val="auto"/>
                      <w:kern w:val="0"/>
                      <w:szCs w:val="21"/>
                    </w:rPr>
                    <w:t>m</w:t>
                  </w:r>
                  <w:r>
                    <w:rPr>
                      <w:b/>
                      <w:bCs/>
                      <w:color w:val="auto"/>
                      <w:kern w:val="0"/>
                      <w:szCs w:val="21"/>
                      <w:vertAlign w:val="superscript"/>
                    </w:rPr>
                    <w:t>3</w:t>
                  </w:r>
                </w:p>
              </w:tc>
              <w:tc>
                <w:tcPr>
                  <w:tcW w:w="863" w:type="dxa"/>
                  <w:tcBorders>
                    <w:top w:val="single" w:color="auto" w:sz="4" w:space="0"/>
                    <w:left w:val="single" w:color="auto" w:sz="4" w:space="0"/>
                    <w:bottom w:val="single" w:color="auto" w:sz="4" w:space="0"/>
                    <w:right w:val="single" w:color="auto" w:sz="4" w:space="0"/>
                  </w:tcBorders>
                  <w:shd w:val="clear" w:color="auto" w:fill="auto"/>
                  <w:vAlign w:val="center"/>
                </w:tcPr>
                <w:p w14:paraId="7E8DF6A0">
                  <w:pPr>
                    <w:widowControl/>
                    <w:jc w:val="center"/>
                    <w:rPr>
                      <w:b/>
                      <w:bCs/>
                      <w:color w:val="auto"/>
                      <w:kern w:val="0"/>
                      <w:szCs w:val="21"/>
                    </w:rPr>
                  </w:pPr>
                  <w:r>
                    <w:rPr>
                      <w:b/>
                      <w:bCs/>
                      <w:color w:val="auto"/>
                      <w:kern w:val="0"/>
                      <w:szCs w:val="21"/>
                    </w:rPr>
                    <w:t>体积m</w:t>
                  </w:r>
                  <w:r>
                    <w:rPr>
                      <w:b/>
                      <w:bCs/>
                      <w:color w:val="auto"/>
                      <w:kern w:val="0"/>
                      <w:szCs w:val="21"/>
                      <w:vertAlign w:val="superscript"/>
                    </w:rPr>
                    <w:t>3</w:t>
                  </w:r>
                </w:p>
              </w:tc>
              <w:tc>
                <w:tcPr>
                  <w:tcW w:w="1084" w:type="dxa"/>
                  <w:tcBorders>
                    <w:top w:val="single" w:color="auto" w:sz="4" w:space="0"/>
                    <w:left w:val="single" w:color="auto" w:sz="4" w:space="0"/>
                    <w:bottom w:val="single" w:color="auto" w:sz="4" w:space="0"/>
                    <w:right w:val="single" w:color="auto" w:sz="4" w:space="0"/>
                  </w:tcBorders>
                  <w:shd w:val="clear" w:color="auto" w:fill="auto"/>
                  <w:vAlign w:val="center"/>
                </w:tcPr>
                <w:p w14:paraId="69247E5E">
                  <w:pPr>
                    <w:widowControl/>
                    <w:jc w:val="center"/>
                    <w:rPr>
                      <w:b/>
                      <w:bCs/>
                      <w:color w:val="auto"/>
                      <w:kern w:val="0"/>
                      <w:szCs w:val="21"/>
                    </w:rPr>
                  </w:pPr>
                  <w:r>
                    <w:rPr>
                      <w:b/>
                      <w:bCs/>
                      <w:color w:val="auto"/>
                      <w:kern w:val="0"/>
                      <w:szCs w:val="21"/>
                    </w:rPr>
                    <w:t>厚度mm</w:t>
                  </w: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338A2F45">
                  <w:pPr>
                    <w:widowControl/>
                    <w:jc w:val="center"/>
                    <w:rPr>
                      <w:b/>
                      <w:bCs/>
                      <w:color w:val="auto"/>
                      <w:kern w:val="0"/>
                      <w:szCs w:val="21"/>
                      <w:vertAlign w:val="superscript"/>
                    </w:rPr>
                  </w:pPr>
                  <w:r>
                    <w:rPr>
                      <w:rFonts w:hint="eastAsia"/>
                      <w:b/>
                      <w:bCs/>
                      <w:color w:val="auto"/>
                      <w:kern w:val="0"/>
                      <w:szCs w:val="21"/>
                      <w:lang w:val="en-US" w:eastAsia="zh-CN"/>
                    </w:rPr>
                    <w:t>表</w:t>
                  </w:r>
                  <w:r>
                    <w:rPr>
                      <w:b/>
                      <w:bCs/>
                      <w:color w:val="auto"/>
                      <w:kern w:val="0"/>
                      <w:szCs w:val="21"/>
                    </w:rPr>
                    <w:t>面积</w:t>
                  </w:r>
                  <w:r>
                    <w:rPr>
                      <w:rFonts w:hint="eastAsia"/>
                      <w:color w:val="auto"/>
                      <w:szCs w:val="21"/>
                      <w:lang w:val="en-US" w:eastAsia="zh-CN"/>
                    </w:rPr>
                    <w:t>㎡</w:t>
                  </w:r>
                </w:p>
                <w:p w14:paraId="1BDDA51F">
                  <w:pPr>
                    <w:pStyle w:val="46"/>
                    <w:rPr>
                      <w:rFonts w:hint="eastAsia" w:eastAsia="宋体"/>
                      <w:color w:val="auto"/>
                      <w:lang w:eastAsia="zh-CN"/>
                    </w:rPr>
                  </w:pPr>
                  <w:r>
                    <w:rPr>
                      <w:rFonts w:hint="eastAsia"/>
                      <w:b/>
                      <w:bCs/>
                      <w:color w:val="auto"/>
                      <w:kern w:val="0"/>
                      <w:szCs w:val="21"/>
                      <w:vertAlign w:val="baseline"/>
                      <w:lang w:eastAsia="zh-CN"/>
                    </w:rPr>
                    <w:t>（</w:t>
                  </w:r>
                  <w:r>
                    <w:rPr>
                      <w:rFonts w:hint="eastAsia"/>
                      <w:b/>
                      <w:bCs/>
                      <w:color w:val="auto"/>
                      <w:kern w:val="0"/>
                      <w:sz w:val="21"/>
                      <w:szCs w:val="18"/>
                      <w:vertAlign w:val="baseline"/>
                      <w:lang w:val="en-US" w:eastAsia="zh-CN"/>
                    </w:rPr>
                    <w:t>单面</w:t>
                  </w:r>
                  <w:r>
                    <w:rPr>
                      <w:rFonts w:hint="eastAsia"/>
                      <w:b/>
                      <w:bCs/>
                      <w:color w:val="auto"/>
                      <w:kern w:val="0"/>
                      <w:szCs w:val="21"/>
                      <w:vertAlign w:val="baseline"/>
                      <w:lang w:eastAsia="zh-CN"/>
                    </w:rPr>
                    <w:t>）</w:t>
                  </w:r>
                </w:p>
              </w:tc>
              <w:tc>
                <w:tcPr>
                  <w:tcW w:w="1434" w:type="dxa"/>
                  <w:tcBorders>
                    <w:top w:val="single" w:color="auto" w:sz="4" w:space="0"/>
                    <w:left w:val="single" w:color="auto" w:sz="4" w:space="0"/>
                    <w:bottom w:val="single" w:color="auto" w:sz="4" w:space="0"/>
                    <w:right w:val="single" w:color="auto" w:sz="4" w:space="0"/>
                  </w:tcBorders>
                  <w:shd w:val="clear" w:color="auto" w:fill="auto"/>
                  <w:vAlign w:val="center"/>
                </w:tcPr>
                <w:p w14:paraId="7EC90F8C">
                  <w:pPr>
                    <w:widowControl/>
                    <w:jc w:val="center"/>
                    <w:rPr>
                      <w:b/>
                      <w:bCs/>
                      <w:color w:val="auto"/>
                      <w:kern w:val="0"/>
                      <w:szCs w:val="21"/>
                      <w:vertAlign w:val="superscript"/>
                    </w:rPr>
                  </w:pPr>
                  <w:r>
                    <w:rPr>
                      <w:rFonts w:hint="eastAsia"/>
                      <w:b/>
                      <w:bCs/>
                      <w:color w:val="auto"/>
                      <w:kern w:val="0"/>
                      <w:szCs w:val="21"/>
                      <w:vertAlign w:val="baseline"/>
                      <w:lang w:val="en-US" w:eastAsia="zh-CN"/>
                    </w:rPr>
                    <w:t>内面积+外面</w:t>
                  </w:r>
                </w:p>
                <w:p w14:paraId="09513788">
                  <w:pPr>
                    <w:widowControl/>
                    <w:jc w:val="center"/>
                    <w:rPr>
                      <w:rFonts w:hint="eastAsia"/>
                      <w:b/>
                      <w:bCs/>
                      <w:color w:val="auto"/>
                      <w:kern w:val="0"/>
                      <w:szCs w:val="21"/>
                      <w:lang w:val="en-US" w:eastAsia="zh-CN"/>
                    </w:rPr>
                  </w:pPr>
                  <w:r>
                    <w:rPr>
                      <w:rFonts w:hint="eastAsia"/>
                      <w:b/>
                      <w:bCs/>
                      <w:color w:val="auto"/>
                      <w:kern w:val="0"/>
                      <w:szCs w:val="21"/>
                      <w:vertAlign w:val="baseline"/>
                      <w:lang w:val="en-US" w:eastAsia="zh-CN"/>
                    </w:rPr>
                    <w:t>积</w:t>
                  </w:r>
                  <w:r>
                    <w:rPr>
                      <w:rFonts w:hint="eastAsia"/>
                      <w:color w:val="auto"/>
                      <w:szCs w:val="21"/>
                      <w:lang w:val="en-US" w:eastAsia="zh-CN"/>
                    </w:rPr>
                    <w:t>㎡</w:t>
                  </w:r>
                </w:p>
              </w:tc>
            </w:tr>
            <w:tr w14:paraId="3ADC4830">
              <w:tblPrEx>
                <w:tblCellMar>
                  <w:top w:w="0" w:type="dxa"/>
                  <w:left w:w="108" w:type="dxa"/>
                  <w:bottom w:w="0" w:type="dxa"/>
                  <w:right w:w="108" w:type="dxa"/>
                </w:tblCellMar>
              </w:tblPrEx>
              <w:trPr>
                <w:trHeight w:val="83" w:hRule="atLeast"/>
                <w:jc w:val="center"/>
              </w:trPr>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59DDC9B8">
                  <w:pPr>
                    <w:widowControl/>
                    <w:jc w:val="center"/>
                    <w:rPr>
                      <w:rFonts w:ascii="宋体" w:hAnsi="宋体" w:cs="宋体"/>
                      <w:color w:val="auto"/>
                      <w:kern w:val="0"/>
                      <w:szCs w:val="21"/>
                    </w:rPr>
                  </w:pPr>
                  <w:r>
                    <w:rPr>
                      <w:rFonts w:hint="eastAsia"/>
                      <w:color w:val="auto"/>
                      <w:szCs w:val="21"/>
                    </w:rPr>
                    <w:t>五金配件（自动线）</w:t>
                  </w:r>
                </w:p>
              </w:tc>
              <w:tc>
                <w:tcPr>
                  <w:tcW w:w="1272" w:type="dxa"/>
                  <w:tcBorders>
                    <w:top w:val="single" w:color="auto" w:sz="4" w:space="0"/>
                    <w:left w:val="single" w:color="auto" w:sz="4" w:space="0"/>
                    <w:bottom w:val="single" w:color="auto" w:sz="4" w:space="0"/>
                    <w:right w:val="single" w:color="auto" w:sz="4" w:space="0"/>
                  </w:tcBorders>
                  <w:shd w:val="clear" w:color="auto" w:fill="auto"/>
                  <w:vAlign w:val="center"/>
                </w:tcPr>
                <w:p w14:paraId="7953D871">
                  <w:pPr>
                    <w:widowControl/>
                    <w:jc w:val="center"/>
                    <w:rPr>
                      <w:rFonts w:hint="default" w:eastAsia="宋体"/>
                      <w:color w:val="auto"/>
                      <w:kern w:val="0"/>
                      <w:szCs w:val="21"/>
                      <w:lang w:val="en-US" w:eastAsia="zh-CN"/>
                    </w:rPr>
                  </w:pPr>
                  <w:r>
                    <w:rPr>
                      <w:rFonts w:hint="eastAsia" w:eastAsia="等线"/>
                      <w:color w:val="auto"/>
                      <w:szCs w:val="21"/>
                      <w:lang w:val="en-US" w:eastAsia="zh-CN"/>
                    </w:rPr>
                    <w:t>576</w:t>
                  </w:r>
                </w:p>
              </w:tc>
              <w:tc>
                <w:tcPr>
                  <w:tcW w:w="1050" w:type="dxa"/>
                  <w:tcBorders>
                    <w:top w:val="single" w:color="auto" w:sz="4" w:space="0"/>
                    <w:left w:val="single" w:color="auto" w:sz="4" w:space="0"/>
                    <w:bottom w:val="single" w:color="auto" w:sz="4" w:space="0"/>
                    <w:right w:val="single" w:color="auto" w:sz="4" w:space="0"/>
                  </w:tcBorders>
                  <w:shd w:val="clear" w:color="auto" w:fill="auto"/>
                  <w:vAlign w:val="center"/>
                </w:tcPr>
                <w:p w14:paraId="58A99667">
                  <w:pPr>
                    <w:widowControl/>
                    <w:jc w:val="center"/>
                    <w:rPr>
                      <w:color w:val="auto"/>
                      <w:kern w:val="0"/>
                      <w:szCs w:val="21"/>
                    </w:rPr>
                  </w:pPr>
                  <w:r>
                    <w:rPr>
                      <w:rFonts w:eastAsia="等线"/>
                      <w:color w:val="auto"/>
                      <w:szCs w:val="21"/>
                    </w:rPr>
                    <w:t>7</w:t>
                  </w:r>
                  <w:r>
                    <w:rPr>
                      <w:rFonts w:hint="eastAsia" w:eastAsia="等线"/>
                      <w:color w:val="auto"/>
                      <w:szCs w:val="21"/>
                      <w:lang w:eastAsia="zh-CN"/>
                    </w:rPr>
                    <w:t>.</w:t>
                  </w:r>
                  <w:r>
                    <w:rPr>
                      <w:rFonts w:eastAsia="等线"/>
                      <w:color w:val="auto"/>
                      <w:szCs w:val="21"/>
                    </w:rPr>
                    <w:t>8</w:t>
                  </w:r>
                  <w:r>
                    <w:rPr>
                      <w:rFonts w:hint="eastAsia" w:eastAsia="等线"/>
                      <w:color w:val="auto"/>
                      <w:szCs w:val="21"/>
                      <w:lang w:val="en-US" w:eastAsia="zh-CN"/>
                    </w:rPr>
                    <w:t>5</w:t>
                  </w:r>
                  <w:r>
                    <w:rPr>
                      <w:rFonts w:eastAsia="等线"/>
                      <w:color w:val="auto"/>
                      <w:szCs w:val="21"/>
                    </w:rPr>
                    <w:t xml:space="preserve"> </w:t>
                  </w:r>
                </w:p>
              </w:tc>
              <w:tc>
                <w:tcPr>
                  <w:tcW w:w="863" w:type="dxa"/>
                  <w:tcBorders>
                    <w:top w:val="single" w:color="auto" w:sz="4" w:space="0"/>
                    <w:left w:val="single" w:color="auto" w:sz="4" w:space="0"/>
                    <w:bottom w:val="single" w:color="auto" w:sz="4" w:space="0"/>
                    <w:right w:val="single" w:color="auto" w:sz="4" w:space="0"/>
                  </w:tcBorders>
                  <w:shd w:val="clear" w:color="auto" w:fill="auto"/>
                  <w:vAlign w:val="center"/>
                </w:tcPr>
                <w:p w14:paraId="5CD1D691">
                  <w:pPr>
                    <w:widowControl/>
                    <w:jc w:val="center"/>
                    <w:rPr>
                      <w:color w:val="auto"/>
                      <w:kern w:val="0"/>
                      <w:szCs w:val="21"/>
                    </w:rPr>
                  </w:pPr>
                  <w:r>
                    <w:rPr>
                      <w:rFonts w:hint="eastAsia" w:eastAsia="等线"/>
                      <w:color w:val="auto"/>
                      <w:szCs w:val="21"/>
                      <w:lang w:val="en-US" w:eastAsia="zh-CN"/>
                    </w:rPr>
                    <w:t>73</w:t>
                  </w:r>
                  <w:r>
                    <w:rPr>
                      <w:rFonts w:eastAsia="等线"/>
                      <w:color w:val="auto"/>
                      <w:szCs w:val="21"/>
                    </w:rPr>
                    <w:t>.</w:t>
                  </w:r>
                  <w:r>
                    <w:rPr>
                      <w:rFonts w:hint="eastAsia" w:eastAsia="等线"/>
                      <w:color w:val="auto"/>
                      <w:szCs w:val="21"/>
                      <w:lang w:val="en-US" w:eastAsia="zh-CN"/>
                    </w:rPr>
                    <w:t>38</w:t>
                  </w:r>
                  <w:r>
                    <w:rPr>
                      <w:rFonts w:eastAsia="等线"/>
                      <w:color w:val="auto"/>
                      <w:szCs w:val="21"/>
                    </w:rPr>
                    <w:t xml:space="preserve"> </w:t>
                  </w:r>
                </w:p>
              </w:tc>
              <w:tc>
                <w:tcPr>
                  <w:tcW w:w="1084" w:type="dxa"/>
                  <w:tcBorders>
                    <w:top w:val="single" w:color="auto" w:sz="4" w:space="0"/>
                    <w:left w:val="single" w:color="auto" w:sz="4" w:space="0"/>
                    <w:bottom w:val="single" w:color="auto" w:sz="4" w:space="0"/>
                    <w:right w:val="single" w:color="auto" w:sz="4" w:space="0"/>
                  </w:tcBorders>
                  <w:shd w:val="clear" w:color="auto" w:fill="auto"/>
                  <w:vAlign w:val="center"/>
                </w:tcPr>
                <w:p w14:paraId="2ADA65CC">
                  <w:pPr>
                    <w:widowControl/>
                    <w:jc w:val="center"/>
                    <w:rPr>
                      <w:rFonts w:ascii="宋体" w:hAnsi="宋体" w:cs="宋体"/>
                      <w:color w:val="auto"/>
                      <w:kern w:val="0"/>
                      <w:szCs w:val="21"/>
                    </w:rPr>
                  </w:pPr>
                  <w:r>
                    <w:rPr>
                      <w:rFonts w:hint="eastAsia"/>
                      <w:color w:val="auto"/>
                      <w:szCs w:val="21"/>
                    </w:rPr>
                    <w:t>2.00</w:t>
                  </w: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5D9F98C8">
                  <w:pPr>
                    <w:keepNext w:val="0"/>
                    <w:keepLines w:val="0"/>
                    <w:widowControl/>
                    <w:suppressLineNumbers w:val="0"/>
                    <w:jc w:val="center"/>
                    <w:textAlignment w:val="center"/>
                    <w:rPr>
                      <w:rFonts w:hint="default" w:eastAsia="等线"/>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366</w:t>
                  </w:r>
                  <w:r>
                    <w:rPr>
                      <w:rFonts w:hint="eastAsia" w:cs="Times New Roman"/>
                      <w:i w:val="0"/>
                      <w:iCs w:val="0"/>
                      <w:color w:val="auto"/>
                      <w:kern w:val="0"/>
                      <w:sz w:val="21"/>
                      <w:szCs w:val="21"/>
                      <w:u w:val="none"/>
                      <w:lang w:val="en-US" w:eastAsia="zh-CN" w:bidi="ar"/>
                    </w:rPr>
                    <w:t>90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434" w:type="dxa"/>
                  <w:tcBorders>
                    <w:top w:val="single" w:color="auto" w:sz="4" w:space="0"/>
                    <w:left w:val="single" w:color="auto" w:sz="4" w:space="0"/>
                    <w:bottom w:val="single" w:color="auto" w:sz="4" w:space="0"/>
                    <w:right w:val="single" w:color="auto" w:sz="4" w:space="0"/>
                  </w:tcBorders>
                  <w:shd w:val="clear" w:color="auto" w:fill="auto"/>
                  <w:vAlign w:val="center"/>
                </w:tcPr>
                <w:p w14:paraId="68D802FA">
                  <w:pPr>
                    <w:keepNext w:val="0"/>
                    <w:keepLines w:val="0"/>
                    <w:widowControl/>
                    <w:suppressLineNumbers w:val="0"/>
                    <w:jc w:val="center"/>
                    <w:textAlignment w:val="center"/>
                    <w:rPr>
                      <w:rFonts w:hint="default" w:ascii="Times New Roman" w:hAnsi="Times New Roman" w:eastAsia="等线"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73</w:t>
                  </w:r>
                  <w:r>
                    <w:rPr>
                      <w:rFonts w:hint="eastAsia"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8</w:t>
                  </w:r>
                  <w:r>
                    <w:rPr>
                      <w:rFonts w:hint="eastAsia" w:cs="Times New Roman"/>
                      <w:i w:val="0"/>
                      <w:iCs w:val="0"/>
                      <w:color w:val="auto"/>
                      <w:kern w:val="0"/>
                      <w:sz w:val="21"/>
                      <w:szCs w:val="21"/>
                      <w:u w:val="none"/>
                      <w:lang w:val="en-US" w:eastAsia="zh-CN" w:bidi="ar"/>
                    </w:rPr>
                    <w:t>0</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46E50DD0">
              <w:tblPrEx>
                <w:tblCellMar>
                  <w:top w:w="0" w:type="dxa"/>
                  <w:left w:w="108" w:type="dxa"/>
                  <w:bottom w:w="0" w:type="dxa"/>
                  <w:right w:w="108" w:type="dxa"/>
                </w:tblCellMar>
              </w:tblPrEx>
              <w:trPr>
                <w:trHeight w:val="83" w:hRule="atLeast"/>
                <w:jc w:val="center"/>
              </w:trPr>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6F51EA30">
                  <w:pPr>
                    <w:widowControl/>
                    <w:jc w:val="center"/>
                    <w:rPr>
                      <w:color w:val="auto"/>
                      <w:szCs w:val="21"/>
                    </w:rPr>
                  </w:pPr>
                  <w:r>
                    <w:rPr>
                      <w:rFonts w:hint="eastAsia"/>
                      <w:color w:val="auto"/>
                      <w:szCs w:val="21"/>
                    </w:rPr>
                    <w:t>五金配件（</w:t>
                  </w:r>
                  <w:r>
                    <w:rPr>
                      <w:rFonts w:hint="eastAsia"/>
                      <w:color w:val="auto"/>
                      <w:kern w:val="0"/>
                      <w:szCs w:val="21"/>
                      <w:lang w:bidi="ar"/>
                    </w:rPr>
                    <w:t>手动线</w:t>
                  </w:r>
                  <w:r>
                    <w:rPr>
                      <w:rFonts w:hint="eastAsia"/>
                      <w:color w:val="auto"/>
                      <w:szCs w:val="21"/>
                    </w:rPr>
                    <w:t>）</w:t>
                  </w:r>
                </w:p>
              </w:tc>
              <w:tc>
                <w:tcPr>
                  <w:tcW w:w="1272" w:type="dxa"/>
                  <w:tcBorders>
                    <w:top w:val="single" w:color="auto" w:sz="4" w:space="0"/>
                    <w:left w:val="single" w:color="auto" w:sz="4" w:space="0"/>
                    <w:bottom w:val="single" w:color="auto" w:sz="4" w:space="0"/>
                    <w:right w:val="single" w:color="auto" w:sz="4" w:space="0"/>
                  </w:tcBorders>
                  <w:shd w:val="clear" w:color="auto" w:fill="auto"/>
                  <w:vAlign w:val="center"/>
                </w:tcPr>
                <w:p w14:paraId="25D3B9DE">
                  <w:pPr>
                    <w:widowControl/>
                    <w:jc w:val="center"/>
                    <w:rPr>
                      <w:rFonts w:hint="default" w:eastAsia="等线"/>
                      <w:color w:val="auto"/>
                      <w:szCs w:val="21"/>
                      <w:lang w:val="en-US" w:eastAsia="zh-CN"/>
                    </w:rPr>
                  </w:pPr>
                  <w:r>
                    <w:rPr>
                      <w:rFonts w:hint="eastAsia" w:eastAsia="等线"/>
                      <w:color w:val="auto"/>
                      <w:szCs w:val="21"/>
                      <w:lang w:val="en-US" w:eastAsia="zh-CN"/>
                    </w:rPr>
                    <w:t>40</w:t>
                  </w:r>
                </w:p>
              </w:tc>
              <w:tc>
                <w:tcPr>
                  <w:tcW w:w="1050" w:type="dxa"/>
                  <w:tcBorders>
                    <w:top w:val="single" w:color="auto" w:sz="4" w:space="0"/>
                    <w:left w:val="single" w:color="auto" w:sz="4" w:space="0"/>
                    <w:bottom w:val="single" w:color="auto" w:sz="4" w:space="0"/>
                    <w:right w:val="single" w:color="auto" w:sz="4" w:space="0"/>
                  </w:tcBorders>
                  <w:shd w:val="clear" w:color="auto" w:fill="auto"/>
                  <w:vAlign w:val="center"/>
                </w:tcPr>
                <w:p w14:paraId="1689ED95">
                  <w:pPr>
                    <w:widowControl/>
                    <w:jc w:val="center"/>
                    <w:rPr>
                      <w:rFonts w:hint="eastAsia" w:eastAsia="等线"/>
                      <w:color w:val="auto"/>
                      <w:szCs w:val="21"/>
                      <w:lang w:eastAsia="zh-CN"/>
                    </w:rPr>
                  </w:pPr>
                  <w:r>
                    <w:rPr>
                      <w:rFonts w:eastAsia="等线"/>
                      <w:color w:val="auto"/>
                      <w:szCs w:val="21"/>
                    </w:rPr>
                    <w:t>7</w:t>
                  </w:r>
                  <w:r>
                    <w:rPr>
                      <w:rFonts w:hint="eastAsia" w:eastAsia="等线"/>
                      <w:color w:val="auto"/>
                      <w:szCs w:val="21"/>
                      <w:lang w:eastAsia="zh-CN"/>
                    </w:rPr>
                    <w:t>.</w:t>
                  </w:r>
                  <w:r>
                    <w:rPr>
                      <w:rFonts w:eastAsia="等线"/>
                      <w:color w:val="auto"/>
                      <w:szCs w:val="21"/>
                    </w:rPr>
                    <w:t>8</w:t>
                  </w:r>
                  <w:r>
                    <w:rPr>
                      <w:rFonts w:hint="eastAsia" w:eastAsia="等线"/>
                      <w:color w:val="auto"/>
                      <w:szCs w:val="21"/>
                      <w:lang w:val="en-US" w:eastAsia="zh-CN"/>
                    </w:rPr>
                    <w:t>5</w:t>
                  </w:r>
                </w:p>
              </w:tc>
              <w:tc>
                <w:tcPr>
                  <w:tcW w:w="863" w:type="dxa"/>
                  <w:tcBorders>
                    <w:top w:val="single" w:color="auto" w:sz="4" w:space="0"/>
                    <w:left w:val="single" w:color="auto" w:sz="4" w:space="0"/>
                    <w:bottom w:val="single" w:color="auto" w:sz="4" w:space="0"/>
                    <w:right w:val="single" w:color="auto" w:sz="4" w:space="0"/>
                  </w:tcBorders>
                  <w:shd w:val="clear" w:color="auto" w:fill="auto"/>
                  <w:vAlign w:val="center"/>
                </w:tcPr>
                <w:p w14:paraId="40099EEE">
                  <w:pPr>
                    <w:widowControl/>
                    <w:jc w:val="center"/>
                    <w:rPr>
                      <w:rFonts w:eastAsia="等线"/>
                      <w:color w:val="auto"/>
                      <w:szCs w:val="21"/>
                    </w:rPr>
                  </w:pPr>
                  <w:r>
                    <w:rPr>
                      <w:rFonts w:hint="eastAsia" w:eastAsia="等线"/>
                      <w:color w:val="auto"/>
                      <w:szCs w:val="21"/>
                      <w:lang w:val="en-US" w:eastAsia="zh-CN"/>
                    </w:rPr>
                    <w:t>7</w:t>
                  </w:r>
                  <w:r>
                    <w:rPr>
                      <w:rFonts w:eastAsia="等线"/>
                      <w:color w:val="auto"/>
                      <w:szCs w:val="21"/>
                    </w:rPr>
                    <w:t>.</w:t>
                  </w:r>
                  <w:r>
                    <w:rPr>
                      <w:rFonts w:hint="eastAsia" w:eastAsia="等线"/>
                      <w:color w:val="auto"/>
                      <w:szCs w:val="21"/>
                      <w:lang w:val="en-US" w:eastAsia="zh-CN"/>
                    </w:rPr>
                    <w:t>64</w:t>
                  </w:r>
                  <w:r>
                    <w:rPr>
                      <w:rFonts w:eastAsia="等线"/>
                      <w:color w:val="auto"/>
                      <w:szCs w:val="21"/>
                    </w:rPr>
                    <w:t xml:space="preserve"> </w:t>
                  </w:r>
                </w:p>
              </w:tc>
              <w:tc>
                <w:tcPr>
                  <w:tcW w:w="1084" w:type="dxa"/>
                  <w:tcBorders>
                    <w:top w:val="single" w:color="auto" w:sz="4" w:space="0"/>
                    <w:left w:val="single" w:color="auto" w:sz="4" w:space="0"/>
                    <w:bottom w:val="single" w:color="auto" w:sz="4" w:space="0"/>
                    <w:right w:val="single" w:color="auto" w:sz="4" w:space="0"/>
                  </w:tcBorders>
                  <w:shd w:val="clear" w:color="auto" w:fill="auto"/>
                  <w:vAlign w:val="center"/>
                </w:tcPr>
                <w:p w14:paraId="22693503">
                  <w:pPr>
                    <w:widowControl/>
                    <w:jc w:val="center"/>
                    <w:rPr>
                      <w:color w:val="auto"/>
                      <w:szCs w:val="21"/>
                    </w:rPr>
                  </w:pPr>
                  <w:r>
                    <w:rPr>
                      <w:rFonts w:hint="eastAsia"/>
                      <w:color w:val="auto"/>
                      <w:szCs w:val="21"/>
                    </w:rPr>
                    <w:t>2.00</w:t>
                  </w: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50B34925">
                  <w:pPr>
                    <w:keepNext w:val="0"/>
                    <w:keepLines w:val="0"/>
                    <w:widowControl/>
                    <w:suppressLineNumbers w:val="0"/>
                    <w:jc w:val="center"/>
                    <w:textAlignment w:val="center"/>
                    <w:rPr>
                      <w:rFonts w:hint="default" w:eastAsia="等线"/>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38</w:t>
                  </w:r>
                  <w:r>
                    <w:rPr>
                      <w:rFonts w:hint="eastAsia" w:cs="Times New Roman"/>
                      <w:i w:val="0"/>
                      <w:iCs w:val="0"/>
                      <w:color w:val="auto"/>
                      <w:kern w:val="0"/>
                      <w:sz w:val="21"/>
                      <w:szCs w:val="21"/>
                      <w:u w:val="none"/>
                      <w:lang w:val="en-US" w:eastAsia="zh-CN" w:bidi="ar"/>
                    </w:rPr>
                    <w:t>20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434" w:type="dxa"/>
                  <w:tcBorders>
                    <w:top w:val="single" w:color="auto" w:sz="4" w:space="0"/>
                    <w:left w:val="single" w:color="auto" w:sz="4" w:space="0"/>
                    <w:bottom w:val="single" w:color="auto" w:sz="4" w:space="0"/>
                    <w:right w:val="single" w:color="auto" w:sz="4" w:space="0"/>
                  </w:tcBorders>
                  <w:shd w:val="clear" w:color="auto" w:fill="auto"/>
                  <w:vAlign w:val="center"/>
                </w:tcPr>
                <w:p w14:paraId="71010469">
                  <w:pPr>
                    <w:keepNext w:val="0"/>
                    <w:keepLines w:val="0"/>
                    <w:widowControl/>
                    <w:suppressLineNumbers w:val="0"/>
                    <w:jc w:val="center"/>
                    <w:textAlignment w:val="center"/>
                    <w:rPr>
                      <w:rFonts w:hint="default" w:ascii="Times New Roman" w:hAnsi="Times New Roman" w:eastAsia="等线"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76</w:t>
                  </w:r>
                  <w:r>
                    <w:rPr>
                      <w:rFonts w:hint="eastAsia" w:cs="Times New Roman"/>
                      <w:i w:val="0"/>
                      <w:iCs w:val="0"/>
                      <w:color w:val="auto"/>
                      <w:kern w:val="0"/>
                      <w:sz w:val="21"/>
                      <w:szCs w:val="21"/>
                      <w:u w:val="none"/>
                      <w:lang w:val="en-US" w:eastAsia="zh-CN" w:bidi="ar"/>
                    </w:rPr>
                    <w:t>40</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21287C47">
              <w:tblPrEx>
                <w:tblCellMar>
                  <w:top w:w="0" w:type="dxa"/>
                  <w:left w:w="108" w:type="dxa"/>
                  <w:bottom w:w="0" w:type="dxa"/>
                  <w:right w:w="108" w:type="dxa"/>
                </w:tblCellMar>
              </w:tblPrEx>
              <w:trPr>
                <w:trHeight w:val="83" w:hRule="atLeast"/>
                <w:jc w:val="center"/>
              </w:trPr>
              <w:tc>
                <w:tcPr>
                  <w:tcW w:w="1237" w:type="dxa"/>
                  <w:tcBorders>
                    <w:top w:val="single" w:color="auto" w:sz="4" w:space="0"/>
                    <w:left w:val="single" w:color="auto" w:sz="4" w:space="0"/>
                    <w:bottom w:val="single" w:color="auto" w:sz="4" w:space="0"/>
                    <w:right w:val="single" w:color="auto" w:sz="4" w:space="0"/>
                  </w:tcBorders>
                  <w:shd w:val="clear" w:color="auto" w:fill="auto"/>
                  <w:vAlign w:val="center"/>
                </w:tcPr>
                <w:p w14:paraId="38DA0657">
                  <w:pPr>
                    <w:widowControl/>
                    <w:jc w:val="center"/>
                    <w:rPr>
                      <w:color w:val="auto"/>
                      <w:szCs w:val="21"/>
                    </w:rPr>
                  </w:pPr>
                  <w:r>
                    <w:rPr>
                      <w:rFonts w:hint="eastAsia"/>
                      <w:color w:val="auto"/>
                      <w:szCs w:val="21"/>
                    </w:rPr>
                    <w:t>合计</w:t>
                  </w:r>
                </w:p>
              </w:tc>
              <w:tc>
                <w:tcPr>
                  <w:tcW w:w="1272" w:type="dxa"/>
                  <w:tcBorders>
                    <w:top w:val="single" w:color="auto" w:sz="4" w:space="0"/>
                    <w:left w:val="single" w:color="auto" w:sz="4" w:space="0"/>
                    <w:bottom w:val="single" w:color="auto" w:sz="4" w:space="0"/>
                    <w:right w:val="single" w:color="auto" w:sz="4" w:space="0"/>
                  </w:tcBorders>
                  <w:shd w:val="clear" w:color="auto" w:fill="auto"/>
                  <w:vAlign w:val="center"/>
                </w:tcPr>
                <w:p w14:paraId="07E850B1">
                  <w:pPr>
                    <w:widowControl/>
                    <w:jc w:val="center"/>
                    <w:rPr>
                      <w:rFonts w:hint="default" w:eastAsia="等线"/>
                      <w:color w:val="auto"/>
                      <w:szCs w:val="21"/>
                      <w:lang w:val="en-US" w:eastAsia="zh-CN"/>
                    </w:rPr>
                  </w:pPr>
                  <w:r>
                    <w:rPr>
                      <w:rFonts w:eastAsia="等线"/>
                      <w:color w:val="auto"/>
                      <w:szCs w:val="21"/>
                    </w:rPr>
                    <w:t>6</w:t>
                  </w:r>
                  <w:r>
                    <w:rPr>
                      <w:rFonts w:hint="eastAsia" w:eastAsia="等线"/>
                      <w:color w:val="auto"/>
                      <w:szCs w:val="21"/>
                      <w:lang w:val="en-US" w:eastAsia="zh-CN"/>
                    </w:rPr>
                    <w:t>16</w:t>
                  </w:r>
                </w:p>
              </w:tc>
              <w:tc>
                <w:tcPr>
                  <w:tcW w:w="2997"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01FE9B32">
                  <w:pPr>
                    <w:widowControl/>
                    <w:jc w:val="center"/>
                    <w:textAlignment w:val="center"/>
                    <w:rPr>
                      <w:rFonts w:eastAsia="等线"/>
                      <w:color w:val="auto"/>
                      <w:szCs w:val="21"/>
                    </w:rPr>
                  </w:pPr>
                  <w:r>
                    <w:rPr>
                      <w:rFonts w:hint="eastAsia" w:eastAsia="等线"/>
                      <w:color w:val="auto"/>
                      <w:szCs w:val="21"/>
                    </w:rPr>
                    <w:t>/</w:t>
                  </w:r>
                </w:p>
              </w:tc>
              <w:tc>
                <w:tcPr>
                  <w:tcW w:w="1277" w:type="dxa"/>
                  <w:tcBorders>
                    <w:top w:val="single" w:color="auto" w:sz="4" w:space="0"/>
                    <w:left w:val="single" w:color="auto" w:sz="4" w:space="0"/>
                    <w:bottom w:val="single" w:color="auto" w:sz="4" w:space="0"/>
                    <w:right w:val="single" w:color="auto" w:sz="4" w:space="0"/>
                  </w:tcBorders>
                  <w:shd w:val="clear" w:color="auto" w:fill="auto"/>
                  <w:vAlign w:val="center"/>
                </w:tcPr>
                <w:p w14:paraId="34E0DC28">
                  <w:pPr>
                    <w:keepNext w:val="0"/>
                    <w:keepLines w:val="0"/>
                    <w:widowControl/>
                    <w:suppressLineNumbers w:val="0"/>
                    <w:jc w:val="center"/>
                    <w:textAlignment w:val="center"/>
                    <w:rPr>
                      <w:rFonts w:hint="default" w:eastAsia="等线"/>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40</w:t>
                  </w:r>
                  <w:r>
                    <w:rPr>
                      <w:rFonts w:hint="eastAsia" w:cs="Times New Roman"/>
                      <w:i w:val="0"/>
                      <w:iCs w:val="0"/>
                      <w:color w:val="auto"/>
                      <w:kern w:val="0"/>
                      <w:sz w:val="21"/>
                      <w:szCs w:val="21"/>
                      <w:u w:val="none"/>
                      <w:lang w:val="en-US" w:eastAsia="zh-CN" w:bidi="ar"/>
                    </w:rPr>
                    <w:t>510</w:t>
                  </w:r>
                </w:p>
              </w:tc>
              <w:tc>
                <w:tcPr>
                  <w:tcW w:w="1434" w:type="dxa"/>
                  <w:tcBorders>
                    <w:top w:val="single" w:color="auto" w:sz="4" w:space="0"/>
                    <w:left w:val="single" w:color="auto" w:sz="4" w:space="0"/>
                    <w:bottom w:val="single" w:color="auto" w:sz="4" w:space="0"/>
                    <w:right w:val="single" w:color="auto" w:sz="4" w:space="0"/>
                  </w:tcBorders>
                  <w:shd w:val="clear" w:color="auto" w:fill="auto"/>
                  <w:vAlign w:val="center"/>
                </w:tcPr>
                <w:p w14:paraId="01904E21">
                  <w:pPr>
                    <w:keepNext w:val="0"/>
                    <w:keepLines w:val="0"/>
                    <w:widowControl/>
                    <w:suppressLineNumbers w:val="0"/>
                    <w:jc w:val="center"/>
                    <w:textAlignment w:val="center"/>
                    <w:rPr>
                      <w:rFonts w:hint="default" w:ascii="Times New Roman" w:hAnsi="Times New Roman" w:eastAsia="等线"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8</w:t>
                  </w:r>
                  <w:r>
                    <w:rPr>
                      <w:rFonts w:hint="eastAsia" w:cs="Times New Roman"/>
                      <w:i w:val="0"/>
                      <w:iCs w:val="0"/>
                      <w:color w:val="auto"/>
                      <w:kern w:val="0"/>
                      <w:sz w:val="21"/>
                      <w:szCs w:val="21"/>
                      <w:u w:val="none"/>
                      <w:lang w:val="en-US" w:eastAsia="zh-CN" w:bidi="ar"/>
                    </w:rPr>
                    <w:t>1020</w:t>
                  </w:r>
                </w:p>
              </w:tc>
            </w:tr>
          </w:tbl>
          <w:p w14:paraId="191445DB">
            <w:pPr>
              <w:pStyle w:val="9"/>
              <w:numPr>
                <w:ilvl w:val="0"/>
                <w:numId w:val="0"/>
              </w:numPr>
              <w:jc w:val="left"/>
              <w:rPr>
                <w:b w:val="0"/>
                <w:color w:val="auto"/>
                <w:szCs w:val="21"/>
                <w:lang w:val="en-US"/>
              </w:rPr>
            </w:pPr>
            <w:r>
              <w:rPr>
                <w:b w:val="0"/>
                <w:color w:val="auto"/>
                <w:szCs w:val="21"/>
                <w:lang w:val="en-US"/>
              </w:rPr>
              <w:t>注</w:t>
            </w:r>
            <w:r>
              <w:rPr>
                <w:rFonts w:hint="eastAsia"/>
                <w:b w:val="0"/>
                <w:color w:val="auto"/>
                <w:szCs w:val="21"/>
                <w:lang w:val="en-US"/>
              </w:rPr>
              <w:t>：</w:t>
            </w:r>
            <w:r>
              <w:rPr>
                <w:b w:val="0"/>
                <w:color w:val="auto"/>
                <w:szCs w:val="21"/>
                <w:lang w:val="en-US"/>
              </w:rPr>
              <w:t>自动线理论产能为</w:t>
            </w:r>
            <w:r>
              <w:rPr>
                <w:rFonts w:hint="eastAsia"/>
                <w:b w:val="0"/>
                <w:color w:val="auto"/>
                <w:szCs w:val="21"/>
                <w:lang w:val="en-US" w:eastAsia="zh-CN"/>
              </w:rPr>
              <w:t>576</w:t>
            </w:r>
            <w:r>
              <w:rPr>
                <w:b w:val="0"/>
                <w:color w:val="auto"/>
                <w:szCs w:val="21"/>
                <w:lang w:val="en-US"/>
              </w:rPr>
              <w:t>吨</w:t>
            </w:r>
            <w:r>
              <w:rPr>
                <w:rFonts w:hint="eastAsia"/>
                <w:b w:val="0"/>
                <w:color w:val="auto"/>
                <w:szCs w:val="21"/>
                <w:lang w:val="en-US"/>
              </w:rPr>
              <w:t>/年，</w:t>
            </w:r>
            <w:r>
              <w:rPr>
                <w:b w:val="0"/>
                <w:color w:val="auto"/>
                <w:szCs w:val="21"/>
                <w:lang w:val="en-US"/>
              </w:rPr>
              <w:t>手动线理论产能为</w:t>
            </w:r>
            <w:r>
              <w:rPr>
                <w:rFonts w:hint="eastAsia"/>
                <w:b w:val="0"/>
                <w:color w:val="auto"/>
                <w:szCs w:val="21"/>
                <w:lang w:val="en-US" w:eastAsia="zh-CN"/>
              </w:rPr>
              <w:t>4</w:t>
            </w:r>
            <w:r>
              <w:rPr>
                <w:b w:val="0"/>
                <w:color w:val="auto"/>
                <w:szCs w:val="21"/>
                <w:lang w:val="en-US"/>
              </w:rPr>
              <w:t>0吨</w:t>
            </w:r>
            <w:r>
              <w:rPr>
                <w:rFonts w:hint="eastAsia"/>
                <w:b w:val="0"/>
                <w:color w:val="auto"/>
                <w:szCs w:val="21"/>
                <w:lang w:val="en-US"/>
              </w:rPr>
              <w:t>/年，</w:t>
            </w:r>
            <w:r>
              <w:rPr>
                <w:b w:val="0"/>
                <w:color w:val="auto"/>
                <w:szCs w:val="21"/>
                <w:lang w:val="en-US"/>
              </w:rPr>
              <w:t>则合计为</w:t>
            </w:r>
            <w:r>
              <w:rPr>
                <w:rFonts w:hint="eastAsia"/>
                <w:b w:val="0"/>
                <w:color w:val="auto"/>
                <w:szCs w:val="21"/>
                <w:lang w:val="en-US"/>
              </w:rPr>
              <w:t>6</w:t>
            </w:r>
            <w:r>
              <w:rPr>
                <w:rFonts w:hint="eastAsia"/>
                <w:b w:val="0"/>
                <w:color w:val="auto"/>
                <w:szCs w:val="21"/>
                <w:lang w:val="en-US" w:eastAsia="zh-CN"/>
              </w:rPr>
              <w:t>16</w:t>
            </w:r>
            <w:r>
              <w:rPr>
                <w:b w:val="0"/>
                <w:color w:val="auto"/>
                <w:szCs w:val="21"/>
                <w:lang w:val="en-US"/>
              </w:rPr>
              <w:t>吨</w:t>
            </w:r>
            <w:r>
              <w:rPr>
                <w:rFonts w:hint="eastAsia"/>
                <w:b w:val="0"/>
                <w:color w:val="auto"/>
                <w:szCs w:val="21"/>
                <w:lang w:val="en-US"/>
              </w:rPr>
              <w:t>/年</w:t>
            </w:r>
          </w:p>
          <w:p w14:paraId="12097C65">
            <w:pPr>
              <w:pStyle w:val="9"/>
              <w:ind w:left="630" w:leftChars="0" w:firstLineChars="0"/>
              <w:rPr>
                <w:color w:val="auto"/>
                <w:szCs w:val="21"/>
              </w:rPr>
            </w:pPr>
            <w:r>
              <w:rPr>
                <w:rFonts w:hint="eastAsia" w:ascii="Times New Roman" w:hAnsi="Times New Roman" w:eastAsia="宋体" w:cs="Times New Roman"/>
                <w:b/>
                <w:bCs/>
                <w:color w:val="auto"/>
                <w:kern w:val="2"/>
                <w:sz w:val="21"/>
                <w:szCs w:val="21"/>
                <w:lang w:val="en-US" w:eastAsia="zh-CN" w:bidi="ar-SA"/>
              </w:rPr>
              <w:t>粉末涂料原辅材料用量情况表</w:t>
            </w:r>
          </w:p>
          <w:tbl>
            <w:tblPr>
              <w:tblStyle w:val="35"/>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599"/>
              <w:gridCol w:w="600"/>
              <w:gridCol w:w="1108"/>
              <w:gridCol w:w="1189"/>
              <w:gridCol w:w="1119"/>
              <w:gridCol w:w="1039"/>
              <w:gridCol w:w="1073"/>
              <w:gridCol w:w="874"/>
            </w:tblGrid>
            <w:tr w14:paraId="32790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3" w:type="pct"/>
                  <w:vAlign w:val="center"/>
                </w:tcPr>
                <w:p w14:paraId="19830A9D">
                  <w:pPr>
                    <w:pStyle w:val="186"/>
                    <w:jc w:val="center"/>
                    <w:rPr>
                      <w:b/>
                      <w:bCs/>
                      <w:color w:val="auto"/>
                      <w:szCs w:val="21"/>
                    </w:rPr>
                  </w:pPr>
                  <w:r>
                    <w:rPr>
                      <w:b/>
                      <w:bCs/>
                      <w:color w:val="auto"/>
                      <w:szCs w:val="21"/>
                    </w:rPr>
                    <w:t>序号</w:t>
                  </w:r>
                </w:p>
              </w:tc>
              <w:tc>
                <w:tcPr>
                  <w:tcW w:w="728" w:type="pct"/>
                  <w:gridSpan w:val="2"/>
                  <w:vAlign w:val="center"/>
                </w:tcPr>
                <w:p w14:paraId="23E70771">
                  <w:pPr>
                    <w:pStyle w:val="186"/>
                    <w:jc w:val="center"/>
                    <w:rPr>
                      <w:b/>
                      <w:bCs/>
                      <w:color w:val="auto"/>
                      <w:szCs w:val="21"/>
                    </w:rPr>
                  </w:pPr>
                  <w:r>
                    <w:rPr>
                      <w:b/>
                      <w:bCs/>
                      <w:color w:val="auto"/>
                      <w:szCs w:val="21"/>
                    </w:rPr>
                    <w:t>原料名称</w:t>
                  </w:r>
                </w:p>
              </w:tc>
              <w:tc>
                <w:tcPr>
                  <w:tcW w:w="672" w:type="pct"/>
                  <w:vAlign w:val="center"/>
                </w:tcPr>
                <w:p w14:paraId="014C366C">
                  <w:pPr>
                    <w:pStyle w:val="186"/>
                    <w:jc w:val="center"/>
                    <w:rPr>
                      <w:b/>
                      <w:bCs/>
                      <w:color w:val="auto"/>
                      <w:szCs w:val="21"/>
                    </w:rPr>
                  </w:pPr>
                  <w:r>
                    <w:rPr>
                      <w:b/>
                      <w:bCs/>
                      <w:color w:val="auto"/>
                      <w:szCs w:val="21"/>
                    </w:rPr>
                    <w:t>喷粉厚度μm</w:t>
                  </w:r>
                </w:p>
              </w:tc>
              <w:tc>
                <w:tcPr>
                  <w:tcW w:w="722" w:type="pct"/>
                  <w:vAlign w:val="center"/>
                </w:tcPr>
                <w:p w14:paraId="32200AB4">
                  <w:pPr>
                    <w:pStyle w:val="186"/>
                    <w:jc w:val="center"/>
                    <w:rPr>
                      <w:b/>
                      <w:bCs/>
                      <w:color w:val="auto"/>
                      <w:szCs w:val="21"/>
                    </w:rPr>
                  </w:pPr>
                  <w:r>
                    <w:rPr>
                      <w:b/>
                      <w:bCs/>
                      <w:color w:val="auto"/>
                      <w:szCs w:val="21"/>
                    </w:rPr>
                    <w:t>喷粉面积</w:t>
                  </w:r>
                  <w:r>
                    <w:rPr>
                      <w:rFonts w:hint="eastAsia"/>
                      <w:color w:val="auto"/>
                      <w:szCs w:val="21"/>
                      <w:lang w:val="en-US" w:eastAsia="zh-CN"/>
                    </w:rPr>
                    <w:t>㎡</w:t>
                  </w:r>
                </w:p>
              </w:tc>
              <w:tc>
                <w:tcPr>
                  <w:tcW w:w="679" w:type="pct"/>
                  <w:vAlign w:val="center"/>
                </w:tcPr>
                <w:p w14:paraId="3A425BEE">
                  <w:pPr>
                    <w:pStyle w:val="186"/>
                    <w:jc w:val="center"/>
                    <w:rPr>
                      <w:b/>
                      <w:bCs/>
                      <w:color w:val="auto"/>
                      <w:szCs w:val="21"/>
                    </w:rPr>
                  </w:pPr>
                  <w:r>
                    <w:rPr>
                      <w:rFonts w:hint="eastAsia"/>
                      <w:b/>
                      <w:bCs/>
                      <w:color w:val="auto"/>
                      <w:szCs w:val="21"/>
                    </w:rPr>
                    <w:t>附着率</w:t>
                  </w:r>
                  <w:r>
                    <w:rPr>
                      <w:b/>
                      <w:bCs/>
                      <w:color w:val="auto"/>
                      <w:szCs w:val="21"/>
                    </w:rPr>
                    <w:t>%</w:t>
                  </w:r>
                </w:p>
              </w:tc>
              <w:tc>
                <w:tcPr>
                  <w:tcW w:w="630" w:type="pct"/>
                  <w:vAlign w:val="center"/>
                </w:tcPr>
                <w:p w14:paraId="6D41760E">
                  <w:pPr>
                    <w:pStyle w:val="186"/>
                    <w:jc w:val="center"/>
                    <w:rPr>
                      <w:b/>
                      <w:bCs/>
                      <w:color w:val="auto"/>
                      <w:szCs w:val="21"/>
                    </w:rPr>
                  </w:pPr>
                  <w:r>
                    <w:rPr>
                      <w:b/>
                      <w:bCs/>
                      <w:color w:val="auto"/>
                      <w:szCs w:val="21"/>
                    </w:rPr>
                    <w:t>密度g/</w:t>
                  </w:r>
                  <w:r>
                    <w:rPr>
                      <w:rFonts w:hint="eastAsia"/>
                      <w:b/>
                      <w:bCs/>
                      <w:color w:val="auto"/>
                      <w:szCs w:val="21"/>
                    </w:rPr>
                    <w:t>c</w:t>
                  </w:r>
                  <w:r>
                    <w:rPr>
                      <w:b/>
                      <w:bCs/>
                      <w:color w:val="auto"/>
                      <w:szCs w:val="21"/>
                    </w:rPr>
                    <w:t>m</w:t>
                  </w:r>
                  <w:r>
                    <w:rPr>
                      <w:b/>
                      <w:bCs/>
                      <w:color w:val="auto"/>
                      <w:szCs w:val="21"/>
                      <w:vertAlign w:val="superscript"/>
                    </w:rPr>
                    <w:t>3</w:t>
                  </w:r>
                </w:p>
              </w:tc>
              <w:tc>
                <w:tcPr>
                  <w:tcW w:w="651" w:type="pct"/>
                  <w:vAlign w:val="center"/>
                </w:tcPr>
                <w:p w14:paraId="72D3804A">
                  <w:pPr>
                    <w:pStyle w:val="186"/>
                    <w:jc w:val="center"/>
                    <w:rPr>
                      <w:b/>
                      <w:bCs/>
                      <w:color w:val="auto"/>
                      <w:szCs w:val="21"/>
                    </w:rPr>
                  </w:pPr>
                  <w:r>
                    <w:rPr>
                      <w:rFonts w:hint="eastAsia"/>
                      <w:b/>
                      <w:bCs/>
                      <w:color w:val="auto"/>
                      <w:szCs w:val="21"/>
                      <w:lang w:val="en-US" w:eastAsia="zh-CN"/>
                    </w:rPr>
                    <w:t>理论</w:t>
                  </w:r>
                  <w:r>
                    <w:rPr>
                      <w:b/>
                      <w:bCs/>
                      <w:color w:val="auto"/>
                      <w:szCs w:val="21"/>
                    </w:rPr>
                    <w:t>用量t</w:t>
                  </w:r>
                </w:p>
              </w:tc>
              <w:tc>
                <w:tcPr>
                  <w:tcW w:w="530" w:type="pct"/>
                  <w:vAlign w:val="center"/>
                </w:tcPr>
                <w:p w14:paraId="5A270E12">
                  <w:pPr>
                    <w:pStyle w:val="186"/>
                    <w:jc w:val="center"/>
                    <w:rPr>
                      <w:rFonts w:hint="eastAsia" w:eastAsia="宋体"/>
                      <w:b/>
                      <w:bCs/>
                      <w:color w:val="auto"/>
                      <w:szCs w:val="21"/>
                      <w:lang w:val="en-US" w:eastAsia="zh-CN"/>
                    </w:rPr>
                  </w:pPr>
                  <w:r>
                    <w:rPr>
                      <w:rFonts w:hint="eastAsia"/>
                      <w:b/>
                      <w:bCs/>
                      <w:color w:val="auto"/>
                      <w:szCs w:val="21"/>
                      <w:lang w:val="en-US" w:eastAsia="zh-CN"/>
                    </w:rPr>
                    <w:t>申报量</w:t>
                  </w:r>
                  <w:r>
                    <w:rPr>
                      <w:b/>
                      <w:bCs/>
                      <w:color w:val="auto"/>
                      <w:szCs w:val="21"/>
                    </w:rPr>
                    <w:t>t</w:t>
                  </w:r>
                </w:p>
              </w:tc>
            </w:tr>
            <w:tr w14:paraId="22805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83" w:type="pct"/>
                  <w:vMerge w:val="restart"/>
                  <w:vAlign w:val="center"/>
                </w:tcPr>
                <w:p w14:paraId="54D8BD9C">
                  <w:pPr>
                    <w:pStyle w:val="186"/>
                    <w:jc w:val="center"/>
                    <w:rPr>
                      <w:color w:val="auto"/>
                      <w:szCs w:val="21"/>
                    </w:rPr>
                  </w:pPr>
                  <w:r>
                    <w:rPr>
                      <w:color w:val="auto"/>
                      <w:szCs w:val="21"/>
                    </w:rPr>
                    <w:t>1</w:t>
                  </w:r>
                </w:p>
              </w:tc>
              <w:tc>
                <w:tcPr>
                  <w:tcW w:w="728" w:type="pct"/>
                  <w:gridSpan w:val="2"/>
                  <w:vAlign w:val="center"/>
                </w:tcPr>
                <w:p w14:paraId="49ABA138">
                  <w:pPr>
                    <w:pStyle w:val="186"/>
                    <w:jc w:val="center"/>
                    <w:rPr>
                      <w:color w:val="auto"/>
                      <w:szCs w:val="21"/>
                    </w:rPr>
                  </w:pPr>
                  <w:r>
                    <w:rPr>
                      <w:color w:val="auto"/>
                      <w:kern w:val="0"/>
                      <w:szCs w:val="21"/>
                    </w:rPr>
                    <w:t>环氧聚酯粉末</w:t>
                  </w:r>
                </w:p>
              </w:tc>
              <w:tc>
                <w:tcPr>
                  <w:tcW w:w="672" w:type="pct"/>
                  <w:vAlign w:val="center"/>
                </w:tcPr>
                <w:p w14:paraId="2CB16963">
                  <w:pPr>
                    <w:widowControl/>
                    <w:jc w:val="center"/>
                    <w:textAlignment w:val="center"/>
                    <w:rPr>
                      <w:color w:val="auto"/>
                      <w:szCs w:val="21"/>
                    </w:rPr>
                  </w:pPr>
                  <w:r>
                    <w:rPr>
                      <w:rFonts w:eastAsia="等线"/>
                      <w:color w:val="auto"/>
                      <w:szCs w:val="21"/>
                    </w:rPr>
                    <w:t>2</w:t>
                  </w:r>
                  <w:r>
                    <w:rPr>
                      <w:rFonts w:hint="eastAsia" w:eastAsia="等线"/>
                      <w:color w:val="auto"/>
                      <w:szCs w:val="21"/>
                      <w:lang w:val="en-US" w:eastAsia="zh-CN"/>
                    </w:rPr>
                    <w:t>6</w:t>
                  </w:r>
                  <w:r>
                    <w:rPr>
                      <w:rFonts w:eastAsia="等线"/>
                      <w:color w:val="auto"/>
                      <w:szCs w:val="21"/>
                    </w:rPr>
                    <w:t>0</w:t>
                  </w:r>
                </w:p>
              </w:tc>
              <w:tc>
                <w:tcPr>
                  <w:tcW w:w="722" w:type="pct"/>
                  <w:vAlign w:val="center"/>
                </w:tcPr>
                <w:p w14:paraId="73821B1D">
                  <w:pPr>
                    <w:widowControl/>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40</w:t>
                  </w:r>
                  <w:r>
                    <w:rPr>
                      <w:rFonts w:hint="eastAsia" w:cs="Times New Roman"/>
                      <w:i w:val="0"/>
                      <w:iCs w:val="0"/>
                      <w:color w:val="auto"/>
                      <w:kern w:val="0"/>
                      <w:sz w:val="21"/>
                      <w:szCs w:val="21"/>
                      <w:u w:val="none"/>
                      <w:lang w:val="en-US" w:eastAsia="zh-CN" w:bidi="ar"/>
                    </w:rPr>
                    <w:t>510</w:t>
                  </w:r>
                </w:p>
              </w:tc>
              <w:tc>
                <w:tcPr>
                  <w:tcW w:w="679" w:type="pct"/>
                  <w:vAlign w:val="center"/>
                </w:tcPr>
                <w:p w14:paraId="66A1F407">
                  <w:pPr>
                    <w:widowControl/>
                    <w:jc w:val="center"/>
                    <w:textAlignment w:val="center"/>
                    <w:rPr>
                      <w:color w:val="auto"/>
                      <w:szCs w:val="21"/>
                    </w:rPr>
                  </w:pPr>
                  <w:r>
                    <w:rPr>
                      <w:rFonts w:eastAsia="等线"/>
                      <w:color w:val="auto"/>
                      <w:szCs w:val="21"/>
                    </w:rPr>
                    <w:t>9</w:t>
                  </w:r>
                  <w:r>
                    <w:rPr>
                      <w:rFonts w:hint="eastAsia" w:eastAsia="等线"/>
                      <w:color w:val="auto"/>
                      <w:szCs w:val="21"/>
                      <w:lang w:val="en-US" w:eastAsia="zh-CN"/>
                    </w:rPr>
                    <w:t>5</w:t>
                  </w:r>
                  <w:r>
                    <w:rPr>
                      <w:rFonts w:eastAsia="等线"/>
                      <w:color w:val="auto"/>
                      <w:szCs w:val="21"/>
                    </w:rPr>
                    <w:t>%</w:t>
                  </w:r>
                </w:p>
              </w:tc>
              <w:tc>
                <w:tcPr>
                  <w:tcW w:w="630" w:type="pct"/>
                  <w:vAlign w:val="center"/>
                </w:tcPr>
                <w:p w14:paraId="3E62A9D7">
                  <w:pPr>
                    <w:widowControl/>
                    <w:jc w:val="center"/>
                    <w:textAlignment w:val="center"/>
                    <w:rPr>
                      <w:color w:val="auto"/>
                      <w:szCs w:val="21"/>
                    </w:rPr>
                  </w:pPr>
                  <w:r>
                    <w:rPr>
                      <w:rFonts w:eastAsia="等线"/>
                      <w:color w:val="auto"/>
                      <w:szCs w:val="21"/>
                    </w:rPr>
                    <w:t>1.4</w:t>
                  </w:r>
                </w:p>
              </w:tc>
              <w:tc>
                <w:tcPr>
                  <w:tcW w:w="651" w:type="pct"/>
                  <w:vAlign w:val="center"/>
                </w:tcPr>
                <w:p w14:paraId="34CCB967">
                  <w:pPr>
                    <w:widowControl/>
                    <w:jc w:val="center"/>
                    <w:textAlignment w:val="center"/>
                    <w:rPr>
                      <w:rFonts w:hint="eastAsia" w:eastAsia="宋体"/>
                      <w:color w:val="auto"/>
                      <w:szCs w:val="21"/>
                      <w:lang w:val="en-US" w:eastAsia="zh-CN"/>
                    </w:rPr>
                  </w:pPr>
                  <w:r>
                    <w:rPr>
                      <w:rFonts w:eastAsia="等线"/>
                      <w:color w:val="auto"/>
                      <w:szCs w:val="21"/>
                    </w:rPr>
                    <w:t>15.</w:t>
                  </w:r>
                  <w:r>
                    <w:rPr>
                      <w:rFonts w:hint="eastAsia" w:eastAsia="等线"/>
                      <w:color w:val="auto"/>
                      <w:szCs w:val="21"/>
                      <w:lang w:val="en-US" w:eastAsia="zh-CN"/>
                    </w:rPr>
                    <w:t>5</w:t>
                  </w:r>
                  <w:r>
                    <w:rPr>
                      <w:rFonts w:hint="eastAsia"/>
                      <w:color w:val="auto"/>
                      <w:lang w:val="en-US" w:eastAsia="zh-CN"/>
                    </w:rPr>
                    <w:t>2</w:t>
                  </w:r>
                </w:p>
              </w:tc>
              <w:tc>
                <w:tcPr>
                  <w:tcW w:w="530" w:type="pct"/>
                  <w:vAlign w:val="center"/>
                </w:tcPr>
                <w:p w14:paraId="1735DD6F">
                  <w:pPr>
                    <w:widowControl/>
                    <w:jc w:val="center"/>
                    <w:textAlignment w:val="center"/>
                    <w:rPr>
                      <w:rFonts w:hint="default" w:eastAsia="等线"/>
                      <w:color w:val="auto"/>
                      <w:szCs w:val="21"/>
                      <w:lang w:val="en-US" w:eastAsia="zh-CN"/>
                    </w:rPr>
                  </w:pPr>
                  <w:r>
                    <w:rPr>
                      <w:rFonts w:hint="eastAsia" w:eastAsia="等线"/>
                      <w:color w:val="auto"/>
                      <w:szCs w:val="21"/>
                      <w:lang w:val="en-US" w:eastAsia="zh-CN"/>
                    </w:rPr>
                    <w:t>16</w:t>
                  </w:r>
                </w:p>
              </w:tc>
            </w:tr>
            <w:tr w14:paraId="202E0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83" w:type="pct"/>
                  <w:vMerge w:val="continue"/>
                  <w:vAlign w:val="center"/>
                </w:tcPr>
                <w:p w14:paraId="2F4ABCD2">
                  <w:pPr>
                    <w:pStyle w:val="186"/>
                    <w:jc w:val="center"/>
                    <w:rPr>
                      <w:color w:val="auto"/>
                      <w:szCs w:val="21"/>
                    </w:rPr>
                  </w:pPr>
                </w:p>
              </w:tc>
              <w:tc>
                <w:tcPr>
                  <w:tcW w:w="363" w:type="pct"/>
                  <w:vMerge w:val="restart"/>
                  <w:vAlign w:val="center"/>
                </w:tcPr>
                <w:p w14:paraId="5386D403">
                  <w:pPr>
                    <w:pStyle w:val="186"/>
                    <w:jc w:val="center"/>
                    <w:rPr>
                      <w:rFonts w:hint="eastAsia" w:eastAsia="宋体"/>
                      <w:color w:val="auto"/>
                      <w:kern w:val="0"/>
                      <w:szCs w:val="21"/>
                      <w:lang w:val="en-US" w:eastAsia="zh-CN"/>
                    </w:rPr>
                  </w:pPr>
                  <w:r>
                    <w:rPr>
                      <w:rFonts w:hint="eastAsia"/>
                      <w:color w:val="auto"/>
                      <w:kern w:val="0"/>
                      <w:szCs w:val="21"/>
                      <w:lang w:val="en-US" w:eastAsia="zh-CN"/>
                    </w:rPr>
                    <w:t>其中</w:t>
                  </w:r>
                </w:p>
              </w:tc>
              <w:tc>
                <w:tcPr>
                  <w:tcW w:w="364" w:type="pct"/>
                  <w:vAlign w:val="center"/>
                </w:tcPr>
                <w:p w14:paraId="5F835FA5">
                  <w:pPr>
                    <w:pStyle w:val="186"/>
                    <w:jc w:val="center"/>
                    <w:rPr>
                      <w:rFonts w:hint="eastAsia" w:eastAsia="宋体"/>
                      <w:color w:val="auto"/>
                      <w:kern w:val="0"/>
                      <w:szCs w:val="21"/>
                      <w:lang w:val="en-US" w:eastAsia="zh-CN"/>
                    </w:rPr>
                  </w:pPr>
                  <w:r>
                    <w:rPr>
                      <w:rFonts w:hint="eastAsia"/>
                      <w:color w:val="auto"/>
                      <w:kern w:val="0"/>
                      <w:szCs w:val="21"/>
                      <w:lang w:val="en-US" w:eastAsia="zh-CN"/>
                    </w:rPr>
                    <w:t>自动线</w:t>
                  </w:r>
                </w:p>
              </w:tc>
              <w:tc>
                <w:tcPr>
                  <w:tcW w:w="672" w:type="pct"/>
                  <w:vAlign w:val="center"/>
                </w:tcPr>
                <w:p w14:paraId="121CFAE7">
                  <w:pPr>
                    <w:widowControl/>
                    <w:jc w:val="center"/>
                    <w:textAlignment w:val="center"/>
                    <w:rPr>
                      <w:rFonts w:hint="default" w:eastAsia="等线"/>
                      <w:color w:val="auto"/>
                      <w:szCs w:val="21"/>
                      <w:lang w:val="en-US" w:eastAsia="zh-CN"/>
                    </w:rPr>
                  </w:pPr>
                  <w:r>
                    <w:rPr>
                      <w:rFonts w:hint="eastAsia" w:eastAsia="等线"/>
                      <w:color w:val="auto"/>
                      <w:szCs w:val="21"/>
                      <w:lang w:val="en-US" w:eastAsia="zh-CN"/>
                    </w:rPr>
                    <w:t>260</w:t>
                  </w:r>
                </w:p>
              </w:tc>
              <w:tc>
                <w:tcPr>
                  <w:tcW w:w="722" w:type="pct"/>
                  <w:vAlign w:val="center"/>
                </w:tcPr>
                <w:p w14:paraId="32492808">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36690</w:t>
                  </w:r>
                </w:p>
              </w:tc>
              <w:tc>
                <w:tcPr>
                  <w:tcW w:w="1119" w:type="dxa"/>
                  <w:vAlign w:val="center"/>
                </w:tcPr>
                <w:p w14:paraId="4D7B14AE">
                  <w:pPr>
                    <w:widowControl/>
                    <w:jc w:val="center"/>
                    <w:textAlignment w:val="center"/>
                    <w:rPr>
                      <w:rFonts w:eastAsia="等线"/>
                      <w:color w:val="auto"/>
                      <w:szCs w:val="21"/>
                    </w:rPr>
                  </w:pPr>
                  <w:r>
                    <w:rPr>
                      <w:rFonts w:eastAsia="等线"/>
                      <w:color w:val="auto"/>
                      <w:szCs w:val="21"/>
                    </w:rPr>
                    <w:t>9</w:t>
                  </w:r>
                  <w:r>
                    <w:rPr>
                      <w:rFonts w:hint="eastAsia" w:eastAsia="等线"/>
                      <w:color w:val="auto"/>
                      <w:szCs w:val="21"/>
                      <w:lang w:val="en-US" w:eastAsia="zh-CN"/>
                    </w:rPr>
                    <w:t>5</w:t>
                  </w:r>
                  <w:r>
                    <w:rPr>
                      <w:rFonts w:eastAsia="等线"/>
                      <w:color w:val="auto"/>
                      <w:szCs w:val="21"/>
                    </w:rPr>
                    <w:t>%</w:t>
                  </w:r>
                </w:p>
              </w:tc>
              <w:tc>
                <w:tcPr>
                  <w:tcW w:w="1039" w:type="dxa"/>
                  <w:vAlign w:val="center"/>
                </w:tcPr>
                <w:p w14:paraId="13998619">
                  <w:pPr>
                    <w:widowControl/>
                    <w:jc w:val="center"/>
                    <w:textAlignment w:val="center"/>
                    <w:rPr>
                      <w:rFonts w:eastAsia="等线"/>
                      <w:color w:val="auto"/>
                      <w:szCs w:val="21"/>
                    </w:rPr>
                  </w:pPr>
                  <w:r>
                    <w:rPr>
                      <w:rFonts w:eastAsia="等线"/>
                      <w:color w:val="auto"/>
                      <w:szCs w:val="21"/>
                    </w:rPr>
                    <w:t>1.4</w:t>
                  </w:r>
                </w:p>
              </w:tc>
              <w:tc>
                <w:tcPr>
                  <w:tcW w:w="651" w:type="pct"/>
                  <w:vAlign w:val="center"/>
                </w:tcPr>
                <w:p w14:paraId="0C58DFA0">
                  <w:pPr>
                    <w:widowControl/>
                    <w:jc w:val="center"/>
                    <w:textAlignment w:val="center"/>
                    <w:rPr>
                      <w:rFonts w:hint="default" w:eastAsia="等线"/>
                      <w:color w:val="auto"/>
                      <w:szCs w:val="21"/>
                      <w:lang w:val="en-US" w:eastAsia="zh-CN"/>
                    </w:rPr>
                  </w:pPr>
                  <w:r>
                    <w:rPr>
                      <w:rFonts w:hint="eastAsia" w:eastAsia="等线"/>
                      <w:color w:val="auto"/>
                      <w:szCs w:val="21"/>
                      <w:lang w:val="en-US" w:eastAsia="zh-CN"/>
                    </w:rPr>
                    <w:t>14.06</w:t>
                  </w:r>
                </w:p>
              </w:tc>
              <w:tc>
                <w:tcPr>
                  <w:tcW w:w="530" w:type="pct"/>
                  <w:vAlign w:val="center"/>
                </w:tcPr>
                <w:p w14:paraId="3BDF3A3B">
                  <w:pPr>
                    <w:widowControl/>
                    <w:jc w:val="center"/>
                    <w:textAlignment w:val="center"/>
                    <w:rPr>
                      <w:rFonts w:hint="default" w:eastAsia="等线"/>
                      <w:color w:val="auto"/>
                      <w:szCs w:val="21"/>
                      <w:lang w:val="en-US" w:eastAsia="zh-CN"/>
                    </w:rPr>
                  </w:pPr>
                  <w:r>
                    <w:rPr>
                      <w:rFonts w:hint="eastAsia" w:eastAsia="等线"/>
                      <w:color w:val="auto"/>
                      <w:szCs w:val="21"/>
                      <w:lang w:val="en-US" w:eastAsia="zh-CN"/>
                    </w:rPr>
                    <w:t>14.3</w:t>
                  </w:r>
                </w:p>
              </w:tc>
            </w:tr>
            <w:tr w14:paraId="4E39A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383" w:type="pct"/>
                  <w:vMerge w:val="continue"/>
                  <w:vAlign w:val="center"/>
                </w:tcPr>
                <w:p w14:paraId="0691EBFA">
                  <w:pPr>
                    <w:pStyle w:val="186"/>
                    <w:jc w:val="center"/>
                    <w:rPr>
                      <w:color w:val="auto"/>
                      <w:szCs w:val="21"/>
                    </w:rPr>
                  </w:pPr>
                </w:p>
              </w:tc>
              <w:tc>
                <w:tcPr>
                  <w:tcW w:w="363" w:type="pct"/>
                  <w:vMerge w:val="continue"/>
                  <w:vAlign w:val="center"/>
                </w:tcPr>
                <w:p w14:paraId="7A05F1E7">
                  <w:pPr>
                    <w:pStyle w:val="186"/>
                    <w:jc w:val="center"/>
                    <w:rPr>
                      <w:color w:val="auto"/>
                      <w:kern w:val="0"/>
                      <w:szCs w:val="21"/>
                    </w:rPr>
                  </w:pPr>
                </w:p>
              </w:tc>
              <w:tc>
                <w:tcPr>
                  <w:tcW w:w="364" w:type="pct"/>
                  <w:vAlign w:val="center"/>
                </w:tcPr>
                <w:p w14:paraId="3C44E1E7">
                  <w:pPr>
                    <w:pStyle w:val="186"/>
                    <w:jc w:val="center"/>
                    <w:rPr>
                      <w:rFonts w:hint="eastAsia" w:eastAsia="宋体"/>
                      <w:color w:val="auto"/>
                      <w:kern w:val="0"/>
                      <w:szCs w:val="21"/>
                      <w:lang w:val="en-US" w:eastAsia="zh-CN"/>
                    </w:rPr>
                  </w:pPr>
                  <w:r>
                    <w:rPr>
                      <w:rFonts w:hint="eastAsia"/>
                      <w:color w:val="auto"/>
                      <w:kern w:val="0"/>
                      <w:szCs w:val="21"/>
                      <w:lang w:val="en-US" w:eastAsia="zh-CN"/>
                    </w:rPr>
                    <w:t>手动线</w:t>
                  </w:r>
                </w:p>
              </w:tc>
              <w:tc>
                <w:tcPr>
                  <w:tcW w:w="672" w:type="pct"/>
                  <w:vAlign w:val="center"/>
                </w:tcPr>
                <w:p w14:paraId="4D018D2B">
                  <w:pPr>
                    <w:widowControl/>
                    <w:jc w:val="center"/>
                    <w:textAlignment w:val="center"/>
                    <w:rPr>
                      <w:rFonts w:hint="default" w:eastAsia="等线"/>
                      <w:color w:val="auto"/>
                      <w:szCs w:val="21"/>
                      <w:lang w:val="en-US" w:eastAsia="zh-CN"/>
                    </w:rPr>
                  </w:pPr>
                  <w:r>
                    <w:rPr>
                      <w:rFonts w:hint="eastAsia" w:eastAsia="等线"/>
                      <w:color w:val="auto"/>
                      <w:szCs w:val="21"/>
                      <w:lang w:val="en-US" w:eastAsia="zh-CN"/>
                    </w:rPr>
                    <w:t>260</w:t>
                  </w:r>
                </w:p>
              </w:tc>
              <w:tc>
                <w:tcPr>
                  <w:tcW w:w="722" w:type="pct"/>
                  <w:vAlign w:val="center"/>
                </w:tcPr>
                <w:p w14:paraId="5FC863AF">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3820</w:t>
                  </w:r>
                </w:p>
              </w:tc>
              <w:tc>
                <w:tcPr>
                  <w:tcW w:w="1119" w:type="dxa"/>
                  <w:vAlign w:val="center"/>
                </w:tcPr>
                <w:p w14:paraId="023E0146">
                  <w:pPr>
                    <w:widowControl/>
                    <w:jc w:val="center"/>
                    <w:textAlignment w:val="center"/>
                    <w:rPr>
                      <w:rFonts w:eastAsia="等线"/>
                      <w:color w:val="auto"/>
                      <w:szCs w:val="21"/>
                    </w:rPr>
                  </w:pPr>
                  <w:r>
                    <w:rPr>
                      <w:rFonts w:eastAsia="等线"/>
                      <w:color w:val="auto"/>
                      <w:szCs w:val="21"/>
                    </w:rPr>
                    <w:t>9</w:t>
                  </w:r>
                  <w:r>
                    <w:rPr>
                      <w:rFonts w:hint="eastAsia" w:eastAsia="等线"/>
                      <w:color w:val="auto"/>
                      <w:szCs w:val="21"/>
                      <w:lang w:val="en-US" w:eastAsia="zh-CN"/>
                    </w:rPr>
                    <w:t>5</w:t>
                  </w:r>
                  <w:r>
                    <w:rPr>
                      <w:rFonts w:eastAsia="等线"/>
                      <w:color w:val="auto"/>
                      <w:szCs w:val="21"/>
                    </w:rPr>
                    <w:t>%</w:t>
                  </w:r>
                </w:p>
              </w:tc>
              <w:tc>
                <w:tcPr>
                  <w:tcW w:w="1039" w:type="dxa"/>
                  <w:vAlign w:val="center"/>
                </w:tcPr>
                <w:p w14:paraId="4D6D8F3F">
                  <w:pPr>
                    <w:widowControl/>
                    <w:jc w:val="center"/>
                    <w:textAlignment w:val="center"/>
                    <w:rPr>
                      <w:rFonts w:eastAsia="等线"/>
                      <w:color w:val="auto"/>
                      <w:szCs w:val="21"/>
                    </w:rPr>
                  </w:pPr>
                  <w:r>
                    <w:rPr>
                      <w:rFonts w:eastAsia="等线"/>
                      <w:color w:val="auto"/>
                      <w:szCs w:val="21"/>
                    </w:rPr>
                    <w:t>1.4</w:t>
                  </w:r>
                </w:p>
              </w:tc>
              <w:tc>
                <w:tcPr>
                  <w:tcW w:w="651" w:type="pct"/>
                  <w:vAlign w:val="center"/>
                </w:tcPr>
                <w:p w14:paraId="0D53A131">
                  <w:pPr>
                    <w:widowControl/>
                    <w:jc w:val="center"/>
                    <w:textAlignment w:val="center"/>
                    <w:rPr>
                      <w:rFonts w:hint="default" w:eastAsia="等线"/>
                      <w:color w:val="auto"/>
                      <w:szCs w:val="21"/>
                      <w:lang w:val="en-US" w:eastAsia="zh-CN"/>
                    </w:rPr>
                  </w:pPr>
                  <w:r>
                    <w:rPr>
                      <w:rFonts w:hint="eastAsia" w:eastAsia="等线"/>
                      <w:color w:val="auto"/>
                      <w:szCs w:val="21"/>
                      <w:lang w:val="en-US" w:eastAsia="zh-CN"/>
                    </w:rPr>
                    <w:t>1.46</w:t>
                  </w:r>
                </w:p>
              </w:tc>
              <w:tc>
                <w:tcPr>
                  <w:tcW w:w="530" w:type="pct"/>
                  <w:vAlign w:val="center"/>
                </w:tcPr>
                <w:p w14:paraId="6E13216C">
                  <w:pPr>
                    <w:widowControl/>
                    <w:jc w:val="center"/>
                    <w:textAlignment w:val="center"/>
                    <w:rPr>
                      <w:rFonts w:hint="default" w:eastAsia="等线"/>
                      <w:color w:val="auto"/>
                      <w:szCs w:val="21"/>
                      <w:lang w:val="en-US" w:eastAsia="zh-CN"/>
                    </w:rPr>
                  </w:pPr>
                  <w:r>
                    <w:rPr>
                      <w:rFonts w:hint="eastAsia" w:eastAsia="等线"/>
                      <w:color w:val="auto"/>
                      <w:szCs w:val="21"/>
                      <w:lang w:val="en-US" w:eastAsia="zh-CN"/>
                    </w:rPr>
                    <w:t>1.7</w:t>
                  </w:r>
                </w:p>
              </w:tc>
            </w:tr>
          </w:tbl>
          <w:p w14:paraId="40D06490">
            <w:pPr>
              <w:pStyle w:val="66"/>
              <w:widowControl/>
              <w:spacing w:before="0" w:after="0" w:line="360" w:lineRule="exact"/>
              <w:ind w:firstLine="0" w:firstLineChars="0"/>
              <w:jc w:val="both"/>
              <w:rPr>
                <w:color w:val="auto"/>
                <w:sz w:val="21"/>
                <w:szCs w:val="21"/>
                <w:lang w:val="en-US"/>
              </w:rPr>
            </w:pPr>
            <w:r>
              <w:rPr>
                <w:rFonts w:hint="eastAsia"/>
                <w:color w:val="auto"/>
                <w:sz w:val="21"/>
                <w:szCs w:val="21"/>
                <w:lang w:val="en-US"/>
              </w:rPr>
              <w:t>注：1、项目</w:t>
            </w:r>
            <w:r>
              <w:rPr>
                <w:rFonts w:hint="eastAsia"/>
                <w:color w:val="auto"/>
                <w:sz w:val="21"/>
                <w:szCs w:val="21"/>
                <w:lang w:val="en-US" w:eastAsia="zh-CN"/>
              </w:rPr>
              <w:t>喷粉工序</w:t>
            </w:r>
            <w:r>
              <w:rPr>
                <w:rFonts w:hint="eastAsia"/>
                <w:color w:val="auto"/>
                <w:sz w:val="21"/>
                <w:szCs w:val="21"/>
                <w:lang w:val="en-US"/>
              </w:rPr>
              <w:t>为单面喷涂。</w:t>
            </w:r>
          </w:p>
          <w:p w14:paraId="270BC2C8">
            <w:pPr>
              <w:pStyle w:val="66"/>
              <w:widowControl/>
              <w:spacing w:before="0" w:after="0" w:line="360" w:lineRule="exact"/>
              <w:ind w:firstLine="0" w:firstLineChars="0"/>
              <w:jc w:val="both"/>
              <w:rPr>
                <w:color w:val="auto"/>
                <w:sz w:val="21"/>
                <w:szCs w:val="21"/>
                <w:lang w:val="en-US"/>
              </w:rPr>
            </w:pPr>
            <w:r>
              <w:rPr>
                <w:color w:val="auto"/>
                <w:sz w:val="21"/>
                <w:szCs w:val="21"/>
                <w:lang w:val="en-US"/>
              </w:rPr>
              <w:t>2</w:t>
            </w:r>
            <w:r>
              <w:rPr>
                <w:rFonts w:hint="eastAsia"/>
                <w:color w:val="auto"/>
                <w:sz w:val="21"/>
                <w:szCs w:val="21"/>
                <w:lang w:val="en-US"/>
              </w:rPr>
              <w:t>、</w:t>
            </w:r>
            <w:r>
              <w:rPr>
                <w:color w:val="auto"/>
                <w:sz w:val="21"/>
                <w:szCs w:val="21"/>
                <w:lang w:val="en-US"/>
              </w:rPr>
              <w:t>项目理论粉末年用量</w:t>
            </w:r>
            <w:r>
              <w:rPr>
                <w:rFonts w:hint="eastAsia"/>
                <w:color w:val="auto"/>
                <w:sz w:val="21"/>
                <w:szCs w:val="21"/>
                <w:lang w:val="en-US" w:eastAsia="zh-CN"/>
              </w:rPr>
              <w:t>（</w:t>
            </w:r>
            <w:r>
              <w:rPr>
                <w:rFonts w:hint="eastAsia"/>
                <w:color w:val="auto"/>
                <w:sz w:val="21"/>
                <w:szCs w:val="21"/>
                <w:lang w:val="en-US" w:eastAsia="zh-CN"/>
              </w:rPr>
              <w:t>包含治理设施回用部分</w:t>
            </w:r>
            <w:r>
              <w:rPr>
                <w:rFonts w:hint="eastAsia"/>
                <w:color w:val="auto"/>
                <w:sz w:val="21"/>
                <w:szCs w:val="21"/>
                <w:lang w:val="en-US" w:eastAsia="zh-CN"/>
              </w:rPr>
              <w:t>）</w:t>
            </w:r>
            <w:r>
              <w:rPr>
                <w:color w:val="auto"/>
                <w:sz w:val="21"/>
                <w:szCs w:val="21"/>
                <w:lang w:val="en-US"/>
              </w:rPr>
              <w:t>为</w:t>
            </w:r>
            <w:r>
              <w:rPr>
                <w:rFonts w:hint="eastAsia"/>
                <w:color w:val="auto"/>
                <w:sz w:val="21"/>
                <w:szCs w:val="21"/>
                <w:lang w:val="en-US"/>
              </w:rPr>
              <w:t>1</w:t>
            </w:r>
            <w:r>
              <w:rPr>
                <w:color w:val="auto"/>
                <w:sz w:val="21"/>
                <w:szCs w:val="21"/>
                <w:lang w:val="en-US"/>
              </w:rPr>
              <w:t>5.</w:t>
            </w:r>
            <w:r>
              <w:rPr>
                <w:rFonts w:hint="eastAsia"/>
                <w:color w:val="auto"/>
                <w:sz w:val="21"/>
                <w:szCs w:val="21"/>
                <w:lang w:val="en-US" w:eastAsia="zh-CN"/>
              </w:rPr>
              <w:t>52</w:t>
            </w:r>
            <w:r>
              <w:rPr>
                <w:color w:val="auto"/>
                <w:sz w:val="21"/>
                <w:szCs w:val="21"/>
                <w:lang w:val="en-US"/>
              </w:rPr>
              <w:t>吨</w:t>
            </w:r>
            <w:r>
              <w:rPr>
                <w:rFonts w:hint="eastAsia"/>
                <w:color w:val="auto"/>
                <w:sz w:val="21"/>
                <w:szCs w:val="21"/>
                <w:lang w:val="en-US"/>
              </w:rPr>
              <w:t>，考虑到实际生产中有少量损耗，本项目环氧树脂粉申报量为</w:t>
            </w:r>
            <w:r>
              <w:rPr>
                <w:rFonts w:hint="eastAsia"/>
                <w:color w:val="auto"/>
                <w:sz w:val="21"/>
                <w:szCs w:val="21"/>
                <w:lang w:val="en-US" w:eastAsia="zh-CN"/>
              </w:rPr>
              <w:t>16</w:t>
            </w:r>
            <w:r>
              <w:rPr>
                <w:rFonts w:hint="eastAsia"/>
                <w:color w:val="auto"/>
                <w:sz w:val="21"/>
                <w:szCs w:val="21"/>
                <w:lang w:val="en-US"/>
              </w:rPr>
              <w:t>t/a。</w:t>
            </w:r>
          </w:p>
          <w:p w14:paraId="0154814F">
            <w:pPr>
              <w:pStyle w:val="9"/>
              <w:ind w:left="630" w:leftChars="0" w:firstLineChars="0"/>
              <w:rPr>
                <w:rFonts w:hint="eastAsia"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bCs/>
                <w:color w:val="auto"/>
                <w:kern w:val="2"/>
                <w:sz w:val="21"/>
                <w:szCs w:val="21"/>
                <w:lang w:val="en-US" w:eastAsia="zh-CN" w:bidi="ar-SA"/>
              </w:rPr>
              <w:t>喷枪生产能力与产能匹配核算表</w:t>
            </w:r>
          </w:p>
          <w:tbl>
            <w:tblPr>
              <w:tblStyle w:val="36"/>
              <w:tblW w:w="81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2"/>
              <w:gridCol w:w="1438"/>
              <w:gridCol w:w="1172"/>
              <w:gridCol w:w="1175"/>
              <w:gridCol w:w="1170"/>
              <w:gridCol w:w="1170"/>
              <w:gridCol w:w="1170"/>
            </w:tblGrid>
            <w:tr w14:paraId="4E036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550" w:type="pct"/>
                  <w:vAlign w:val="center"/>
                </w:tcPr>
                <w:p w14:paraId="668F9A3B">
                  <w:pPr>
                    <w:pStyle w:val="66"/>
                    <w:widowControl/>
                    <w:spacing w:before="0" w:after="0" w:line="360" w:lineRule="exact"/>
                    <w:ind w:firstLine="0" w:firstLineChars="0"/>
                    <w:jc w:val="center"/>
                    <w:rPr>
                      <w:color w:val="auto"/>
                      <w:sz w:val="21"/>
                      <w:szCs w:val="21"/>
                      <w:lang w:val="en-US"/>
                    </w:rPr>
                  </w:pPr>
                  <w:r>
                    <w:rPr>
                      <w:rFonts w:hint="eastAsia"/>
                      <w:color w:val="auto"/>
                      <w:sz w:val="21"/>
                      <w:szCs w:val="21"/>
                      <w:lang w:val="en-US"/>
                    </w:rPr>
                    <w:t>生产线名称</w:t>
                  </w:r>
                </w:p>
              </w:tc>
              <w:tc>
                <w:tcPr>
                  <w:tcW w:w="877" w:type="pct"/>
                  <w:vAlign w:val="center"/>
                </w:tcPr>
                <w:p w14:paraId="00AE9A11">
                  <w:pPr>
                    <w:pStyle w:val="66"/>
                    <w:widowControl/>
                    <w:spacing w:before="0" w:after="0" w:line="360" w:lineRule="exact"/>
                    <w:ind w:firstLine="0" w:firstLineChars="0"/>
                    <w:jc w:val="center"/>
                    <w:rPr>
                      <w:color w:val="auto"/>
                      <w:sz w:val="21"/>
                      <w:szCs w:val="21"/>
                      <w:lang w:val="en-US"/>
                    </w:rPr>
                  </w:pPr>
                  <w:r>
                    <w:rPr>
                      <w:rFonts w:hint="eastAsia"/>
                      <w:color w:val="auto"/>
                      <w:sz w:val="21"/>
                      <w:szCs w:val="21"/>
                      <w:lang w:val="en-US"/>
                    </w:rPr>
                    <w:t>喷</w:t>
                  </w:r>
                  <w:r>
                    <w:rPr>
                      <w:rFonts w:hint="eastAsia"/>
                      <w:color w:val="auto"/>
                      <w:sz w:val="21"/>
                      <w:szCs w:val="21"/>
                      <w:lang w:val="en-US" w:eastAsia="zh-CN"/>
                    </w:rPr>
                    <w:t>枪</w:t>
                  </w:r>
                  <w:r>
                    <w:rPr>
                      <w:rFonts w:hint="eastAsia"/>
                      <w:color w:val="auto"/>
                      <w:sz w:val="21"/>
                      <w:szCs w:val="21"/>
                      <w:lang w:val="en-US"/>
                    </w:rPr>
                    <w:t>数量（把）</w:t>
                  </w:r>
                </w:p>
              </w:tc>
              <w:tc>
                <w:tcPr>
                  <w:tcW w:w="714" w:type="pct"/>
                  <w:vAlign w:val="center"/>
                </w:tcPr>
                <w:p w14:paraId="772BC196">
                  <w:pPr>
                    <w:pStyle w:val="66"/>
                    <w:widowControl/>
                    <w:spacing w:before="0" w:after="0" w:line="360" w:lineRule="exact"/>
                    <w:ind w:firstLine="0" w:firstLineChars="0"/>
                    <w:jc w:val="center"/>
                    <w:rPr>
                      <w:rFonts w:hint="eastAsia" w:eastAsia="宋体"/>
                      <w:color w:val="auto"/>
                      <w:sz w:val="21"/>
                      <w:szCs w:val="21"/>
                      <w:lang w:val="en-US" w:eastAsia="zh-CN"/>
                    </w:rPr>
                  </w:pPr>
                  <w:r>
                    <w:rPr>
                      <w:rFonts w:hint="eastAsia"/>
                      <w:color w:val="auto"/>
                      <w:sz w:val="21"/>
                      <w:szCs w:val="21"/>
                      <w:lang w:val="en-US"/>
                    </w:rPr>
                    <w:t>生产时间</w:t>
                  </w:r>
                  <w:r>
                    <w:rPr>
                      <w:rFonts w:hint="eastAsia"/>
                      <w:color w:val="auto"/>
                      <w:sz w:val="21"/>
                      <w:szCs w:val="21"/>
                      <w:lang w:val="en-US" w:eastAsia="zh-CN"/>
                    </w:rPr>
                    <w:t>h</w:t>
                  </w:r>
                </w:p>
              </w:tc>
              <w:tc>
                <w:tcPr>
                  <w:tcW w:w="716" w:type="pct"/>
                  <w:vAlign w:val="center"/>
                </w:tcPr>
                <w:p w14:paraId="2319E6C0">
                  <w:pPr>
                    <w:pStyle w:val="66"/>
                    <w:widowControl/>
                    <w:spacing w:before="0" w:after="0" w:line="360" w:lineRule="exact"/>
                    <w:ind w:firstLine="0" w:firstLineChars="0"/>
                    <w:jc w:val="center"/>
                    <w:rPr>
                      <w:color w:val="auto"/>
                      <w:sz w:val="21"/>
                      <w:szCs w:val="21"/>
                      <w:lang w:val="en-US"/>
                    </w:rPr>
                  </w:pPr>
                  <w:r>
                    <w:rPr>
                      <w:rFonts w:hint="eastAsia"/>
                      <w:color w:val="auto"/>
                      <w:sz w:val="21"/>
                      <w:szCs w:val="21"/>
                      <w:lang w:val="en-US"/>
                    </w:rPr>
                    <w:t>喷涂速度g/min</w:t>
                  </w:r>
                </w:p>
              </w:tc>
              <w:tc>
                <w:tcPr>
                  <w:tcW w:w="713" w:type="pct"/>
                  <w:vAlign w:val="center"/>
                </w:tcPr>
                <w:p w14:paraId="14120D9F">
                  <w:pPr>
                    <w:pStyle w:val="66"/>
                    <w:widowControl/>
                    <w:spacing w:before="0" w:after="0" w:line="360" w:lineRule="exact"/>
                    <w:ind w:firstLine="0" w:firstLineChars="0"/>
                    <w:jc w:val="center"/>
                    <w:rPr>
                      <w:rFonts w:hint="default" w:eastAsia="宋体"/>
                      <w:color w:val="auto"/>
                      <w:sz w:val="21"/>
                      <w:szCs w:val="21"/>
                      <w:lang w:val="en-US" w:eastAsia="zh-CN"/>
                    </w:rPr>
                  </w:pPr>
                  <w:r>
                    <w:rPr>
                      <w:rFonts w:hint="eastAsia"/>
                      <w:color w:val="auto"/>
                      <w:sz w:val="21"/>
                      <w:szCs w:val="21"/>
                      <w:lang w:val="en-US"/>
                    </w:rPr>
                    <w:t>最大喷涂量</w:t>
                  </w:r>
                  <w:r>
                    <w:rPr>
                      <w:rFonts w:hint="eastAsia"/>
                      <w:color w:val="auto"/>
                      <w:sz w:val="21"/>
                      <w:szCs w:val="21"/>
                      <w:lang w:val="en-US" w:eastAsia="zh-CN"/>
                    </w:rPr>
                    <w:t>t/a</w:t>
                  </w:r>
                </w:p>
              </w:tc>
              <w:tc>
                <w:tcPr>
                  <w:tcW w:w="713" w:type="pct"/>
                  <w:vAlign w:val="center"/>
                </w:tcPr>
                <w:p w14:paraId="09D9431C">
                  <w:pPr>
                    <w:pStyle w:val="66"/>
                    <w:widowControl/>
                    <w:spacing w:before="0" w:after="0" w:line="360" w:lineRule="exact"/>
                    <w:ind w:firstLine="0" w:firstLineChars="0"/>
                    <w:jc w:val="center"/>
                    <w:rPr>
                      <w:rFonts w:hint="default"/>
                      <w:color w:val="auto"/>
                      <w:sz w:val="21"/>
                      <w:szCs w:val="21"/>
                      <w:lang w:val="en-US" w:eastAsia="zh-CN"/>
                    </w:rPr>
                  </w:pPr>
                  <w:r>
                    <w:rPr>
                      <w:rFonts w:hint="eastAsia"/>
                      <w:color w:val="auto"/>
                      <w:sz w:val="21"/>
                      <w:szCs w:val="21"/>
                      <w:lang w:val="en-US" w:eastAsia="zh-CN"/>
                    </w:rPr>
                    <w:t>申报量t/a</w:t>
                  </w:r>
                </w:p>
              </w:tc>
              <w:tc>
                <w:tcPr>
                  <w:tcW w:w="713" w:type="pct"/>
                  <w:vAlign w:val="center"/>
                </w:tcPr>
                <w:p w14:paraId="6A6D0F62">
                  <w:pPr>
                    <w:pStyle w:val="66"/>
                    <w:widowControl/>
                    <w:spacing w:before="0" w:after="0" w:line="360" w:lineRule="exact"/>
                    <w:ind w:firstLine="0" w:firstLineChars="0"/>
                    <w:jc w:val="center"/>
                    <w:rPr>
                      <w:rFonts w:hint="default"/>
                      <w:color w:val="auto"/>
                      <w:sz w:val="21"/>
                      <w:szCs w:val="21"/>
                      <w:lang w:val="en-US" w:eastAsia="zh-CN"/>
                    </w:rPr>
                  </w:pPr>
                  <w:r>
                    <w:rPr>
                      <w:rFonts w:hint="eastAsia"/>
                      <w:color w:val="auto"/>
                      <w:sz w:val="21"/>
                      <w:szCs w:val="21"/>
                      <w:lang w:val="en-US" w:eastAsia="zh-CN"/>
                    </w:rPr>
                    <w:t>负荷</w:t>
                  </w:r>
                </w:p>
              </w:tc>
            </w:tr>
            <w:tr w14:paraId="20B98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550" w:type="pct"/>
                  <w:vAlign w:val="center"/>
                </w:tcPr>
                <w:p w14:paraId="44B9E5D9">
                  <w:pPr>
                    <w:pStyle w:val="66"/>
                    <w:widowControl/>
                    <w:spacing w:before="0" w:after="0" w:line="360" w:lineRule="exact"/>
                    <w:ind w:firstLine="0" w:firstLineChars="0"/>
                    <w:jc w:val="center"/>
                    <w:rPr>
                      <w:color w:val="auto"/>
                      <w:sz w:val="21"/>
                      <w:szCs w:val="21"/>
                      <w:lang w:val="en-US"/>
                    </w:rPr>
                  </w:pPr>
                  <w:r>
                    <w:rPr>
                      <w:rFonts w:hint="eastAsia"/>
                      <w:bCs/>
                      <w:color w:val="auto"/>
                      <w:sz w:val="21"/>
                    </w:rPr>
                    <w:t>自动线</w:t>
                  </w:r>
                </w:p>
              </w:tc>
              <w:tc>
                <w:tcPr>
                  <w:tcW w:w="877" w:type="pct"/>
                  <w:vAlign w:val="center"/>
                </w:tcPr>
                <w:p w14:paraId="41AFBACA">
                  <w:pPr>
                    <w:pStyle w:val="66"/>
                    <w:widowControl/>
                    <w:spacing w:before="0" w:after="0" w:line="360"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3</w:t>
                  </w:r>
                </w:p>
              </w:tc>
              <w:tc>
                <w:tcPr>
                  <w:tcW w:w="714" w:type="pct"/>
                  <w:vAlign w:val="center"/>
                </w:tcPr>
                <w:p w14:paraId="45F7E003">
                  <w:pPr>
                    <w:pStyle w:val="66"/>
                    <w:widowControl/>
                    <w:spacing w:before="0" w:after="0" w:line="360" w:lineRule="exact"/>
                    <w:ind w:firstLine="0" w:firstLineChars="0"/>
                    <w:jc w:val="center"/>
                    <w:rPr>
                      <w:color w:val="auto"/>
                      <w:sz w:val="21"/>
                      <w:szCs w:val="21"/>
                      <w:highlight w:val="none"/>
                      <w:lang w:val="en-US"/>
                    </w:rPr>
                  </w:pPr>
                  <w:r>
                    <w:rPr>
                      <w:rFonts w:hint="eastAsia"/>
                      <w:color w:val="auto"/>
                      <w:sz w:val="21"/>
                      <w:szCs w:val="21"/>
                      <w:highlight w:val="none"/>
                      <w:lang w:val="en-US" w:eastAsia="zh-CN"/>
                    </w:rPr>
                    <w:t>24</w:t>
                  </w:r>
                  <w:r>
                    <w:rPr>
                      <w:color w:val="auto"/>
                      <w:sz w:val="21"/>
                      <w:szCs w:val="21"/>
                      <w:highlight w:val="none"/>
                      <w:lang w:val="en-US"/>
                    </w:rPr>
                    <w:t>00</w:t>
                  </w:r>
                </w:p>
              </w:tc>
              <w:tc>
                <w:tcPr>
                  <w:tcW w:w="716" w:type="pct"/>
                  <w:vAlign w:val="center"/>
                </w:tcPr>
                <w:p w14:paraId="7D70DC1B">
                  <w:pPr>
                    <w:pStyle w:val="66"/>
                    <w:widowControl/>
                    <w:spacing w:before="0" w:after="0" w:line="36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35</w:t>
                  </w:r>
                </w:p>
              </w:tc>
              <w:tc>
                <w:tcPr>
                  <w:tcW w:w="1170" w:type="dxa"/>
                  <w:vAlign w:val="center"/>
                </w:tcPr>
                <w:p w14:paraId="1BF33E12">
                  <w:pPr>
                    <w:keepNext w:val="0"/>
                    <w:keepLines w:val="0"/>
                    <w:widowControl/>
                    <w:suppressLineNumbers w:val="0"/>
                    <w:jc w:val="center"/>
                    <w:textAlignment w:val="top"/>
                    <w:rPr>
                      <w:rFonts w:hint="default" w:eastAsia="宋体"/>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15.12</w:t>
                  </w:r>
                </w:p>
              </w:tc>
              <w:tc>
                <w:tcPr>
                  <w:tcW w:w="713" w:type="pct"/>
                  <w:vAlign w:val="center"/>
                </w:tcPr>
                <w:p w14:paraId="7FD34CF7">
                  <w:pPr>
                    <w:keepNext w:val="0"/>
                    <w:keepLines w:val="0"/>
                    <w:widowControl/>
                    <w:suppressLineNumbers w:val="0"/>
                    <w:jc w:val="center"/>
                    <w:textAlignment w:val="top"/>
                    <w:rPr>
                      <w:rFonts w:hint="default"/>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3</w:t>
                  </w:r>
                </w:p>
              </w:tc>
              <w:tc>
                <w:tcPr>
                  <w:tcW w:w="1170" w:type="dxa"/>
                  <w:vAlign w:val="center"/>
                </w:tcPr>
                <w:p w14:paraId="1D1322DA">
                  <w:pPr>
                    <w:keepNext w:val="0"/>
                    <w:keepLines w:val="0"/>
                    <w:widowControl/>
                    <w:suppressLineNumbers w:val="0"/>
                    <w:jc w:val="center"/>
                    <w:textAlignment w:val="center"/>
                    <w:rPr>
                      <w:rFonts w:hint="default"/>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94.58%</w:t>
                  </w:r>
                </w:p>
              </w:tc>
            </w:tr>
            <w:tr w14:paraId="6CEFF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550" w:type="pct"/>
                  <w:vAlign w:val="center"/>
                </w:tcPr>
                <w:p w14:paraId="48861391">
                  <w:pPr>
                    <w:pStyle w:val="66"/>
                    <w:widowControl/>
                    <w:spacing w:before="0" w:after="0" w:line="360" w:lineRule="exact"/>
                    <w:ind w:firstLine="0" w:firstLineChars="0"/>
                    <w:jc w:val="center"/>
                    <w:rPr>
                      <w:color w:val="auto"/>
                      <w:sz w:val="21"/>
                      <w:szCs w:val="21"/>
                      <w:lang w:val="en-US"/>
                    </w:rPr>
                  </w:pPr>
                  <w:r>
                    <w:rPr>
                      <w:rFonts w:hint="eastAsia"/>
                      <w:color w:val="auto"/>
                      <w:kern w:val="0"/>
                      <w:sz w:val="21"/>
                      <w:szCs w:val="21"/>
                      <w:lang w:bidi="ar"/>
                    </w:rPr>
                    <w:t>手动线</w:t>
                  </w:r>
                </w:p>
              </w:tc>
              <w:tc>
                <w:tcPr>
                  <w:tcW w:w="877" w:type="pct"/>
                  <w:vAlign w:val="center"/>
                </w:tcPr>
                <w:p w14:paraId="2161FF2D">
                  <w:pPr>
                    <w:pStyle w:val="66"/>
                    <w:widowControl/>
                    <w:spacing w:before="0" w:after="0" w:line="360" w:lineRule="exact"/>
                    <w:ind w:firstLine="0" w:firstLineChars="0"/>
                    <w:jc w:val="center"/>
                    <w:rPr>
                      <w:rFonts w:hint="eastAsia" w:eastAsia="宋体"/>
                      <w:color w:val="auto"/>
                      <w:sz w:val="21"/>
                      <w:szCs w:val="21"/>
                      <w:lang w:val="en-US" w:eastAsia="zh-CN"/>
                    </w:rPr>
                  </w:pPr>
                  <w:r>
                    <w:rPr>
                      <w:rFonts w:hint="eastAsia"/>
                      <w:color w:val="auto"/>
                      <w:sz w:val="21"/>
                      <w:szCs w:val="21"/>
                      <w:lang w:val="en-US" w:eastAsia="zh-CN"/>
                    </w:rPr>
                    <w:t>4</w:t>
                  </w:r>
                </w:p>
              </w:tc>
              <w:tc>
                <w:tcPr>
                  <w:tcW w:w="714" w:type="pct"/>
                  <w:vAlign w:val="center"/>
                </w:tcPr>
                <w:p w14:paraId="28832E10">
                  <w:pPr>
                    <w:pStyle w:val="66"/>
                    <w:widowControl/>
                    <w:spacing w:before="0" w:after="0" w:line="360" w:lineRule="exact"/>
                    <w:ind w:firstLine="0" w:firstLineChars="0"/>
                    <w:jc w:val="center"/>
                    <w:rPr>
                      <w:rFonts w:hint="default"/>
                      <w:color w:val="auto"/>
                      <w:sz w:val="21"/>
                      <w:szCs w:val="21"/>
                      <w:highlight w:val="none"/>
                      <w:lang w:val="en-US"/>
                    </w:rPr>
                  </w:pPr>
                  <w:r>
                    <w:rPr>
                      <w:rFonts w:hint="eastAsia"/>
                      <w:color w:val="auto"/>
                      <w:sz w:val="21"/>
                      <w:szCs w:val="21"/>
                      <w:highlight w:val="none"/>
                      <w:lang w:val="en-US" w:eastAsia="zh-CN"/>
                    </w:rPr>
                    <w:t>300</w:t>
                  </w:r>
                </w:p>
              </w:tc>
              <w:tc>
                <w:tcPr>
                  <w:tcW w:w="716" w:type="pct"/>
                  <w:vAlign w:val="center"/>
                </w:tcPr>
                <w:p w14:paraId="150A5319">
                  <w:pPr>
                    <w:pStyle w:val="66"/>
                    <w:widowControl/>
                    <w:spacing w:before="0" w:after="0" w:line="360" w:lineRule="exact"/>
                    <w:ind w:firstLine="0" w:firstLineChars="0"/>
                    <w:jc w:val="center"/>
                    <w:rPr>
                      <w:rFonts w:hint="default" w:eastAsia="宋体"/>
                      <w:color w:val="auto"/>
                      <w:sz w:val="21"/>
                      <w:szCs w:val="21"/>
                      <w:lang w:val="en-US" w:eastAsia="zh-CN"/>
                    </w:rPr>
                  </w:pPr>
                  <w:r>
                    <w:rPr>
                      <w:rFonts w:hint="eastAsia"/>
                      <w:color w:val="auto"/>
                      <w:sz w:val="21"/>
                      <w:szCs w:val="21"/>
                      <w:lang w:val="en-US" w:eastAsia="zh-CN"/>
                    </w:rPr>
                    <w:t>25</w:t>
                  </w:r>
                </w:p>
              </w:tc>
              <w:tc>
                <w:tcPr>
                  <w:tcW w:w="1170" w:type="dxa"/>
                  <w:vAlign w:val="center"/>
                </w:tcPr>
                <w:p w14:paraId="07CA0092">
                  <w:pPr>
                    <w:keepNext w:val="0"/>
                    <w:keepLines w:val="0"/>
                    <w:widowControl/>
                    <w:suppressLineNumbers w:val="0"/>
                    <w:jc w:val="center"/>
                    <w:textAlignment w:val="top"/>
                    <w:rPr>
                      <w:rFonts w:hint="default" w:eastAsia="宋体"/>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8</w:t>
                  </w:r>
                </w:p>
              </w:tc>
              <w:tc>
                <w:tcPr>
                  <w:tcW w:w="713" w:type="pct"/>
                  <w:vAlign w:val="center"/>
                </w:tcPr>
                <w:p w14:paraId="35DC148A">
                  <w:pPr>
                    <w:keepNext w:val="0"/>
                    <w:keepLines w:val="0"/>
                    <w:widowControl/>
                    <w:suppressLineNumbers w:val="0"/>
                    <w:jc w:val="center"/>
                    <w:textAlignment w:val="top"/>
                    <w:rPr>
                      <w:rFonts w:hint="default"/>
                      <w:color w:val="auto"/>
                      <w:sz w:val="21"/>
                      <w:szCs w:val="21"/>
                      <w:lang w:val="en-US" w:eastAsia="zh-CN"/>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7</w:t>
                  </w:r>
                </w:p>
              </w:tc>
              <w:tc>
                <w:tcPr>
                  <w:tcW w:w="1170" w:type="dxa"/>
                  <w:vAlign w:val="center"/>
                </w:tcPr>
                <w:p w14:paraId="5B849082">
                  <w:pPr>
                    <w:keepNext w:val="0"/>
                    <w:keepLines w:val="0"/>
                    <w:widowControl/>
                    <w:suppressLineNumbers w:val="0"/>
                    <w:jc w:val="center"/>
                    <w:textAlignment w:val="center"/>
                    <w:rPr>
                      <w:rFonts w:hint="default"/>
                      <w:color w:val="auto"/>
                      <w:sz w:val="21"/>
                      <w:szCs w:val="21"/>
                      <w:lang w:val="en-US" w:eastAsia="zh-CN"/>
                    </w:rPr>
                  </w:pPr>
                  <w:r>
                    <w:rPr>
                      <w:rFonts w:hint="eastAsia" w:cs="Times New Roman"/>
                      <w:i w:val="0"/>
                      <w:iCs w:val="0"/>
                      <w:color w:val="auto"/>
                      <w:kern w:val="0"/>
                      <w:sz w:val="21"/>
                      <w:szCs w:val="21"/>
                      <w:u w:val="none"/>
                      <w:lang w:val="en-US" w:eastAsia="zh-CN" w:bidi="ar"/>
                    </w:rPr>
                    <w:t>94</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44</w:t>
                  </w:r>
                  <w:r>
                    <w:rPr>
                      <w:rFonts w:hint="default" w:ascii="Times New Roman" w:hAnsi="Times New Roman" w:eastAsia="宋体" w:cs="Times New Roman"/>
                      <w:i w:val="0"/>
                      <w:iCs w:val="0"/>
                      <w:color w:val="auto"/>
                      <w:kern w:val="0"/>
                      <w:sz w:val="21"/>
                      <w:szCs w:val="21"/>
                      <w:u w:val="none"/>
                      <w:lang w:val="en-US" w:eastAsia="zh-CN" w:bidi="ar"/>
                    </w:rPr>
                    <w:t>%</w:t>
                  </w:r>
                </w:p>
              </w:tc>
            </w:tr>
            <w:tr w14:paraId="75B9B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2858" w:type="pct"/>
                  <w:gridSpan w:val="4"/>
                  <w:vAlign w:val="center"/>
                </w:tcPr>
                <w:p w14:paraId="33C2130A">
                  <w:pPr>
                    <w:pStyle w:val="66"/>
                    <w:widowControl/>
                    <w:spacing w:before="0" w:after="0" w:line="360" w:lineRule="exact"/>
                    <w:ind w:firstLine="420"/>
                    <w:jc w:val="center"/>
                    <w:rPr>
                      <w:rFonts w:hint="eastAsia"/>
                      <w:color w:val="auto"/>
                      <w:sz w:val="21"/>
                      <w:szCs w:val="21"/>
                      <w:lang w:val="en-US"/>
                    </w:rPr>
                  </w:pPr>
                  <w:r>
                    <w:rPr>
                      <w:rFonts w:hint="eastAsia"/>
                      <w:color w:val="auto"/>
                      <w:sz w:val="21"/>
                      <w:szCs w:val="21"/>
                      <w:lang w:val="en-US"/>
                    </w:rPr>
                    <w:t>合计</w:t>
                  </w:r>
                </w:p>
              </w:tc>
              <w:tc>
                <w:tcPr>
                  <w:tcW w:w="713" w:type="pct"/>
                  <w:vAlign w:val="center"/>
                </w:tcPr>
                <w:p w14:paraId="3263B228">
                  <w:pPr>
                    <w:keepNext w:val="0"/>
                    <w:keepLines w:val="0"/>
                    <w:widowControl/>
                    <w:suppressLineNumbers w:val="0"/>
                    <w:jc w:val="center"/>
                    <w:textAlignment w:val="top"/>
                    <w:rPr>
                      <w:rFonts w:hint="default" w:eastAsia="宋体"/>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6</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92</w:t>
                  </w:r>
                </w:p>
              </w:tc>
              <w:tc>
                <w:tcPr>
                  <w:tcW w:w="713" w:type="pct"/>
                  <w:vAlign w:val="center"/>
                </w:tcPr>
                <w:p w14:paraId="57649FD4">
                  <w:pPr>
                    <w:keepNext w:val="0"/>
                    <w:keepLines w:val="0"/>
                    <w:widowControl/>
                    <w:suppressLineNumbers w:val="0"/>
                    <w:jc w:val="center"/>
                    <w:textAlignment w:val="top"/>
                    <w:rPr>
                      <w:rFonts w:hint="default" w:eastAsia="宋体"/>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170" w:type="dxa"/>
                  <w:vAlign w:val="center"/>
                </w:tcPr>
                <w:p w14:paraId="38DFDEED">
                  <w:pPr>
                    <w:keepNext w:val="0"/>
                    <w:keepLines w:val="0"/>
                    <w:widowControl/>
                    <w:suppressLineNumbers w:val="0"/>
                    <w:jc w:val="center"/>
                    <w:textAlignment w:val="center"/>
                    <w:rPr>
                      <w:rFonts w:hint="default" w:eastAsia="宋体"/>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9</w:t>
                  </w:r>
                  <w:r>
                    <w:rPr>
                      <w:rFonts w:hint="eastAsia" w:cs="Times New Roman"/>
                      <w:i w:val="0"/>
                      <w:iCs w:val="0"/>
                      <w:color w:val="auto"/>
                      <w:kern w:val="0"/>
                      <w:sz w:val="21"/>
                      <w:szCs w:val="21"/>
                      <w:u w:val="none"/>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56</w:t>
                  </w:r>
                  <w:r>
                    <w:rPr>
                      <w:rFonts w:hint="default" w:ascii="Times New Roman" w:hAnsi="Times New Roman" w:eastAsia="宋体" w:cs="Times New Roman"/>
                      <w:i w:val="0"/>
                      <w:iCs w:val="0"/>
                      <w:color w:val="auto"/>
                      <w:kern w:val="0"/>
                      <w:sz w:val="21"/>
                      <w:szCs w:val="21"/>
                      <w:u w:val="none"/>
                      <w:lang w:val="en-US" w:eastAsia="zh-CN" w:bidi="ar"/>
                    </w:rPr>
                    <w:t>%</w:t>
                  </w:r>
                </w:p>
              </w:tc>
            </w:tr>
          </w:tbl>
          <w:p w14:paraId="7008DA8D">
            <w:pPr>
              <w:pStyle w:val="66"/>
              <w:widowControl/>
              <w:spacing w:before="0" w:after="0" w:line="360" w:lineRule="auto"/>
              <w:ind w:firstLine="0" w:firstLineChars="0"/>
              <w:jc w:val="both"/>
              <w:rPr>
                <w:rFonts w:hint="eastAsia"/>
                <w:color w:val="auto"/>
                <w:sz w:val="21"/>
                <w:szCs w:val="21"/>
                <w:lang w:val="en-US"/>
              </w:rPr>
            </w:pPr>
            <w:r>
              <w:rPr>
                <w:color w:val="auto"/>
                <w:sz w:val="21"/>
                <w:szCs w:val="21"/>
                <w:lang w:val="en-US"/>
              </w:rPr>
              <w:t>注</w:t>
            </w:r>
            <w:r>
              <w:rPr>
                <w:rFonts w:hint="eastAsia"/>
                <w:color w:val="auto"/>
                <w:sz w:val="21"/>
                <w:szCs w:val="21"/>
                <w:lang w:val="en-US"/>
              </w:rPr>
              <w:t>：</w:t>
            </w:r>
            <w:r>
              <w:rPr>
                <w:rFonts w:hint="default" w:ascii="Times New Roman" w:hAnsi="Times New Roman" w:cs="Times New Roman"/>
                <w:color w:val="auto"/>
                <w:sz w:val="21"/>
                <w:szCs w:val="21"/>
                <w:lang w:val="en-US"/>
              </w:rPr>
              <w:t>①</w:t>
            </w:r>
            <w:r>
              <w:rPr>
                <w:rFonts w:hint="eastAsia"/>
                <w:strike w:val="0"/>
                <w:dstrike w:val="0"/>
                <w:color w:val="auto"/>
                <w:sz w:val="21"/>
                <w:szCs w:val="21"/>
                <w:lang w:val="en-US"/>
              </w:rPr>
              <w:t>本项目手动线喷粉柜</w:t>
            </w:r>
            <w:r>
              <w:rPr>
                <w:rFonts w:hint="eastAsia"/>
                <w:strike w:val="0"/>
                <w:dstrike w:val="0"/>
                <w:color w:val="auto"/>
                <w:sz w:val="21"/>
                <w:szCs w:val="21"/>
                <w:lang w:val="en-US" w:eastAsia="zh-CN"/>
              </w:rPr>
              <w:t>4个，每个喷粉柜内含配套喷枪1把，手动线</w:t>
            </w:r>
            <w:r>
              <w:rPr>
                <w:rFonts w:hint="eastAsia"/>
                <w:strike w:val="0"/>
                <w:dstrike w:val="0"/>
                <w:color w:val="auto"/>
                <w:sz w:val="21"/>
                <w:szCs w:val="21"/>
                <w:lang w:val="en-US"/>
              </w:rPr>
              <w:t>喷枪</w:t>
            </w:r>
            <w:r>
              <w:rPr>
                <w:rFonts w:hint="eastAsia"/>
                <w:strike w:val="0"/>
                <w:dstrike w:val="0"/>
                <w:color w:val="auto"/>
                <w:sz w:val="21"/>
                <w:szCs w:val="21"/>
                <w:lang w:val="en-US" w:eastAsia="zh-CN"/>
              </w:rPr>
              <w:t>共4把。</w:t>
            </w:r>
            <w:r>
              <w:rPr>
                <w:rFonts w:hint="eastAsia"/>
                <w:strike w:val="0"/>
                <w:dstrike w:val="0"/>
                <w:color w:val="auto"/>
                <w:sz w:val="21"/>
                <w:szCs w:val="21"/>
                <w:lang w:val="en-US"/>
              </w:rPr>
              <w:t>自动线喷粉房</w:t>
            </w:r>
            <w:r>
              <w:rPr>
                <w:rFonts w:hint="eastAsia"/>
                <w:strike w:val="0"/>
                <w:dstrike w:val="0"/>
                <w:color w:val="auto"/>
                <w:sz w:val="21"/>
                <w:szCs w:val="21"/>
                <w:lang w:val="en-US" w:eastAsia="zh-CN"/>
              </w:rPr>
              <w:t>3间，每间喷粉房内含喷枪1把，自动线</w:t>
            </w:r>
            <w:r>
              <w:rPr>
                <w:rFonts w:hint="eastAsia"/>
                <w:strike w:val="0"/>
                <w:dstrike w:val="0"/>
                <w:color w:val="auto"/>
                <w:sz w:val="21"/>
                <w:szCs w:val="21"/>
                <w:lang w:val="en-US"/>
              </w:rPr>
              <w:t>喷枪</w:t>
            </w:r>
            <w:r>
              <w:rPr>
                <w:rFonts w:hint="eastAsia"/>
                <w:strike w:val="0"/>
                <w:dstrike w:val="0"/>
                <w:color w:val="auto"/>
                <w:sz w:val="21"/>
                <w:szCs w:val="21"/>
                <w:lang w:val="en-US" w:eastAsia="zh-CN"/>
              </w:rPr>
              <w:t>共3把。</w:t>
            </w:r>
          </w:p>
          <w:p w14:paraId="0DDD2C94">
            <w:pPr>
              <w:pStyle w:val="66"/>
              <w:widowControl/>
              <w:spacing w:before="0" w:after="0" w:line="360" w:lineRule="auto"/>
              <w:ind w:firstLine="0" w:firstLineChars="0"/>
              <w:jc w:val="both"/>
              <w:rPr>
                <w:color w:val="auto"/>
                <w:sz w:val="21"/>
                <w:szCs w:val="21"/>
                <w:lang w:val="en-US"/>
              </w:rPr>
            </w:pPr>
            <w:r>
              <w:rPr>
                <w:rFonts w:hint="default" w:ascii="Times New Roman" w:hAnsi="Times New Roman" w:cs="Times New Roman"/>
                <w:color w:val="auto"/>
                <w:sz w:val="21"/>
                <w:szCs w:val="21"/>
                <w:lang w:val="en-US"/>
              </w:rPr>
              <w:t>②</w:t>
            </w:r>
            <w:r>
              <w:rPr>
                <w:rFonts w:hint="eastAsia" w:ascii="Times New Roman" w:hAnsi="Times New Roman" w:cs="Times New Roman"/>
                <w:color w:val="auto"/>
                <w:sz w:val="21"/>
                <w:szCs w:val="21"/>
                <w:lang w:val="en-US" w:eastAsia="zh-CN"/>
              </w:rPr>
              <w:t>由上</w:t>
            </w:r>
            <w:r>
              <w:rPr>
                <w:rFonts w:hint="eastAsia" w:cs="Times New Roman"/>
                <w:color w:val="auto"/>
                <w:sz w:val="21"/>
                <w:szCs w:val="21"/>
                <w:lang w:val="en-US" w:eastAsia="zh-CN"/>
              </w:rPr>
              <w:t>表可</w:t>
            </w:r>
            <w:r>
              <w:rPr>
                <w:rFonts w:hint="eastAsia" w:ascii="Times New Roman" w:hAnsi="Times New Roman" w:cs="Times New Roman"/>
                <w:color w:val="auto"/>
                <w:sz w:val="21"/>
                <w:szCs w:val="21"/>
                <w:lang w:val="en-US" w:eastAsia="zh-CN"/>
              </w:rPr>
              <w:t>知，喷枪的理论喷粉量为1</w:t>
            </w:r>
            <w:r>
              <w:rPr>
                <w:rFonts w:hint="eastAsia" w:cs="Times New Roman"/>
                <w:color w:val="auto"/>
                <w:sz w:val="21"/>
                <w:szCs w:val="21"/>
                <w:lang w:val="en-US" w:eastAsia="zh-CN"/>
              </w:rPr>
              <w:t>6</w:t>
            </w:r>
            <w:r>
              <w:rPr>
                <w:rFonts w:hint="eastAsia" w:ascii="Times New Roman" w:hAnsi="Times New Roman" w:cs="Times New Roman"/>
                <w:color w:val="auto"/>
                <w:sz w:val="21"/>
                <w:szCs w:val="21"/>
                <w:lang w:val="en-US" w:eastAsia="zh-CN"/>
              </w:rPr>
              <w:t>.</w:t>
            </w:r>
            <w:r>
              <w:rPr>
                <w:rFonts w:hint="eastAsia" w:cs="Times New Roman"/>
                <w:color w:val="auto"/>
                <w:sz w:val="21"/>
                <w:szCs w:val="21"/>
                <w:lang w:val="en-US" w:eastAsia="zh-CN"/>
              </w:rPr>
              <w:t>92</w:t>
            </w:r>
            <w:r>
              <w:rPr>
                <w:rFonts w:hint="eastAsia" w:ascii="Times New Roman" w:hAnsi="Times New Roman" w:cs="Times New Roman"/>
                <w:color w:val="auto"/>
                <w:sz w:val="21"/>
                <w:szCs w:val="21"/>
                <w:lang w:val="en-US" w:eastAsia="zh-CN"/>
              </w:rPr>
              <w:t>t/a，环氧聚酯粉末计划用量16t/a</w:t>
            </w:r>
            <w:r>
              <w:rPr>
                <w:rFonts w:hint="eastAsia"/>
                <w:color w:val="auto"/>
                <w:sz w:val="21"/>
                <w:szCs w:val="21"/>
                <w:lang w:val="en-US"/>
              </w:rPr>
              <w:t>（</w:t>
            </w:r>
            <w:r>
              <w:rPr>
                <w:rFonts w:hint="eastAsia"/>
                <w:strike w:val="0"/>
                <w:dstrike w:val="0"/>
                <w:color w:val="auto"/>
                <w:sz w:val="21"/>
                <w:szCs w:val="21"/>
                <w:lang w:val="en-US"/>
              </w:rPr>
              <w:t>其中手动喷粉</w:t>
            </w:r>
            <w:r>
              <w:rPr>
                <w:rFonts w:hint="eastAsia"/>
                <w:strike w:val="0"/>
                <w:dstrike w:val="0"/>
                <w:color w:val="auto"/>
                <w:sz w:val="21"/>
                <w:szCs w:val="21"/>
                <w:lang w:val="en-US" w:eastAsia="zh-CN"/>
              </w:rPr>
              <w:t>1.7</w:t>
            </w:r>
            <w:r>
              <w:rPr>
                <w:rFonts w:hint="eastAsia"/>
                <w:strike w:val="0"/>
                <w:dstrike w:val="0"/>
                <w:color w:val="auto"/>
                <w:sz w:val="21"/>
                <w:szCs w:val="21"/>
                <w:lang w:val="en-US"/>
              </w:rPr>
              <w:t>t/a，自动喷粉</w:t>
            </w:r>
            <w:r>
              <w:rPr>
                <w:rFonts w:hint="eastAsia"/>
                <w:strike w:val="0"/>
                <w:dstrike w:val="0"/>
                <w:color w:val="auto"/>
                <w:sz w:val="21"/>
                <w:szCs w:val="21"/>
                <w:lang w:val="en-US" w:eastAsia="zh-CN"/>
              </w:rPr>
              <w:t>14.3</w:t>
            </w:r>
            <w:r>
              <w:rPr>
                <w:rFonts w:hint="eastAsia"/>
                <w:strike w:val="0"/>
                <w:dstrike w:val="0"/>
                <w:color w:val="auto"/>
                <w:sz w:val="21"/>
                <w:szCs w:val="21"/>
                <w:lang w:val="en-US"/>
              </w:rPr>
              <w:t>t/a</w:t>
            </w:r>
            <w:r>
              <w:rPr>
                <w:rFonts w:hint="eastAsia"/>
                <w:color w:val="auto"/>
                <w:sz w:val="21"/>
                <w:szCs w:val="21"/>
                <w:lang w:val="en-US"/>
              </w:rPr>
              <w:t>）</w:t>
            </w:r>
            <w:r>
              <w:rPr>
                <w:rFonts w:hint="eastAsia" w:ascii="Times New Roman" w:hAnsi="Times New Roman" w:cs="Times New Roman"/>
                <w:color w:val="auto"/>
                <w:sz w:val="21"/>
                <w:szCs w:val="21"/>
                <w:lang w:val="en-US" w:eastAsia="zh-CN"/>
              </w:rPr>
              <w:t>，占理论喷粉量的9</w:t>
            </w:r>
            <w:r>
              <w:rPr>
                <w:rFonts w:hint="eastAsia" w:cs="Times New Roman"/>
                <w:color w:val="auto"/>
                <w:sz w:val="21"/>
                <w:szCs w:val="21"/>
                <w:lang w:val="en-US" w:eastAsia="zh-CN"/>
              </w:rPr>
              <w:t>4</w:t>
            </w:r>
            <w:r>
              <w:rPr>
                <w:rFonts w:hint="eastAsia" w:ascii="Times New Roman" w:hAnsi="Times New Roman" w:cs="Times New Roman"/>
                <w:color w:val="auto"/>
                <w:sz w:val="21"/>
                <w:szCs w:val="21"/>
                <w:lang w:val="en-US" w:eastAsia="zh-CN"/>
              </w:rPr>
              <w:t>.</w:t>
            </w:r>
            <w:r>
              <w:rPr>
                <w:rFonts w:hint="eastAsia" w:cs="Times New Roman"/>
                <w:color w:val="auto"/>
                <w:sz w:val="21"/>
                <w:szCs w:val="21"/>
                <w:lang w:val="en-US" w:eastAsia="zh-CN"/>
              </w:rPr>
              <w:t>56</w:t>
            </w:r>
            <w:r>
              <w:rPr>
                <w:rFonts w:hint="eastAsia"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lang w:val="en-US" w:eastAsia="zh-CN"/>
              </w:rPr>
              <w:t>故</w:t>
            </w:r>
            <w:r>
              <w:rPr>
                <w:rFonts w:hint="eastAsia"/>
                <w:color w:val="auto"/>
                <w:sz w:val="21"/>
                <w:szCs w:val="21"/>
                <w:lang w:val="en-US"/>
              </w:rPr>
              <w:t>项目喷粉产能设置情况与喷粉设备设置情况相匹配。</w:t>
            </w:r>
          </w:p>
          <w:p w14:paraId="6F55DC10">
            <w:pPr>
              <w:pStyle w:val="95"/>
              <w:numPr>
                <w:ilvl w:val="0"/>
                <w:numId w:val="6"/>
              </w:numPr>
              <w:spacing w:line="360" w:lineRule="auto"/>
              <w:ind w:firstLine="422"/>
              <w:rPr>
                <w:b/>
                <w:color w:val="auto"/>
                <w:sz w:val="21"/>
                <w:szCs w:val="21"/>
              </w:rPr>
            </w:pPr>
            <w:r>
              <w:rPr>
                <w:b/>
                <w:color w:val="auto"/>
                <w:sz w:val="21"/>
                <w:szCs w:val="21"/>
              </w:rPr>
              <w:t>人员及生产制度</w:t>
            </w:r>
          </w:p>
          <w:p w14:paraId="0B001397">
            <w:pPr>
              <w:pStyle w:val="15"/>
              <w:spacing w:line="360" w:lineRule="auto"/>
              <w:rPr>
                <w:rFonts w:hint="default" w:eastAsia="宋体"/>
                <w:color w:val="auto"/>
                <w:lang w:val="en-US" w:eastAsia="zh-CN"/>
              </w:rPr>
            </w:pPr>
            <w:r>
              <w:rPr>
                <w:rFonts w:hint="eastAsia"/>
                <w:b/>
                <w:color w:val="auto"/>
                <w:sz w:val="21"/>
                <w:szCs w:val="21"/>
                <w:lang w:val="en-US" w:eastAsia="zh-CN"/>
              </w:rPr>
              <w:t xml:space="preserve">   </w:t>
            </w:r>
            <w:r>
              <w:rPr>
                <w:rFonts w:hint="eastAsia"/>
                <w:b w:val="0"/>
                <w:bCs/>
                <w:color w:val="auto"/>
                <w:sz w:val="21"/>
                <w:szCs w:val="21"/>
                <w:lang w:val="en-US" w:eastAsia="zh-CN"/>
              </w:rPr>
              <w:t xml:space="preserve"> 项目员工共20人，厂内不设食宿。每日工作时间8小时（</w:t>
            </w:r>
            <w:r>
              <w:rPr>
                <w:rFonts w:hint="eastAsia"/>
                <w:b w:val="0"/>
                <w:bCs/>
                <w:color w:val="auto"/>
                <w:sz w:val="21"/>
                <w:szCs w:val="21"/>
                <w:highlight w:val="none"/>
                <w:lang w:val="en-US" w:eastAsia="zh-CN"/>
              </w:rPr>
              <w:t>8：00-12:00，13:00-17:00</w:t>
            </w:r>
            <w:r>
              <w:rPr>
                <w:rFonts w:hint="eastAsia"/>
                <w:b w:val="0"/>
                <w:bCs/>
                <w:color w:val="auto"/>
                <w:sz w:val="21"/>
                <w:szCs w:val="21"/>
                <w:lang w:val="en-US" w:eastAsia="zh-CN"/>
              </w:rPr>
              <w:t>），全年工作时间约300天。</w:t>
            </w:r>
          </w:p>
          <w:p w14:paraId="0FDF9690">
            <w:pPr>
              <w:pStyle w:val="15"/>
              <w:numPr>
                <w:ilvl w:val="0"/>
                <w:numId w:val="0"/>
              </w:numPr>
              <w:spacing w:line="360" w:lineRule="auto"/>
              <w:rPr>
                <w:color w:val="auto"/>
                <w:sz w:val="21"/>
                <w:szCs w:val="15"/>
              </w:rPr>
            </w:pPr>
            <w:r>
              <w:rPr>
                <w:rFonts w:hint="eastAsia"/>
                <w:color w:val="auto"/>
                <w:sz w:val="21"/>
                <w:szCs w:val="15"/>
                <w:lang w:val="en-US" w:eastAsia="zh-CN"/>
              </w:rPr>
              <w:t xml:space="preserve">   </w:t>
            </w:r>
            <w:r>
              <w:rPr>
                <w:rFonts w:hint="eastAsia"/>
                <w:b/>
                <w:bCs/>
                <w:color w:val="auto"/>
                <w:sz w:val="21"/>
                <w:szCs w:val="15"/>
                <w:lang w:val="en-US" w:eastAsia="zh-CN"/>
              </w:rPr>
              <w:t xml:space="preserve"> 6、给排水情况</w:t>
            </w:r>
          </w:p>
          <w:p w14:paraId="0106F7E4">
            <w:pPr>
              <w:adjustRightInd w:val="0"/>
              <w:snapToGrid w:val="0"/>
              <w:spacing w:line="360" w:lineRule="auto"/>
              <w:ind w:firstLine="420" w:firstLineChars="200"/>
              <w:rPr>
                <w:rFonts w:ascii="宋体" w:hAnsi="宋体" w:cs="AdobeSongStd-Light-Acro"/>
                <w:color w:val="auto"/>
                <w:kern w:val="0"/>
                <w:szCs w:val="21"/>
              </w:rPr>
            </w:pPr>
            <w:r>
              <w:rPr>
                <w:rFonts w:hint="eastAsia" w:ascii="宋体" w:hAnsi="宋体" w:cs="AdobeSongStd-Light-Acro"/>
                <w:color w:val="auto"/>
                <w:kern w:val="0"/>
                <w:szCs w:val="21"/>
              </w:rPr>
              <w:t>①生活给排水</w:t>
            </w:r>
          </w:p>
          <w:p w14:paraId="43A6C851">
            <w:pPr>
              <w:adjustRightInd w:val="0"/>
              <w:snapToGrid w:val="0"/>
              <w:spacing w:line="360" w:lineRule="auto"/>
              <w:ind w:firstLine="420" w:firstLineChars="200"/>
              <w:rPr>
                <w:rFonts w:ascii="Times New Roman" w:hAnsi="Times New Roman" w:cs="AdobeSongStd-Light-Acro"/>
                <w:color w:val="auto"/>
                <w:kern w:val="0"/>
                <w:sz w:val="21"/>
                <w:szCs w:val="21"/>
              </w:rPr>
            </w:pPr>
            <w:r>
              <w:rPr>
                <w:rFonts w:hint="eastAsia" w:ascii="Times New Roman" w:hAnsi="Times New Roman" w:cs="AdobeSongStd-Light-Acro"/>
                <w:color w:val="auto"/>
                <w:kern w:val="0"/>
                <w:sz w:val="21"/>
                <w:szCs w:val="21"/>
              </w:rPr>
              <w:t>本项目用水由市政自来水管网供给。员工20人，根据《广东省用水定额》（DB44T1461.3-2021）表A.1服务业用水定额表中国家行政机构办公楼（无食堂和浴室）人均用水按</w:t>
            </w:r>
            <w:r>
              <w:rPr>
                <w:rFonts w:hint="eastAsia" w:ascii="Times New Roman" w:hAnsi="Times New Roman" w:cs="AdobeSongStd-Light-Acro"/>
                <w:color w:val="auto"/>
                <w:kern w:val="0"/>
                <w:sz w:val="21"/>
                <w:szCs w:val="21"/>
                <w:lang w:val="en-US" w:eastAsia="zh-CN"/>
              </w:rPr>
              <w:t>10</w:t>
            </w:r>
            <w:r>
              <w:rPr>
                <w:rFonts w:hint="eastAsia" w:ascii="Times New Roman" w:hAnsi="Times New Roman" w:cs="AdobeSongStd-Light-Acro"/>
                <w:color w:val="auto"/>
                <w:kern w:val="0"/>
                <w:sz w:val="21"/>
                <w:szCs w:val="21"/>
              </w:rPr>
              <w:t>m³/人·a，需要生活用水量约为</w:t>
            </w:r>
            <w:r>
              <w:rPr>
                <w:rFonts w:hint="eastAsia" w:ascii="Times New Roman" w:hAnsi="Times New Roman" w:cs="AdobeSongStd-Light-Acro"/>
                <w:color w:val="auto"/>
                <w:kern w:val="0"/>
                <w:sz w:val="21"/>
                <w:szCs w:val="21"/>
                <w:lang w:val="en-US" w:eastAsia="zh-CN"/>
              </w:rPr>
              <w:t>20</w:t>
            </w:r>
            <w:r>
              <w:rPr>
                <w:rFonts w:hint="eastAsia" w:ascii="Times New Roman" w:hAnsi="Times New Roman" w:cs="AdobeSongStd-Light-Acro"/>
                <w:color w:val="auto"/>
                <w:kern w:val="0"/>
                <w:sz w:val="21"/>
                <w:szCs w:val="21"/>
              </w:rPr>
              <w:t>0吨/年（年工作时间为</w:t>
            </w:r>
            <w:r>
              <w:rPr>
                <w:rFonts w:ascii="Times New Roman" w:hAnsi="Times New Roman" w:cs="AdobeSongStd-Light-Acro"/>
                <w:color w:val="auto"/>
                <w:kern w:val="0"/>
                <w:sz w:val="21"/>
                <w:szCs w:val="21"/>
              </w:rPr>
              <w:t>300天</w:t>
            </w:r>
            <w:r>
              <w:rPr>
                <w:rFonts w:hint="eastAsia" w:ascii="Times New Roman" w:hAnsi="Times New Roman" w:cs="AdobeSongStd-Light-Acro"/>
                <w:color w:val="auto"/>
                <w:kern w:val="0"/>
                <w:sz w:val="21"/>
                <w:szCs w:val="21"/>
              </w:rPr>
              <w:t>/年），排污系数按90%计算，产生生活污水约</w:t>
            </w:r>
            <w:r>
              <w:rPr>
                <w:rFonts w:hint="eastAsia" w:ascii="Times New Roman" w:hAnsi="Times New Roman" w:cs="AdobeSongStd-Light-Acro"/>
                <w:color w:val="auto"/>
                <w:kern w:val="0"/>
                <w:sz w:val="21"/>
                <w:szCs w:val="21"/>
                <w:lang w:val="en-US" w:eastAsia="zh-CN"/>
              </w:rPr>
              <w:t>0</w:t>
            </w:r>
            <w:r>
              <w:rPr>
                <w:rFonts w:ascii="Times New Roman" w:hAnsi="Times New Roman" w:cs="AdobeSongStd-Light-Acro"/>
                <w:color w:val="auto"/>
                <w:kern w:val="0"/>
                <w:sz w:val="21"/>
                <w:szCs w:val="21"/>
              </w:rPr>
              <w:t>.</w:t>
            </w:r>
            <w:r>
              <w:rPr>
                <w:rFonts w:hint="eastAsia" w:ascii="Times New Roman" w:hAnsi="Times New Roman" w:cs="AdobeSongStd-Light-Acro"/>
                <w:color w:val="auto"/>
                <w:kern w:val="0"/>
                <w:sz w:val="21"/>
                <w:szCs w:val="21"/>
              </w:rPr>
              <w:t>6t/d（</w:t>
            </w:r>
            <w:r>
              <w:rPr>
                <w:rFonts w:hint="eastAsia" w:ascii="Times New Roman" w:hAnsi="Times New Roman" w:cs="AdobeSongStd-Light-Acro"/>
                <w:color w:val="auto"/>
                <w:kern w:val="0"/>
                <w:sz w:val="21"/>
                <w:szCs w:val="21"/>
                <w:lang w:val="en-US" w:eastAsia="zh-CN"/>
              </w:rPr>
              <w:t>180</w:t>
            </w:r>
            <w:r>
              <w:rPr>
                <w:rFonts w:hint="eastAsia" w:ascii="Times New Roman" w:hAnsi="Times New Roman" w:cs="AdobeSongStd-Light-Acro"/>
                <w:color w:val="auto"/>
                <w:kern w:val="0"/>
                <w:sz w:val="21"/>
                <w:szCs w:val="21"/>
              </w:rPr>
              <w:t>t/a，年工作时间为</w:t>
            </w:r>
            <w:r>
              <w:rPr>
                <w:rFonts w:ascii="Times New Roman" w:hAnsi="Times New Roman" w:cs="AdobeSongStd-Light-Acro"/>
                <w:color w:val="auto"/>
                <w:kern w:val="0"/>
                <w:sz w:val="21"/>
                <w:szCs w:val="21"/>
              </w:rPr>
              <w:t>300天</w:t>
            </w:r>
            <w:r>
              <w:rPr>
                <w:rFonts w:hint="eastAsia" w:ascii="Times New Roman" w:hAnsi="Times New Roman" w:cs="AdobeSongStd-Light-Acro"/>
                <w:color w:val="auto"/>
                <w:kern w:val="0"/>
                <w:sz w:val="21"/>
                <w:szCs w:val="21"/>
              </w:rPr>
              <w:t>/年），生活污水经三级化粪</w:t>
            </w:r>
            <w:r>
              <w:rPr>
                <w:rFonts w:hint="eastAsia" w:cs="AdobeSongStd-Light-Acro"/>
                <w:color w:val="auto"/>
                <w:kern w:val="0"/>
                <w:sz w:val="21"/>
                <w:szCs w:val="21"/>
                <w:lang w:val="en-US" w:eastAsia="zh-CN"/>
              </w:rPr>
              <w:t>池</w:t>
            </w:r>
            <w:r>
              <w:rPr>
                <w:rFonts w:hint="eastAsia" w:ascii="Times New Roman" w:hAnsi="Times New Roman" w:cs="AdobeSongStd-Light-Acro"/>
                <w:color w:val="auto"/>
                <w:kern w:val="0"/>
                <w:sz w:val="21"/>
                <w:szCs w:val="21"/>
              </w:rPr>
              <w:t>处理后，经市政管道进入</w:t>
            </w:r>
            <w:r>
              <w:rPr>
                <w:rFonts w:hint="eastAsia" w:cs="AdobeSongStd-Light-Acro"/>
                <w:color w:val="auto"/>
                <w:kern w:val="0"/>
                <w:sz w:val="21"/>
                <w:szCs w:val="21"/>
                <w:u w:val="none"/>
                <w:lang w:eastAsia="zh-CN"/>
              </w:rPr>
              <w:t>南朗横门污水处理厂</w:t>
            </w:r>
            <w:r>
              <w:rPr>
                <w:rFonts w:hint="eastAsia" w:ascii="Times New Roman" w:hAnsi="Times New Roman" w:cs="AdobeSongStd-Light-Acro"/>
                <w:color w:val="auto"/>
                <w:kern w:val="0"/>
                <w:sz w:val="21"/>
                <w:szCs w:val="21"/>
              </w:rPr>
              <w:t>处理达标后，排入</w:t>
            </w:r>
            <w:r>
              <w:rPr>
                <w:rFonts w:hint="eastAsia" w:ascii="Times New Roman" w:hAnsi="Times New Roman" w:cs="AdobeSongStd-Light-Acro"/>
                <w:color w:val="auto"/>
                <w:kern w:val="0"/>
                <w:sz w:val="21"/>
                <w:szCs w:val="21"/>
                <w:lang w:val="en-US" w:eastAsia="zh-CN"/>
              </w:rPr>
              <w:t>横门水道</w:t>
            </w:r>
            <w:r>
              <w:rPr>
                <w:rFonts w:hint="eastAsia" w:ascii="Times New Roman" w:hAnsi="Times New Roman" w:cs="AdobeSongStd-Light-Acro"/>
                <w:color w:val="auto"/>
                <w:kern w:val="0"/>
                <w:sz w:val="21"/>
                <w:szCs w:val="21"/>
              </w:rPr>
              <w:t>。</w:t>
            </w:r>
          </w:p>
          <w:p w14:paraId="2268D784">
            <w:pPr>
              <w:adjustRightInd w:val="0"/>
              <w:snapToGrid w:val="0"/>
              <w:spacing w:line="360" w:lineRule="auto"/>
              <w:ind w:firstLine="420" w:firstLineChars="200"/>
              <w:rPr>
                <w:rFonts w:ascii="宋体" w:hAnsi="宋体" w:cs="AdobeSongStd-Light-Acro"/>
                <w:color w:val="auto"/>
                <w:kern w:val="0"/>
                <w:szCs w:val="21"/>
              </w:rPr>
            </w:pPr>
            <w:r>
              <w:rPr>
                <w:rFonts w:hint="eastAsia" w:ascii="宋体" w:hAnsi="宋体" w:cs="AdobeSongStd-Light-Acro"/>
                <w:color w:val="auto"/>
                <w:kern w:val="0"/>
                <w:szCs w:val="21"/>
              </w:rPr>
              <w:t>②除油、陶化、清洗给排水</w:t>
            </w:r>
          </w:p>
          <w:p w14:paraId="51CB2EED">
            <w:pPr>
              <w:numPr>
                <w:ilvl w:val="0"/>
                <w:numId w:val="7"/>
              </w:numPr>
              <w:adjustRightInd w:val="0"/>
              <w:snapToGrid w:val="0"/>
              <w:spacing w:line="360" w:lineRule="auto"/>
              <w:ind w:firstLine="420" w:firstLineChars="200"/>
              <w:rPr>
                <w:rFonts w:hint="eastAsia" w:ascii="宋体" w:hAnsi="宋体" w:cs="AdobeSongStd-Light-Acro"/>
                <w:color w:val="auto"/>
                <w:kern w:val="0"/>
                <w:szCs w:val="21"/>
              </w:rPr>
            </w:pPr>
            <w:r>
              <w:rPr>
                <w:rFonts w:hint="eastAsia" w:ascii="宋体" w:hAnsi="宋体" w:cs="AdobeSongStd-Light-Acro"/>
                <w:color w:val="auto"/>
                <w:kern w:val="0"/>
                <w:szCs w:val="21"/>
              </w:rPr>
              <w:t>项目</w:t>
            </w:r>
            <w:r>
              <w:rPr>
                <w:rFonts w:hint="eastAsia"/>
                <w:color w:val="auto"/>
                <w:lang w:val="en-US" w:eastAsia="zh-CN"/>
              </w:rPr>
              <w:t>手</w:t>
            </w:r>
            <w:r>
              <w:rPr>
                <w:rFonts w:hint="eastAsia"/>
                <w:color w:val="auto"/>
              </w:rPr>
              <w:t>动前处理线</w:t>
            </w:r>
            <w:r>
              <w:rPr>
                <w:rFonts w:hint="eastAsia" w:ascii="宋体" w:hAnsi="宋体" w:cs="AdobeSongStd-Light-Acro"/>
                <w:color w:val="auto"/>
                <w:kern w:val="0"/>
                <w:szCs w:val="21"/>
              </w:rPr>
              <w:t>工序，清洗方式</w:t>
            </w:r>
            <w:r>
              <w:rPr>
                <w:rFonts w:hint="eastAsia" w:ascii="宋体" w:hAnsi="宋体" w:cs="AdobeSongStd-Light-Acro"/>
                <w:color w:val="auto"/>
                <w:kern w:val="0"/>
                <w:szCs w:val="21"/>
                <w:lang w:val="en-US" w:eastAsia="zh-CN"/>
              </w:rPr>
              <w:t>如下</w:t>
            </w:r>
            <w:r>
              <w:rPr>
                <w:rFonts w:hint="eastAsia" w:ascii="宋体" w:hAnsi="宋体" w:cs="AdobeSongStd-Light-Acro"/>
                <w:color w:val="auto"/>
                <w:kern w:val="0"/>
                <w:szCs w:val="21"/>
                <w:lang w:eastAsia="zh-CN"/>
              </w:rPr>
              <w:t>：</w:t>
            </w:r>
          </w:p>
          <w:p w14:paraId="2FA71C7C">
            <w:pPr>
              <w:pStyle w:val="46"/>
              <w:rPr>
                <w:rFonts w:hint="eastAsia" w:eastAsia="宋体"/>
                <w:color w:val="auto"/>
                <w:lang w:eastAsia="zh-CN"/>
              </w:rPr>
            </w:pPr>
            <w:r>
              <w:rPr>
                <w:rFonts w:hint="eastAsia" w:eastAsia="宋体"/>
                <w:color w:val="auto"/>
                <w:lang w:eastAsia="zh-CN"/>
              </w:rPr>
              <w:drawing>
                <wp:inline distT="0" distB="0" distL="114300" distR="114300">
                  <wp:extent cx="5229225" cy="495935"/>
                  <wp:effectExtent l="0" t="0" r="0" b="0"/>
                  <wp:docPr id="246"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ECB019B1-382A-4266-B25C-5B523AA43C14-1" descr="wps"/>
                          <pic:cNvPicPr>
                            <a:picLocks noChangeAspect="1"/>
                          </pic:cNvPicPr>
                        </pic:nvPicPr>
                        <pic:blipFill>
                          <a:blip r:embed="rId8"/>
                          <a:srcRect t="16022"/>
                          <a:stretch>
                            <a:fillRect/>
                          </a:stretch>
                        </pic:blipFill>
                        <pic:spPr>
                          <a:xfrm>
                            <a:off x="0" y="0"/>
                            <a:ext cx="5229225" cy="495935"/>
                          </a:xfrm>
                          <a:prstGeom prst="rect">
                            <a:avLst/>
                          </a:prstGeom>
                        </pic:spPr>
                      </pic:pic>
                    </a:graphicData>
                  </a:graphic>
                </wp:inline>
              </w:drawing>
            </w:r>
          </w:p>
          <w:p w14:paraId="7F0A4B2D">
            <w:pPr>
              <w:adjustRightInd w:val="0"/>
              <w:snapToGrid w:val="0"/>
              <w:spacing w:line="360" w:lineRule="auto"/>
              <w:ind w:firstLine="420" w:firstLineChars="200"/>
              <w:rPr>
                <w:rFonts w:ascii="宋体" w:hAnsi="宋体" w:cs="AdobeSongStd-Light-Acro"/>
                <w:color w:val="auto"/>
                <w:kern w:val="0"/>
                <w:szCs w:val="21"/>
              </w:rPr>
            </w:pPr>
            <w:r>
              <w:rPr>
                <w:rFonts w:hint="eastAsia" w:ascii="宋体" w:hAnsi="宋体" w:cs="AdobeSongStd-Light-Acro"/>
                <w:color w:val="auto"/>
                <w:kern w:val="0"/>
                <w:szCs w:val="21"/>
              </w:rPr>
              <w:t>注：清洗方式为浸泡式清洗，</w:t>
            </w:r>
            <w:r>
              <w:rPr>
                <w:rFonts w:hint="eastAsia"/>
                <w:b/>
                <w:bCs/>
                <w:color w:val="auto"/>
                <w:szCs w:val="21"/>
              </w:rPr>
              <w:t>不进行逆流</w:t>
            </w:r>
            <w:r>
              <w:rPr>
                <w:rFonts w:hint="eastAsia"/>
                <w:b/>
                <w:bCs/>
                <w:color w:val="auto"/>
                <w:szCs w:val="21"/>
                <w:lang w:eastAsia="zh-CN"/>
              </w:rPr>
              <w:t>，</w:t>
            </w:r>
            <w:r>
              <w:rPr>
                <w:rFonts w:hint="eastAsia" w:ascii="宋体" w:hAnsi="宋体" w:cs="AdobeSongStd-Light-Acro"/>
                <w:color w:val="auto"/>
                <w:kern w:val="0"/>
                <w:szCs w:val="21"/>
              </w:rPr>
              <w:t>废水更换方式为</w:t>
            </w:r>
            <w:r>
              <w:rPr>
                <w:rFonts w:hint="eastAsia"/>
                <w:b/>
                <w:bCs/>
                <w:color w:val="auto"/>
                <w:szCs w:val="21"/>
              </w:rPr>
              <w:t>整槽全部更换。</w:t>
            </w:r>
            <w:r>
              <w:rPr>
                <w:rFonts w:ascii="宋体" w:hAnsi="宋体" w:cs="AdobeSongStd-Light-Acro"/>
                <w:color w:val="auto"/>
                <w:kern w:val="0"/>
                <w:szCs w:val="21"/>
              </w:rPr>
              <w:t xml:space="preserve"> </w:t>
            </w:r>
          </w:p>
          <w:p w14:paraId="1910F8CF">
            <w:pPr>
              <w:adjustRightInd w:val="0"/>
              <w:snapToGrid w:val="0"/>
              <w:spacing w:line="360" w:lineRule="auto"/>
              <w:ind w:firstLine="420" w:firstLineChars="200"/>
              <w:rPr>
                <w:rFonts w:hint="eastAsia" w:eastAsia="宋体"/>
                <w:b/>
                <w:bCs/>
                <w:color w:val="auto"/>
                <w:szCs w:val="21"/>
                <w:lang w:eastAsia="zh-CN"/>
              </w:rPr>
            </w:pPr>
            <w:r>
              <w:rPr>
                <w:rFonts w:hint="eastAsia" w:ascii="宋体" w:hAnsi="宋体" w:cs="AdobeSongStd-Light-Acro"/>
                <w:color w:val="auto"/>
                <w:kern w:val="0"/>
                <w:szCs w:val="21"/>
              </w:rPr>
              <w:t>（</w:t>
            </w:r>
            <w:r>
              <w:rPr>
                <w:rFonts w:ascii="宋体" w:hAnsi="宋体" w:cs="AdobeSongStd-Light-Acro"/>
                <w:color w:val="auto"/>
                <w:kern w:val="0"/>
                <w:szCs w:val="21"/>
              </w:rPr>
              <w:t>2</w:t>
            </w:r>
            <w:r>
              <w:rPr>
                <w:rFonts w:hint="eastAsia" w:ascii="宋体" w:hAnsi="宋体" w:cs="AdobeSongStd-Light-Acro"/>
                <w:color w:val="auto"/>
                <w:kern w:val="0"/>
                <w:szCs w:val="21"/>
              </w:rPr>
              <w:t>）项目</w:t>
            </w:r>
            <w:r>
              <w:rPr>
                <w:rFonts w:hint="eastAsia"/>
                <w:color w:val="auto"/>
              </w:rPr>
              <w:t>自动前处理线</w:t>
            </w:r>
            <w:r>
              <w:rPr>
                <w:rFonts w:hint="eastAsia" w:ascii="宋体" w:hAnsi="宋体" w:cs="AdobeSongStd-Light-Acro"/>
                <w:color w:val="auto"/>
                <w:kern w:val="0"/>
                <w:szCs w:val="21"/>
              </w:rPr>
              <w:t>工序，清洗方式</w:t>
            </w:r>
            <w:r>
              <w:rPr>
                <w:rFonts w:hint="eastAsia" w:ascii="宋体" w:hAnsi="宋体" w:cs="AdobeSongStd-Light-Acro"/>
                <w:color w:val="auto"/>
                <w:kern w:val="0"/>
                <w:szCs w:val="21"/>
                <w:lang w:val="en-US" w:eastAsia="zh-CN"/>
              </w:rPr>
              <w:t>如下</w:t>
            </w:r>
            <w:r>
              <w:rPr>
                <w:rFonts w:hint="eastAsia" w:ascii="宋体" w:hAnsi="宋体" w:cs="AdobeSongStd-Light-Acro"/>
                <w:color w:val="auto"/>
                <w:kern w:val="0"/>
                <w:szCs w:val="21"/>
                <w:lang w:eastAsia="zh-CN"/>
              </w:rPr>
              <w:t>：</w:t>
            </w:r>
          </w:p>
          <w:p w14:paraId="2C8B2221">
            <w:pPr>
              <w:pStyle w:val="46"/>
              <w:rPr>
                <w:rFonts w:hint="eastAsia" w:eastAsia="宋体"/>
                <w:color w:val="auto"/>
                <w:lang w:eastAsia="zh-CN"/>
              </w:rPr>
            </w:pPr>
            <w:r>
              <w:rPr>
                <w:rFonts w:hint="eastAsia" w:eastAsia="宋体"/>
                <w:color w:val="auto"/>
                <w:lang w:eastAsia="zh-CN"/>
              </w:rPr>
              <w:drawing>
                <wp:inline distT="0" distB="0" distL="114300" distR="114300">
                  <wp:extent cx="4641215" cy="496570"/>
                  <wp:effectExtent l="0" t="0" r="0" b="0"/>
                  <wp:docPr id="71"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ECB019B1-382A-4266-B25C-5B523AA43C14-2" descr="wps"/>
                          <pic:cNvPicPr>
                            <a:picLocks noChangeAspect="1"/>
                          </pic:cNvPicPr>
                        </pic:nvPicPr>
                        <pic:blipFill>
                          <a:blip r:embed="rId9"/>
                          <a:srcRect t="20930"/>
                          <a:stretch>
                            <a:fillRect/>
                          </a:stretch>
                        </pic:blipFill>
                        <pic:spPr>
                          <a:xfrm>
                            <a:off x="0" y="0"/>
                            <a:ext cx="4641215" cy="496570"/>
                          </a:xfrm>
                          <a:prstGeom prst="rect">
                            <a:avLst/>
                          </a:prstGeom>
                        </pic:spPr>
                      </pic:pic>
                    </a:graphicData>
                  </a:graphic>
                </wp:inline>
              </w:drawing>
            </w:r>
          </w:p>
          <w:p w14:paraId="535A9A4D">
            <w:pPr>
              <w:adjustRightInd w:val="0"/>
              <w:snapToGrid w:val="0"/>
              <w:spacing w:line="360" w:lineRule="auto"/>
              <w:ind w:firstLine="420" w:firstLineChars="200"/>
              <w:rPr>
                <w:rFonts w:ascii="宋体" w:hAnsi="宋体" w:cs="AdobeSongStd-Light-Acro"/>
                <w:color w:val="auto"/>
                <w:kern w:val="0"/>
                <w:szCs w:val="21"/>
              </w:rPr>
            </w:pPr>
            <w:r>
              <w:rPr>
                <w:rFonts w:hint="eastAsia" w:ascii="宋体" w:hAnsi="宋体" w:cs="AdobeSongStd-Light-Acro"/>
                <w:color w:val="auto"/>
                <w:kern w:val="0"/>
                <w:szCs w:val="21"/>
              </w:rPr>
              <w:t>注：清洗方式为喷淋式清洗</w:t>
            </w:r>
            <w:r>
              <w:rPr>
                <w:rFonts w:hint="eastAsia" w:ascii="宋体" w:hAnsi="宋体" w:cs="AdobeSongStd-Light-Acro"/>
                <w:color w:val="auto"/>
                <w:kern w:val="0"/>
                <w:szCs w:val="21"/>
              </w:rPr>
              <w:t>，</w:t>
            </w:r>
            <w:r>
              <w:rPr>
                <w:rFonts w:hint="eastAsia"/>
                <w:b/>
                <w:bCs/>
                <w:color w:val="auto"/>
                <w:szCs w:val="21"/>
              </w:rPr>
              <w:t>不进行逆流</w:t>
            </w:r>
            <w:r>
              <w:rPr>
                <w:rFonts w:hint="eastAsia"/>
                <w:b/>
                <w:bCs/>
                <w:color w:val="auto"/>
                <w:szCs w:val="21"/>
                <w:lang w:eastAsia="zh-CN"/>
              </w:rPr>
              <w:t>，</w:t>
            </w:r>
            <w:r>
              <w:rPr>
                <w:rFonts w:hint="eastAsia" w:ascii="宋体" w:hAnsi="宋体" w:cs="AdobeSongStd-Light-Acro"/>
                <w:color w:val="auto"/>
                <w:kern w:val="0"/>
                <w:szCs w:val="21"/>
              </w:rPr>
              <w:t>废水更换方式为</w:t>
            </w:r>
            <w:r>
              <w:rPr>
                <w:rFonts w:hint="eastAsia"/>
                <w:b/>
                <w:bCs/>
                <w:color w:val="auto"/>
                <w:szCs w:val="21"/>
              </w:rPr>
              <w:t>整槽全部更换。</w:t>
            </w:r>
            <w:r>
              <w:rPr>
                <w:rFonts w:ascii="宋体" w:hAnsi="宋体" w:cs="AdobeSongStd-Light-Acro"/>
                <w:color w:val="auto"/>
                <w:kern w:val="0"/>
                <w:szCs w:val="21"/>
              </w:rPr>
              <w:t xml:space="preserve"> </w:t>
            </w:r>
          </w:p>
          <w:p w14:paraId="20586D60">
            <w:pPr>
              <w:pStyle w:val="9"/>
              <w:ind w:left="630" w:leftChars="0" w:firstLineChars="0"/>
              <w:rPr>
                <w:color w:val="auto"/>
                <w:szCs w:val="21"/>
              </w:rPr>
            </w:pPr>
            <w:r>
              <w:rPr>
                <w:rFonts w:hint="eastAsia"/>
                <w:color w:val="auto"/>
                <w:szCs w:val="21"/>
              </w:rPr>
              <w:t>除油、陶化、清洗工序给排水情况表</w:t>
            </w:r>
          </w:p>
          <w:tbl>
            <w:tblPr>
              <w:tblStyle w:val="35"/>
              <w:tblW w:w="0" w:type="auto"/>
              <w:tblInd w:w="0" w:type="dxa"/>
              <w:tblLayout w:type="fixed"/>
              <w:tblCellMar>
                <w:top w:w="0" w:type="dxa"/>
                <w:left w:w="0" w:type="dxa"/>
                <w:bottom w:w="0" w:type="dxa"/>
                <w:right w:w="0" w:type="dxa"/>
              </w:tblCellMar>
            </w:tblPr>
            <w:tblGrid>
              <w:gridCol w:w="760"/>
              <w:gridCol w:w="760"/>
              <w:gridCol w:w="546"/>
              <w:gridCol w:w="704"/>
              <w:gridCol w:w="669"/>
              <w:gridCol w:w="682"/>
              <w:gridCol w:w="725"/>
              <w:gridCol w:w="935"/>
              <w:gridCol w:w="759"/>
              <w:gridCol w:w="838"/>
              <w:gridCol w:w="838"/>
            </w:tblGrid>
            <w:tr w14:paraId="04D41A5A">
              <w:tblPrEx>
                <w:tblCellMar>
                  <w:top w:w="0" w:type="dxa"/>
                  <w:left w:w="0" w:type="dxa"/>
                  <w:bottom w:w="0" w:type="dxa"/>
                  <w:right w:w="0" w:type="dxa"/>
                </w:tblCellMar>
              </w:tblPrEx>
              <w:trPr>
                <w:trHeight w:val="815" w:hRule="atLeast"/>
              </w:trPr>
              <w:tc>
                <w:tcPr>
                  <w:tcW w:w="1520" w:type="dxa"/>
                  <w:gridSpan w:val="2"/>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5B3B49D2">
                  <w:pPr>
                    <w:widowControl/>
                    <w:jc w:val="center"/>
                    <w:rPr>
                      <w:b/>
                      <w:bCs/>
                      <w:color w:val="auto"/>
                      <w:kern w:val="0"/>
                      <w:szCs w:val="21"/>
                    </w:rPr>
                  </w:pPr>
                  <w:r>
                    <w:rPr>
                      <w:b/>
                      <w:bCs/>
                      <w:color w:val="auto"/>
                      <w:kern w:val="0"/>
                      <w:szCs w:val="21"/>
                    </w:rPr>
                    <w:t>功能池</w:t>
                  </w:r>
                </w:p>
              </w:tc>
              <w:tc>
                <w:tcPr>
                  <w:tcW w:w="54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B5EFAF6">
                  <w:pPr>
                    <w:widowControl/>
                    <w:jc w:val="center"/>
                    <w:rPr>
                      <w:b/>
                      <w:bCs/>
                      <w:color w:val="auto"/>
                      <w:kern w:val="0"/>
                      <w:szCs w:val="21"/>
                    </w:rPr>
                  </w:pPr>
                  <w:r>
                    <w:rPr>
                      <w:b/>
                      <w:bCs/>
                      <w:color w:val="auto"/>
                      <w:kern w:val="0"/>
                      <w:szCs w:val="21"/>
                    </w:rPr>
                    <w:t>有效容积m</w:t>
                  </w:r>
                  <w:r>
                    <w:rPr>
                      <w:b/>
                      <w:bCs/>
                      <w:color w:val="auto"/>
                      <w:kern w:val="0"/>
                      <w:szCs w:val="21"/>
                      <w:vertAlign w:val="superscript"/>
                    </w:rPr>
                    <w:t>3</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307F26">
                  <w:pPr>
                    <w:widowControl/>
                    <w:jc w:val="center"/>
                    <w:rPr>
                      <w:b/>
                      <w:bCs/>
                      <w:color w:val="auto"/>
                      <w:kern w:val="0"/>
                      <w:szCs w:val="21"/>
                    </w:rPr>
                  </w:pPr>
                  <w:r>
                    <w:rPr>
                      <w:b/>
                      <w:bCs/>
                      <w:color w:val="auto"/>
                      <w:kern w:val="0"/>
                      <w:szCs w:val="21"/>
                    </w:rPr>
                    <w:t>数量/个</w:t>
                  </w:r>
                </w:p>
              </w:tc>
              <w:tc>
                <w:tcPr>
                  <w:tcW w:w="66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50CD21B">
                  <w:pPr>
                    <w:widowControl/>
                    <w:jc w:val="center"/>
                    <w:rPr>
                      <w:b/>
                      <w:bCs/>
                      <w:color w:val="auto"/>
                      <w:kern w:val="0"/>
                      <w:szCs w:val="21"/>
                    </w:rPr>
                  </w:pPr>
                  <w:r>
                    <w:rPr>
                      <w:b/>
                      <w:bCs/>
                      <w:color w:val="auto"/>
                      <w:kern w:val="0"/>
                      <w:szCs w:val="21"/>
                    </w:rPr>
                    <w:t>更换次数/a</w:t>
                  </w:r>
                </w:p>
              </w:tc>
              <w:tc>
                <w:tcPr>
                  <w:tcW w:w="68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BFA1512">
                  <w:pPr>
                    <w:widowControl/>
                    <w:jc w:val="center"/>
                    <w:rPr>
                      <w:b/>
                      <w:bCs/>
                      <w:strike/>
                      <w:dstrike w:val="0"/>
                      <w:color w:val="auto"/>
                      <w:kern w:val="0"/>
                      <w:szCs w:val="21"/>
                    </w:rPr>
                  </w:pPr>
                  <w:r>
                    <w:rPr>
                      <w:b/>
                      <w:bCs/>
                      <w:strike w:val="0"/>
                      <w:dstrike w:val="0"/>
                      <w:color w:val="auto"/>
                      <w:kern w:val="0"/>
                      <w:szCs w:val="21"/>
                    </w:rPr>
                    <w:t>更换</w:t>
                  </w:r>
                  <w:r>
                    <w:rPr>
                      <w:rFonts w:hint="eastAsia"/>
                      <w:b/>
                      <w:bCs/>
                      <w:strike w:val="0"/>
                      <w:dstrike w:val="0"/>
                      <w:color w:val="auto"/>
                      <w:kern w:val="0"/>
                      <w:szCs w:val="21"/>
                      <w:lang w:val="en-US" w:eastAsia="zh-CN"/>
                    </w:rPr>
                    <w:t>废水（液）</w:t>
                  </w:r>
                  <w:r>
                    <w:rPr>
                      <w:b/>
                      <w:bCs/>
                      <w:strike w:val="0"/>
                      <w:dstrike w:val="0"/>
                      <w:color w:val="auto"/>
                      <w:kern w:val="0"/>
                      <w:szCs w:val="21"/>
                    </w:rPr>
                    <w:t>量t/a</w:t>
                  </w:r>
                </w:p>
              </w:tc>
              <w:tc>
                <w:tcPr>
                  <w:tcW w:w="7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C57555">
                  <w:pPr>
                    <w:widowControl/>
                    <w:jc w:val="center"/>
                    <w:rPr>
                      <w:rFonts w:hint="default" w:eastAsia="宋体"/>
                      <w:b/>
                      <w:bCs/>
                      <w:color w:val="auto"/>
                      <w:kern w:val="0"/>
                      <w:szCs w:val="21"/>
                      <w:lang w:val="en-US" w:eastAsia="zh-CN"/>
                    </w:rPr>
                  </w:pPr>
                  <w:r>
                    <w:rPr>
                      <w:rFonts w:hint="eastAsia"/>
                      <w:b/>
                      <w:bCs/>
                      <w:color w:val="auto"/>
                      <w:kern w:val="0"/>
                      <w:szCs w:val="21"/>
                      <w:lang w:val="en-US" w:eastAsia="zh-CN"/>
                    </w:rPr>
                    <w:t>药剂添加量t/a</w:t>
                  </w:r>
                </w:p>
              </w:tc>
              <w:tc>
                <w:tcPr>
                  <w:tcW w:w="9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82B45AD">
                  <w:pPr>
                    <w:widowControl/>
                    <w:jc w:val="center"/>
                    <w:rPr>
                      <w:b/>
                      <w:bCs/>
                      <w:color w:val="auto"/>
                      <w:kern w:val="0"/>
                      <w:szCs w:val="21"/>
                    </w:rPr>
                  </w:pPr>
                  <w:r>
                    <w:rPr>
                      <w:b/>
                      <w:bCs/>
                      <w:color w:val="auto"/>
                      <w:kern w:val="0"/>
                      <w:szCs w:val="21"/>
                    </w:rPr>
                    <w:t>补充蒸发损耗</w:t>
                  </w:r>
                  <w:r>
                    <w:rPr>
                      <w:rFonts w:hint="eastAsia"/>
                      <w:b/>
                      <w:bCs/>
                      <w:color w:val="auto"/>
                      <w:kern w:val="0"/>
                      <w:szCs w:val="21"/>
                      <w:lang w:val="en-US" w:eastAsia="zh-CN"/>
                    </w:rPr>
                    <w:t>水</w:t>
                  </w:r>
                  <w:r>
                    <w:rPr>
                      <w:b/>
                      <w:bCs/>
                      <w:color w:val="auto"/>
                      <w:kern w:val="0"/>
                      <w:szCs w:val="21"/>
                    </w:rPr>
                    <w:t>量t/a</w:t>
                  </w:r>
                </w:p>
              </w:tc>
              <w:tc>
                <w:tcPr>
                  <w:tcW w:w="75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7A7B21F">
                  <w:pPr>
                    <w:widowControl/>
                    <w:jc w:val="center"/>
                    <w:rPr>
                      <w:b/>
                      <w:bCs/>
                      <w:color w:val="auto"/>
                      <w:kern w:val="0"/>
                      <w:szCs w:val="21"/>
                    </w:rPr>
                  </w:pPr>
                  <w:r>
                    <w:rPr>
                      <w:b/>
                      <w:bCs/>
                      <w:color w:val="auto"/>
                      <w:kern w:val="0"/>
                      <w:szCs w:val="21"/>
                    </w:rPr>
                    <w:t>总用水量t/a</w:t>
                  </w:r>
                </w:p>
              </w:tc>
              <w:tc>
                <w:tcPr>
                  <w:tcW w:w="83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A4F8235">
                  <w:pPr>
                    <w:widowControl/>
                    <w:jc w:val="center"/>
                    <w:rPr>
                      <w:b/>
                      <w:bCs/>
                      <w:color w:val="auto"/>
                      <w:kern w:val="0"/>
                      <w:szCs w:val="21"/>
                    </w:rPr>
                  </w:pPr>
                  <w:r>
                    <w:rPr>
                      <w:rFonts w:hint="eastAsia"/>
                      <w:b/>
                      <w:bCs/>
                      <w:strike w:val="0"/>
                      <w:dstrike w:val="0"/>
                      <w:color w:val="auto"/>
                      <w:kern w:val="0"/>
                      <w:szCs w:val="21"/>
                      <w:lang w:val="en-US" w:eastAsia="zh-CN"/>
                    </w:rPr>
                    <w:t>废水（液）</w:t>
                  </w:r>
                  <w:r>
                    <w:rPr>
                      <w:b/>
                      <w:bCs/>
                      <w:color w:val="auto"/>
                      <w:kern w:val="0"/>
                      <w:szCs w:val="21"/>
                    </w:rPr>
                    <w:t>总排量t/a</w:t>
                  </w:r>
                </w:p>
              </w:tc>
              <w:tc>
                <w:tcPr>
                  <w:tcW w:w="83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813BE64">
                  <w:pPr>
                    <w:widowControl/>
                    <w:jc w:val="center"/>
                    <w:rPr>
                      <w:b/>
                      <w:bCs/>
                      <w:color w:val="auto"/>
                      <w:kern w:val="0"/>
                      <w:szCs w:val="21"/>
                    </w:rPr>
                  </w:pPr>
                  <w:r>
                    <w:rPr>
                      <w:b/>
                      <w:bCs/>
                      <w:color w:val="auto"/>
                      <w:kern w:val="0"/>
                      <w:szCs w:val="21"/>
                    </w:rPr>
                    <w:t>用水方式</w:t>
                  </w:r>
                </w:p>
              </w:tc>
            </w:tr>
            <w:tr w14:paraId="7D3DACCE">
              <w:tblPrEx>
                <w:tblCellMar>
                  <w:top w:w="0" w:type="dxa"/>
                  <w:left w:w="0" w:type="dxa"/>
                  <w:bottom w:w="0" w:type="dxa"/>
                  <w:right w:w="0" w:type="dxa"/>
                </w:tblCellMar>
              </w:tblPrEx>
              <w:trPr>
                <w:trHeight w:val="367" w:hRule="atLeast"/>
              </w:trPr>
              <w:tc>
                <w:tcPr>
                  <w:tcW w:w="760" w:type="dxa"/>
                  <w:vMerge w:val="restart"/>
                  <w:tcBorders>
                    <w:top w:val="single" w:color="auto" w:sz="4" w:space="0"/>
                    <w:left w:val="single" w:color="auto" w:sz="4" w:space="0"/>
                    <w:right w:val="single" w:color="auto" w:sz="4" w:space="0"/>
                  </w:tcBorders>
                  <w:tcMar>
                    <w:top w:w="15" w:type="dxa"/>
                    <w:left w:w="15" w:type="dxa"/>
                    <w:right w:w="15" w:type="dxa"/>
                  </w:tcMar>
                  <w:vAlign w:val="center"/>
                </w:tcPr>
                <w:p w14:paraId="0ED7657B">
                  <w:pPr>
                    <w:widowControl/>
                    <w:jc w:val="center"/>
                    <w:rPr>
                      <w:color w:val="auto"/>
                      <w:kern w:val="0"/>
                      <w:szCs w:val="21"/>
                    </w:rPr>
                  </w:pPr>
                  <w:r>
                    <w:rPr>
                      <w:rFonts w:hint="eastAsia"/>
                      <w:color w:val="auto"/>
                    </w:rPr>
                    <w:t>自动前处理线</w:t>
                  </w:r>
                </w:p>
              </w:tc>
              <w:tc>
                <w:tcPr>
                  <w:tcW w:w="760" w:type="dxa"/>
                  <w:tcBorders>
                    <w:top w:val="single" w:color="auto" w:sz="4" w:space="0"/>
                    <w:left w:val="single" w:color="auto" w:sz="4" w:space="0"/>
                    <w:bottom w:val="single" w:color="auto" w:sz="4" w:space="0"/>
                    <w:right w:val="single" w:color="auto" w:sz="4" w:space="0"/>
                  </w:tcBorders>
                  <w:vAlign w:val="center"/>
                </w:tcPr>
                <w:p w14:paraId="429A8E94">
                  <w:pPr>
                    <w:widowControl/>
                    <w:jc w:val="center"/>
                    <w:rPr>
                      <w:color w:val="auto"/>
                      <w:kern w:val="0"/>
                      <w:szCs w:val="21"/>
                    </w:rPr>
                  </w:pPr>
                  <w:r>
                    <w:rPr>
                      <w:color w:val="auto"/>
                      <w:kern w:val="0"/>
                      <w:szCs w:val="21"/>
                    </w:rPr>
                    <w:t>预除油</w:t>
                  </w:r>
                  <w:r>
                    <w:rPr>
                      <w:rFonts w:hint="eastAsia"/>
                      <w:color w:val="auto"/>
                      <w:kern w:val="0"/>
                      <w:szCs w:val="21"/>
                    </w:rPr>
                    <w:t>1</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2A819B55">
                  <w:pPr>
                    <w:widowControl/>
                    <w:jc w:val="center"/>
                    <w:rPr>
                      <w:color w:val="auto"/>
                      <w:kern w:val="0"/>
                      <w:szCs w:val="21"/>
                    </w:rPr>
                  </w:pPr>
                  <w:r>
                    <w:rPr>
                      <w:rFonts w:hint="eastAsia"/>
                      <w:color w:val="auto"/>
                      <w:kern w:val="0"/>
                      <w:szCs w:val="21"/>
                    </w:rPr>
                    <w:t>1</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288F145">
                  <w:pPr>
                    <w:widowControl/>
                    <w:jc w:val="center"/>
                    <w:rPr>
                      <w:color w:val="auto"/>
                      <w:kern w:val="0"/>
                      <w:szCs w:val="21"/>
                    </w:rPr>
                  </w:pPr>
                  <w:r>
                    <w:rPr>
                      <w:rFonts w:hint="eastAsia"/>
                      <w:color w:val="auto"/>
                      <w:kern w:val="0"/>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A15EF12">
                  <w:pPr>
                    <w:widowControl/>
                    <w:jc w:val="center"/>
                    <w:textAlignment w:val="center"/>
                    <w:rPr>
                      <w:color w:val="auto"/>
                      <w:kern w:val="0"/>
                      <w:szCs w:val="21"/>
                    </w:rPr>
                  </w:pPr>
                  <w:r>
                    <w:rPr>
                      <w:color w:val="auto"/>
                      <w:szCs w:val="21"/>
                    </w:rPr>
                    <w:t>2</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ADC8CCD">
                  <w:pPr>
                    <w:keepNext w:val="0"/>
                    <w:keepLines w:val="0"/>
                    <w:widowControl/>
                    <w:suppressLineNumbers w:val="0"/>
                    <w:jc w:val="center"/>
                    <w:textAlignment w:val="center"/>
                    <w:rPr>
                      <w:strike/>
                      <w:dstrike w:val="0"/>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7FB73CB">
                  <w:pPr>
                    <w:widowControl/>
                    <w:jc w:val="center"/>
                    <w:rPr>
                      <w:rFonts w:hint="default" w:eastAsia="宋体"/>
                      <w:color w:val="auto"/>
                      <w:szCs w:val="21"/>
                      <w:lang w:val="en-US" w:eastAsia="zh-CN"/>
                    </w:rPr>
                  </w:pPr>
                  <w:r>
                    <w:rPr>
                      <w:rFonts w:hint="eastAsia"/>
                      <w:color w:val="auto"/>
                      <w:szCs w:val="21"/>
                      <w:lang w:val="en-US" w:eastAsia="zh-CN"/>
                    </w:rPr>
                    <w:t>0.81</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20B53F4">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15</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2AA5885">
                  <w:pPr>
                    <w:keepNext w:val="0"/>
                    <w:keepLines w:val="0"/>
                    <w:widowControl/>
                    <w:suppressLineNumbers w:val="0"/>
                    <w:jc w:val="center"/>
                    <w:textAlignment w:val="center"/>
                    <w:rPr>
                      <w:rFonts w:hint="default" w:eastAsia="宋体"/>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16.19 </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6D84899">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w:t>
                  </w:r>
                </w:p>
              </w:tc>
              <w:tc>
                <w:tcPr>
                  <w:tcW w:w="838"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14:paraId="2F112946">
                  <w:pPr>
                    <w:widowControl/>
                    <w:jc w:val="center"/>
                    <w:rPr>
                      <w:color w:val="auto"/>
                      <w:kern w:val="0"/>
                      <w:szCs w:val="21"/>
                    </w:rPr>
                  </w:pPr>
                  <w:r>
                    <w:rPr>
                      <w:color w:val="auto"/>
                      <w:kern w:val="0"/>
                      <w:szCs w:val="21"/>
                    </w:rPr>
                    <w:t>自来水</w:t>
                  </w:r>
                  <w:r>
                    <w:rPr>
                      <w:rFonts w:hint="eastAsia"/>
                      <w:color w:val="auto"/>
                      <w:kern w:val="0"/>
                      <w:szCs w:val="21"/>
                    </w:rPr>
                    <w:t>+</w:t>
                  </w:r>
                  <w:r>
                    <w:rPr>
                      <w:color w:val="auto"/>
                      <w:kern w:val="0"/>
                      <w:szCs w:val="21"/>
                    </w:rPr>
                    <w:t>除油剂</w:t>
                  </w:r>
                </w:p>
              </w:tc>
            </w:tr>
            <w:tr w14:paraId="5F21779C">
              <w:tblPrEx>
                <w:tblCellMar>
                  <w:top w:w="0" w:type="dxa"/>
                  <w:left w:w="0" w:type="dxa"/>
                  <w:bottom w:w="0" w:type="dxa"/>
                  <w:right w:w="0" w:type="dxa"/>
                </w:tblCellMar>
              </w:tblPrEx>
              <w:trPr>
                <w:trHeight w:val="367" w:hRule="atLeast"/>
              </w:trPr>
              <w:tc>
                <w:tcPr>
                  <w:tcW w:w="760" w:type="dxa"/>
                  <w:vMerge w:val="continue"/>
                  <w:tcBorders>
                    <w:left w:val="single" w:color="auto" w:sz="4" w:space="0"/>
                    <w:right w:val="single" w:color="auto" w:sz="4" w:space="0"/>
                  </w:tcBorders>
                  <w:tcMar>
                    <w:top w:w="15" w:type="dxa"/>
                    <w:left w:w="15" w:type="dxa"/>
                    <w:right w:w="15" w:type="dxa"/>
                  </w:tcMar>
                  <w:vAlign w:val="center"/>
                </w:tcPr>
                <w:p w14:paraId="3004896F">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764312D1">
                  <w:pPr>
                    <w:widowControl/>
                    <w:jc w:val="center"/>
                    <w:rPr>
                      <w:color w:val="auto"/>
                      <w:kern w:val="0"/>
                      <w:szCs w:val="21"/>
                    </w:rPr>
                  </w:pPr>
                  <w:r>
                    <w:rPr>
                      <w:rFonts w:hint="eastAsia"/>
                      <w:color w:val="auto"/>
                      <w:kern w:val="0"/>
                      <w:szCs w:val="21"/>
                    </w:rPr>
                    <w:t>主除油1</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7E55610C">
                  <w:pPr>
                    <w:widowControl/>
                    <w:jc w:val="center"/>
                    <w:rPr>
                      <w:color w:val="auto"/>
                      <w:kern w:val="0"/>
                      <w:szCs w:val="21"/>
                    </w:rPr>
                  </w:pPr>
                  <w:r>
                    <w:rPr>
                      <w:rFonts w:hint="eastAsia"/>
                      <w:color w:val="auto"/>
                      <w:kern w:val="0"/>
                      <w:szCs w:val="21"/>
                    </w:rPr>
                    <w:t>1</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258A4D4">
                  <w:pPr>
                    <w:widowControl/>
                    <w:jc w:val="center"/>
                    <w:rPr>
                      <w:color w:val="auto"/>
                      <w:kern w:val="0"/>
                      <w:szCs w:val="21"/>
                    </w:rPr>
                  </w:pPr>
                  <w:r>
                    <w:rPr>
                      <w:rFonts w:hint="eastAsia"/>
                      <w:color w:val="auto"/>
                      <w:kern w:val="0"/>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FE8404F">
                  <w:pPr>
                    <w:widowControl/>
                    <w:jc w:val="center"/>
                    <w:textAlignment w:val="center"/>
                    <w:rPr>
                      <w:color w:val="auto"/>
                      <w:kern w:val="0"/>
                      <w:szCs w:val="21"/>
                    </w:rPr>
                  </w:pPr>
                  <w:r>
                    <w:rPr>
                      <w:color w:val="auto"/>
                      <w:szCs w:val="21"/>
                    </w:rPr>
                    <w:t>2</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2CE0FFA">
                  <w:pPr>
                    <w:keepNext w:val="0"/>
                    <w:keepLines w:val="0"/>
                    <w:widowControl/>
                    <w:suppressLineNumbers w:val="0"/>
                    <w:jc w:val="center"/>
                    <w:textAlignment w:val="center"/>
                    <w:rPr>
                      <w:strike/>
                      <w:dstrike w:val="0"/>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D57A0D4">
                  <w:pPr>
                    <w:widowControl/>
                    <w:jc w:val="center"/>
                    <w:rPr>
                      <w:color w:val="auto"/>
                      <w:szCs w:val="21"/>
                    </w:rPr>
                  </w:pPr>
                  <w:r>
                    <w:rPr>
                      <w:rFonts w:hint="eastAsia"/>
                      <w:color w:val="auto"/>
                      <w:szCs w:val="21"/>
                      <w:lang w:val="en-US" w:eastAsia="zh-CN"/>
                    </w:rPr>
                    <w:t>0.81</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D46852C">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15</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CC30B23">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 xml:space="preserve">16.19 </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2E8E12F">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w:t>
                  </w:r>
                </w:p>
              </w:tc>
              <w:tc>
                <w:tcPr>
                  <w:tcW w:w="838"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14:paraId="01D44E1A">
                  <w:pPr>
                    <w:widowControl/>
                    <w:jc w:val="center"/>
                    <w:rPr>
                      <w:color w:val="auto"/>
                      <w:kern w:val="0"/>
                      <w:szCs w:val="21"/>
                    </w:rPr>
                  </w:pPr>
                </w:p>
              </w:tc>
            </w:tr>
            <w:tr w14:paraId="0C506BCB">
              <w:tblPrEx>
                <w:tblCellMar>
                  <w:top w:w="0" w:type="dxa"/>
                  <w:left w:w="0" w:type="dxa"/>
                  <w:bottom w:w="0" w:type="dxa"/>
                  <w:right w:w="0" w:type="dxa"/>
                </w:tblCellMar>
              </w:tblPrEx>
              <w:trPr>
                <w:trHeight w:val="367" w:hRule="atLeast"/>
              </w:trPr>
              <w:tc>
                <w:tcPr>
                  <w:tcW w:w="760" w:type="dxa"/>
                  <w:vMerge w:val="continue"/>
                  <w:tcBorders>
                    <w:left w:val="single" w:color="auto" w:sz="4" w:space="0"/>
                    <w:right w:val="single" w:color="auto" w:sz="4" w:space="0"/>
                  </w:tcBorders>
                  <w:tcMar>
                    <w:top w:w="15" w:type="dxa"/>
                    <w:left w:w="15" w:type="dxa"/>
                    <w:right w:w="15" w:type="dxa"/>
                  </w:tcMar>
                  <w:vAlign w:val="center"/>
                </w:tcPr>
                <w:p w14:paraId="2B3EEC38">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5FFEAFA7">
                  <w:pPr>
                    <w:widowControl/>
                    <w:jc w:val="center"/>
                    <w:rPr>
                      <w:color w:val="auto"/>
                      <w:kern w:val="0"/>
                      <w:szCs w:val="21"/>
                    </w:rPr>
                  </w:pPr>
                  <w:r>
                    <w:rPr>
                      <w:rFonts w:hint="eastAsia"/>
                      <w:color w:val="auto"/>
                      <w:kern w:val="0"/>
                      <w:szCs w:val="21"/>
                    </w:rPr>
                    <w:t>水洗1</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23E285F8">
                  <w:pPr>
                    <w:widowControl/>
                    <w:jc w:val="center"/>
                    <w:rPr>
                      <w:color w:val="auto"/>
                      <w:kern w:val="0"/>
                      <w:szCs w:val="21"/>
                    </w:rPr>
                  </w:pPr>
                  <w:r>
                    <w:rPr>
                      <w:rFonts w:hint="eastAsia"/>
                      <w:color w:val="auto"/>
                      <w:kern w:val="0"/>
                      <w:szCs w:val="21"/>
                    </w:rPr>
                    <w:t>1</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C2F716A">
                  <w:pPr>
                    <w:widowControl/>
                    <w:jc w:val="center"/>
                    <w:rPr>
                      <w:color w:val="auto"/>
                      <w:kern w:val="0"/>
                      <w:szCs w:val="21"/>
                    </w:rPr>
                  </w:pPr>
                  <w:r>
                    <w:rPr>
                      <w:rFonts w:hint="eastAsia"/>
                      <w:color w:val="auto"/>
                      <w:kern w:val="0"/>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74C5C79">
                  <w:pPr>
                    <w:keepNext w:val="0"/>
                    <w:keepLines w:val="0"/>
                    <w:widowControl/>
                    <w:suppressLineNumbers w:val="0"/>
                    <w:jc w:val="center"/>
                    <w:textAlignment w:val="center"/>
                    <w:rPr>
                      <w:color w:val="auto"/>
                      <w:kern w:val="0"/>
                      <w:szCs w:val="21"/>
                    </w:rPr>
                  </w:pPr>
                  <w:r>
                    <w:rPr>
                      <w:rFonts w:hint="eastAsia" w:cs="Times New Roman"/>
                      <w:i w:val="0"/>
                      <w:iCs w:val="0"/>
                      <w:color w:val="auto"/>
                      <w:kern w:val="0"/>
                      <w:sz w:val="21"/>
                      <w:szCs w:val="21"/>
                      <w:u w:val="none"/>
                      <w:lang w:val="en-US" w:eastAsia="zh-CN" w:bidi="ar"/>
                    </w:rPr>
                    <w:t>24</w:t>
                  </w:r>
                  <w:r>
                    <w:rPr>
                      <w:rFonts w:hint="default" w:ascii="Times New Roman" w:hAnsi="Times New Roman" w:eastAsia="宋体" w:cs="Times New Roman"/>
                      <w:i w:val="0"/>
                      <w:iCs w:val="0"/>
                      <w:color w:val="auto"/>
                      <w:kern w:val="0"/>
                      <w:sz w:val="21"/>
                      <w:szCs w:val="21"/>
                      <w:u w:val="none"/>
                      <w:lang w:val="en-US" w:eastAsia="zh-CN" w:bidi="ar"/>
                    </w:rPr>
                    <w:t>0</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0EC6D8A">
                  <w:pPr>
                    <w:keepNext w:val="0"/>
                    <w:keepLines w:val="0"/>
                    <w:widowControl/>
                    <w:suppressLineNumbers w:val="0"/>
                    <w:jc w:val="center"/>
                    <w:textAlignment w:val="center"/>
                    <w:rPr>
                      <w:strike/>
                      <w:dstrike w:val="0"/>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240</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835BD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42E35CD">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15</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8E78CA2">
                  <w:pPr>
                    <w:keepNext w:val="0"/>
                    <w:keepLines w:val="0"/>
                    <w:widowControl/>
                    <w:suppressLineNumbers w:val="0"/>
                    <w:jc w:val="center"/>
                    <w:textAlignment w:val="center"/>
                    <w:rPr>
                      <w:rFonts w:hint="default"/>
                      <w:color w:val="auto"/>
                      <w:kern w:val="0"/>
                      <w:szCs w:val="21"/>
                      <w:lang w:val="en-US"/>
                    </w:rPr>
                  </w:pPr>
                  <w:r>
                    <w:rPr>
                      <w:rFonts w:hint="default" w:ascii="Times New Roman" w:hAnsi="Times New Roman" w:eastAsia="宋体" w:cs="Times New Roman"/>
                      <w:i w:val="0"/>
                      <w:iCs w:val="0"/>
                      <w:color w:val="auto"/>
                      <w:kern w:val="0"/>
                      <w:sz w:val="21"/>
                      <w:szCs w:val="21"/>
                      <w:u w:val="none"/>
                      <w:lang w:val="en-US" w:eastAsia="zh-CN" w:bidi="ar"/>
                    </w:rPr>
                    <w:t>255</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5363E24">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240</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EF728DF">
                  <w:pPr>
                    <w:widowControl/>
                    <w:jc w:val="center"/>
                    <w:rPr>
                      <w:b/>
                      <w:bCs/>
                      <w:color w:val="auto"/>
                      <w:kern w:val="0"/>
                      <w:szCs w:val="21"/>
                    </w:rPr>
                  </w:pPr>
                  <w:r>
                    <w:rPr>
                      <w:rFonts w:hint="eastAsia"/>
                      <w:color w:val="auto"/>
                      <w:kern w:val="0"/>
                      <w:szCs w:val="21"/>
                    </w:rPr>
                    <w:t>自来水</w:t>
                  </w:r>
                </w:p>
              </w:tc>
            </w:tr>
            <w:tr w14:paraId="2291976F">
              <w:tblPrEx>
                <w:tblCellMar>
                  <w:top w:w="0" w:type="dxa"/>
                  <w:left w:w="0" w:type="dxa"/>
                  <w:bottom w:w="0" w:type="dxa"/>
                  <w:right w:w="0" w:type="dxa"/>
                </w:tblCellMar>
              </w:tblPrEx>
              <w:trPr>
                <w:trHeight w:val="572" w:hRule="atLeast"/>
              </w:trPr>
              <w:tc>
                <w:tcPr>
                  <w:tcW w:w="760" w:type="dxa"/>
                  <w:vMerge w:val="continue"/>
                  <w:tcBorders>
                    <w:left w:val="single" w:color="auto" w:sz="4" w:space="0"/>
                    <w:right w:val="single" w:color="auto" w:sz="4" w:space="0"/>
                  </w:tcBorders>
                  <w:tcMar>
                    <w:top w:w="15" w:type="dxa"/>
                    <w:left w:w="15" w:type="dxa"/>
                    <w:right w:w="15" w:type="dxa"/>
                  </w:tcMar>
                  <w:vAlign w:val="center"/>
                </w:tcPr>
                <w:p w14:paraId="5F1389E0">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40BF205A">
                  <w:pPr>
                    <w:widowControl/>
                    <w:jc w:val="center"/>
                    <w:rPr>
                      <w:color w:val="auto"/>
                      <w:kern w:val="0"/>
                      <w:szCs w:val="21"/>
                    </w:rPr>
                  </w:pPr>
                  <w:r>
                    <w:rPr>
                      <w:rFonts w:hint="eastAsia"/>
                      <w:color w:val="auto"/>
                      <w:kern w:val="0"/>
                      <w:szCs w:val="21"/>
                    </w:rPr>
                    <w:t>陶化1</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4E99AC42">
                  <w:pPr>
                    <w:widowControl/>
                    <w:jc w:val="center"/>
                    <w:rPr>
                      <w:color w:val="auto"/>
                      <w:kern w:val="0"/>
                      <w:szCs w:val="21"/>
                    </w:rPr>
                  </w:pPr>
                  <w:r>
                    <w:rPr>
                      <w:rFonts w:hint="eastAsia"/>
                      <w:color w:val="auto"/>
                      <w:szCs w:val="21"/>
                    </w:rPr>
                    <w:t>1</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8DC62FD">
                  <w:pPr>
                    <w:widowControl/>
                    <w:jc w:val="center"/>
                    <w:rPr>
                      <w:color w:val="auto"/>
                      <w:kern w:val="0"/>
                      <w:szCs w:val="21"/>
                    </w:rPr>
                  </w:pPr>
                  <w:r>
                    <w:rPr>
                      <w:rFonts w:hint="eastAsia"/>
                      <w:color w:val="auto"/>
                      <w:kern w:val="0"/>
                      <w:szCs w:val="21"/>
                      <w:lang w:val="en-US" w:eastAsia="zh-CN"/>
                    </w:rPr>
                    <w:t xml:space="preserve"> </w:t>
                  </w:r>
                  <w:r>
                    <w:rPr>
                      <w:rFonts w:hint="eastAsia"/>
                      <w:color w:val="auto"/>
                      <w:kern w:val="0"/>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926D265">
                  <w:pPr>
                    <w:widowControl/>
                    <w:jc w:val="center"/>
                    <w:textAlignment w:val="center"/>
                    <w:rPr>
                      <w:color w:val="auto"/>
                      <w:kern w:val="0"/>
                      <w:szCs w:val="21"/>
                    </w:rPr>
                  </w:pPr>
                  <w:r>
                    <w:rPr>
                      <w:color w:val="auto"/>
                      <w:szCs w:val="21"/>
                    </w:rPr>
                    <w:t>1</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C23BC2B">
                  <w:pPr>
                    <w:keepNext w:val="0"/>
                    <w:keepLines w:val="0"/>
                    <w:widowControl/>
                    <w:suppressLineNumbers w:val="0"/>
                    <w:jc w:val="center"/>
                    <w:textAlignment w:val="center"/>
                    <w:rPr>
                      <w:strike/>
                      <w:dstrike w:val="0"/>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1</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28D6A43">
                  <w:pPr>
                    <w:widowControl/>
                    <w:jc w:val="center"/>
                    <w:rPr>
                      <w:rFonts w:hint="default" w:eastAsia="宋体"/>
                      <w:color w:val="auto"/>
                      <w:szCs w:val="21"/>
                      <w:lang w:val="en-US" w:eastAsia="zh-CN"/>
                    </w:rPr>
                  </w:pPr>
                  <w:r>
                    <w:rPr>
                      <w:rFonts w:hint="eastAsia"/>
                      <w:color w:val="auto"/>
                      <w:szCs w:val="21"/>
                      <w:lang w:val="en-US" w:eastAsia="zh-CN"/>
                    </w:rPr>
                    <w:t>0.39</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4E6CD22">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15</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1BF6AC1">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 xml:space="preserve">15.61 </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E3EB54E">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1</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60C4BD1">
                  <w:pPr>
                    <w:widowControl/>
                    <w:jc w:val="center"/>
                    <w:rPr>
                      <w:color w:val="auto"/>
                      <w:kern w:val="0"/>
                      <w:szCs w:val="21"/>
                    </w:rPr>
                  </w:pPr>
                  <w:r>
                    <w:rPr>
                      <w:rFonts w:hint="eastAsia"/>
                      <w:color w:val="auto"/>
                      <w:kern w:val="0"/>
                      <w:szCs w:val="21"/>
                    </w:rPr>
                    <w:t>自来水+陶化剂</w:t>
                  </w:r>
                </w:p>
              </w:tc>
            </w:tr>
            <w:tr w14:paraId="79C9DB25">
              <w:tblPrEx>
                <w:tblCellMar>
                  <w:top w:w="0" w:type="dxa"/>
                  <w:left w:w="0" w:type="dxa"/>
                  <w:bottom w:w="0" w:type="dxa"/>
                  <w:right w:w="0" w:type="dxa"/>
                </w:tblCellMar>
              </w:tblPrEx>
              <w:trPr>
                <w:trHeight w:val="367" w:hRule="atLeast"/>
              </w:trPr>
              <w:tc>
                <w:tcPr>
                  <w:tcW w:w="760" w:type="dxa"/>
                  <w:vMerge w:val="continue"/>
                  <w:tcBorders>
                    <w:left w:val="single" w:color="auto" w:sz="4" w:space="0"/>
                    <w:bottom w:val="single" w:color="auto" w:sz="4" w:space="0"/>
                    <w:right w:val="single" w:color="auto" w:sz="4" w:space="0"/>
                  </w:tcBorders>
                  <w:tcMar>
                    <w:top w:w="15" w:type="dxa"/>
                    <w:left w:w="15" w:type="dxa"/>
                    <w:right w:w="15" w:type="dxa"/>
                  </w:tcMar>
                  <w:vAlign w:val="center"/>
                </w:tcPr>
                <w:p w14:paraId="6946DE22">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0D3BF0E1">
                  <w:pPr>
                    <w:widowControl/>
                    <w:jc w:val="center"/>
                    <w:rPr>
                      <w:color w:val="auto"/>
                      <w:kern w:val="0"/>
                      <w:szCs w:val="21"/>
                    </w:rPr>
                  </w:pPr>
                  <w:r>
                    <w:rPr>
                      <w:rFonts w:hint="eastAsia"/>
                      <w:color w:val="auto"/>
                      <w:kern w:val="0"/>
                      <w:szCs w:val="21"/>
                    </w:rPr>
                    <w:t>水洗2</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5D55194A">
                  <w:pPr>
                    <w:widowControl/>
                    <w:jc w:val="center"/>
                    <w:rPr>
                      <w:color w:val="auto"/>
                      <w:szCs w:val="21"/>
                    </w:rPr>
                  </w:pPr>
                  <w:r>
                    <w:rPr>
                      <w:rFonts w:hint="eastAsia"/>
                      <w:color w:val="auto"/>
                      <w:kern w:val="0"/>
                      <w:szCs w:val="21"/>
                    </w:rPr>
                    <w:t>1</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4ED4B79">
                  <w:pPr>
                    <w:widowControl/>
                    <w:jc w:val="center"/>
                    <w:rPr>
                      <w:color w:val="auto"/>
                      <w:szCs w:val="21"/>
                    </w:rPr>
                  </w:pPr>
                  <w:r>
                    <w:rPr>
                      <w:rFonts w:hint="eastAsia"/>
                      <w:color w:val="auto"/>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CA7266">
                  <w:pPr>
                    <w:keepNext w:val="0"/>
                    <w:keepLines w:val="0"/>
                    <w:widowControl/>
                    <w:suppressLineNumbers w:val="0"/>
                    <w:jc w:val="center"/>
                    <w:textAlignment w:val="center"/>
                    <w:rPr>
                      <w:color w:val="auto"/>
                      <w:szCs w:val="21"/>
                    </w:rPr>
                  </w:pPr>
                  <w:r>
                    <w:rPr>
                      <w:rFonts w:hint="eastAsia" w:cs="Times New Roman"/>
                      <w:i w:val="0"/>
                      <w:iCs w:val="0"/>
                      <w:color w:val="auto"/>
                      <w:kern w:val="0"/>
                      <w:sz w:val="21"/>
                      <w:szCs w:val="21"/>
                      <w:u w:val="none"/>
                      <w:lang w:val="en-US" w:eastAsia="zh-CN" w:bidi="ar"/>
                    </w:rPr>
                    <w:t>24</w:t>
                  </w:r>
                  <w:r>
                    <w:rPr>
                      <w:rFonts w:hint="default" w:ascii="Times New Roman" w:hAnsi="Times New Roman" w:eastAsia="宋体" w:cs="Times New Roman"/>
                      <w:i w:val="0"/>
                      <w:iCs w:val="0"/>
                      <w:color w:val="auto"/>
                      <w:kern w:val="0"/>
                      <w:sz w:val="21"/>
                      <w:szCs w:val="21"/>
                      <w:u w:val="none"/>
                      <w:lang w:val="en-US" w:eastAsia="zh-CN" w:bidi="ar"/>
                    </w:rPr>
                    <w:t>0</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BA8B38A">
                  <w:pPr>
                    <w:keepNext w:val="0"/>
                    <w:keepLines w:val="0"/>
                    <w:widowControl/>
                    <w:suppressLineNumbers w:val="0"/>
                    <w:jc w:val="center"/>
                    <w:textAlignment w:val="center"/>
                    <w:rPr>
                      <w:strike/>
                      <w:dstrike w:val="0"/>
                      <w:color w:val="auto"/>
                      <w:szCs w:val="21"/>
                    </w:rPr>
                  </w:pPr>
                  <w:r>
                    <w:rPr>
                      <w:rFonts w:hint="default" w:ascii="Times New Roman" w:hAnsi="Times New Roman" w:eastAsia="宋体" w:cs="Times New Roman"/>
                      <w:i w:val="0"/>
                      <w:iCs w:val="0"/>
                      <w:color w:val="auto"/>
                      <w:kern w:val="0"/>
                      <w:sz w:val="21"/>
                      <w:szCs w:val="21"/>
                      <w:u w:val="none"/>
                      <w:lang w:val="en-US" w:eastAsia="zh-CN" w:bidi="ar"/>
                    </w:rPr>
                    <w:t>240</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33D1A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4E7C0B3">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15</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E897F8F">
                  <w:pPr>
                    <w:keepNext w:val="0"/>
                    <w:keepLines w:val="0"/>
                    <w:widowControl/>
                    <w:suppressLineNumbers w:val="0"/>
                    <w:jc w:val="center"/>
                    <w:textAlignment w:val="center"/>
                    <w:rPr>
                      <w:rFonts w:hint="default"/>
                      <w:color w:val="auto"/>
                      <w:szCs w:val="21"/>
                      <w:lang w:val="en-US"/>
                    </w:rPr>
                  </w:pPr>
                  <w:r>
                    <w:rPr>
                      <w:rFonts w:hint="default" w:ascii="Times New Roman" w:hAnsi="Times New Roman" w:eastAsia="宋体" w:cs="Times New Roman"/>
                      <w:i w:val="0"/>
                      <w:iCs w:val="0"/>
                      <w:color w:val="auto"/>
                      <w:kern w:val="0"/>
                      <w:sz w:val="21"/>
                      <w:szCs w:val="21"/>
                      <w:u w:val="none"/>
                      <w:lang w:val="en-US" w:eastAsia="zh-CN" w:bidi="ar"/>
                    </w:rPr>
                    <w:t>255</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7BAC83C">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240</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7376F45">
                  <w:pPr>
                    <w:widowControl/>
                    <w:jc w:val="center"/>
                    <w:rPr>
                      <w:color w:val="auto"/>
                      <w:kern w:val="0"/>
                      <w:szCs w:val="21"/>
                    </w:rPr>
                  </w:pPr>
                  <w:r>
                    <w:rPr>
                      <w:rFonts w:hint="eastAsia"/>
                      <w:color w:val="auto"/>
                      <w:kern w:val="0"/>
                      <w:szCs w:val="21"/>
                    </w:rPr>
                    <w:t>自来水</w:t>
                  </w:r>
                </w:p>
              </w:tc>
            </w:tr>
            <w:tr w14:paraId="18DBE3F5">
              <w:tblPrEx>
                <w:tblCellMar>
                  <w:top w:w="0" w:type="dxa"/>
                  <w:left w:w="0" w:type="dxa"/>
                  <w:bottom w:w="0" w:type="dxa"/>
                  <w:right w:w="0" w:type="dxa"/>
                </w:tblCellMar>
              </w:tblPrEx>
              <w:trPr>
                <w:trHeight w:val="367" w:hRule="atLeast"/>
              </w:trPr>
              <w:tc>
                <w:tcPr>
                  <w:tcW w:w="760" w:type="dxa"/>
                  <w:vMerge w:val="restart"/>
                  <w:tcBorders>
                    <w:top w:val="single" w:color="auto" w:sz="4" w:space="0"/>
                    <w:left w:val="single" w:color="auto" w:sz="4" w:space="0"/>
                    <w:right w:val="single" w:color="auto" w:sz="4" w:space="0"/>
                  </w:tcBorders>
                  <w:tcMar>
                    <w:top w:w="15" w:type="dxa"/>
                    <w:left w:w="15" w:type="dxa"/>
                    <w:right w:w="15" w:type="dxa"/>
                  </w:tcMar>
                  <w:vAlign w:val="center"/>
                </w:tcPr>
                <w:p w14:paraId="280D1480">
                  <w:pPr>
                    <w:widowControl/>
                    <w:jc w:val="center"/>
                    <w:rPr>
                      <w:color w:val="auto"/>
                      <w:kern w:val="0"/>
                      <w:szCs w:val="21"/>
                    </w:rPr>
                  </w:pPr>
                  <w:r>
                    <w:rPr>
                      <w:rFonts w:hint="eastAsia"/>
                      <w:color w:val="auto"/>
                      <w:lang w:val="en-US" w:eastAsia="zh-CN"/>
                    </w:rPr>
                    <w:t>手</w:t>
                  </w:r>
                  <w:r>
                    <w:rPr>
                      <w:rFonts w:hint="eastAsia"/>
                      <w:color w:val="auto"/>
                    </w:rPr>
                    <w:t>动前处理线</w:t>
                  </w:r>
                </w:p>
              </w:tc>
              <w:tc>
                <w:tcPr>
                  <w:tcW w:w="760" w:type="dxa"/>
                  <w:tcBorders>
                    <w:top w:val="single" w:color="auto" w:sz="4" w:space="0"/>
                    <w:left w:val="single" w:color="auto" w:sz="4" w:space="0"/>
                    <w:bottom w:val="single" w:color="auto" w:sz="4" w:space="0"/>
                    <w:right w:val="single" w:color="auto" w:sz="4" w:space="0"/>
                  </w:tcBorders>
                  <w:vAlign w:val="center"/>
                </w:tcPr>
                <w:p w14:paraId="38C4F3AD">
                  <w:pPr>
                    <w:widowControl/>
                    <w:jc w:val="center"/>
                    <w:rPr>
                      <w:color w:val="auto"/>
                      <w:kern w:val="0"/>
                      <w:szCs w:val="21"/>
                    </w:rPr>
                  </w:pPr>
                  <w:r>
                    <w:rPr>
                      <w:color w:val="auto"/>
                      <w:kern w:val="0"/>
                      <w:szCs w:val="21"/>
                    </w:rPr>
                    <w:t>预除油</w:t>
                  </w:r>
                  <w:r>
                    <w:rPr>
                      <w:rFonts w:hint="eastAsia"/>
                      <w:color w:val="auto"/>
                      <w:kern w:val="0"/>
                      <w:szCs w:val="21"/>
                    </w:rPr>
                    <w:t>a</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22B38893">
                  <w:pPr>
                    <w:widowControl/>
                    <w:jc w:val="center"/>
                    <w:rPr>
                      <w:rFonts w:hint="eastAsia" w:eastAsia="宋体"/>
                      <w:color w:val="auto"/>
                      <w:szCs w:val="21"/>
                      <w:lang w:eastAsia="zh-CN"/>
                    </w:rPr>
                  </w:pPr>
                  <w:r>
                    <w:rPr>
                      <w:rFonts w:hint="eastAsia"/>
                      <w:color w:val="auto"/>
                      <w:kern w:val="0"/>
                      <w:szCs w:val="21"/>
                    </w:rPr>
                    <w:t>1.</w:t>
                  </w:r>
                  <w:r>
                    <w:rPr>
                      <w:rFonts w:hint="eastAsia"/>
                      <w:color w:val="auto"/>
                      <w:kern w:val="0"/>
                      <w:szCs w:val="21"/>
                      <w:lang w:val="en-US" w:eastAsia="zh-CN"/>
                    </w:rPr>
                    <w:t>8</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6A703A4">
                  <w:pPr>
                    <w:widowControl/>
                    <w:jc w:val="center"/>
                    <w:rPr>
                      <w:color w:val="auto"/>
                      <w:szCs w:val="21"/>
                    </w:rPr>
                  </w:pPr>
                  <w:r>
                    <w:rPr>
                      <w:color w:val="auto"/>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4EE36DE">
                  <w:pPr>
                    <w:widowControl/>
                    <w:jc w:val="center"/>
                    <w:textAlignment w:val="center"/>
                    <w:rPr>
                      <w:color w:val="auto"/>
                      <w:szCs w:val="21"/>
                    </w:rPr>
                  </w:pPr>
                  <w:r>
                    <w:rPr>
                      <w:color w:val="auto"/>
                      <w:szCs w:val="21"/>
                    </w:rPr>
                    <w:t>2</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B3AB8D8">
                  <w:pPr>
                    <w:keepNext w:val="0"/>
                    <w:keepLines w:val="0"/>
                    <w:widowControl/>
                    <w:suppressLineNumbers w:val="0"/>
                    <w:jc w:val="center"/>
                    <w:textAlignment w:val="center"/>
                    <w:rPr>
                      <w:strike/>
                      <w:dstrike w:val="0"/>
                      <w:color w:val="auto"/>
                      <w:szCs w:val="21"/>
                    </w:rPr>
                  </w:pPr>
                  <w:r>
                    <w:rPr>
                      <w:rFonts w:hint="default" w:ascii="Times New Roman" w:hAnsi="Times New Roman" w:eastAsia="宋体" w:cs="Times New Roman"/>
                      <w:i w:val="0"/>
                      <w:iCs w:val="0"/>
                      <w:color w:val="auto"/>
                      <w:kern w:val="0"/>
                      <w:sz w:val="21"/>
                      <w:szCs w:val="21"/>
                      <w:u w:val="none"/>
                      <w:lang w:val="en-US" w:eastAsia="zh-CN" w:bidi="ar"/>
                    </w:rPr>
                    <w:t>3.6</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7796B26">
                  <w:pPr>
                    <w:widowControl/>
                    <w:jc w:val="center"/>
                    <w:textAlignment w:val="center"/>
                    <w:rPr>
                      <w:rFonts w:hint="default" w:eastAsia="宋体"/>
                      <w:color w:val="auto"/>
                      <w:szCs w:val="21"/>
                      <w:lang w:val="en-US" w:eastAsia="zh-CN"/>
                    </w:rPr>
                  </w:pPr>
                  <w:r>
                    <w:rPr>
                      <w:rFonts w:hint="eastAsia"/>
                      <w:color w:val="auto"/>
                      <w:szCs w:val="21"/>
                      <w:lang w:val="en-US" w:eastAsia="zh-CN"/>
                    </w:rPr>
                    <w:t>1.46</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E170955">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27</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3A01BA9">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 xml:space="preserve">29.14 </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22ED262">
                  <w:pPr>
                    <w:keepNext w:val="0"/>
                    <w:keepLines w:val="0"/>
                    <w:widowControl/>
                    <w:suppressLineNumbers w:val="0"/>
                    <w:jc w:val="center"/>
                    <w:textAlignment w:val="center"/>
                    <w:rPr>
                      <w:color w:val="auto"/>
                      <w:szCs w:val="21"/>
                    </w:rPr>
                  </w:pPr>
                  <w:r>
                    <w:rPr>
                      <w:rFonts w:hint="default" w:ascii="Times New Roman" w:hAnsi="Times New Roman" w:eastAsia="宋体" w:cs="Times New Roman"/>
                      <w:i w:val="0"/>
                      <w:iCs w:val="0"/>
                      <w:color w:val="auto"/>
                      <w:kern w:val="0"/>
                      <w:sz w:val="21"/>
                      <w:szCs w:val="21"/>
                      <w:u w:val="none"/>
                      <w:lang w:val="en-US" w:eastAsia="zh-CN" w:bidi="ar"/>
                    </w:rPr>
                    <w:t>3.6</w:t>
                  </w:r>
                </w:p>
              </w:tc>
              <w:tc>
                <w:tcPr>
                  <w:tcW w:w="838" w:type="dxa"/>
                  <w:vMerge w:val="restart"/>
                  <w:tcBorders>
                    <w:top w:val="single" w:color="000000" w:sz="4" w:space="0"/>
                    <w:left w:val="single" w:color="000000" w:sz="4" w:space="0"/>
                    <w:right w:val="single" w:color="000000" w:sz="4" w:space="0"/>
                  </w:tcBorders>
                  <w:noWrap/>
                  <w:tcMar>
                    <w:top w:w="15" w:type="dxa"/>
                    <w:left w:w="15" w:type="dxa"/>
                    <w:right w:w="15" w:type="dxa"/>
                  </w:tcMar>
                  <w:vAlign w:val="center"/>
                </w:tcPr>
                <w:p w14:paraId="6169AA1A">
                  <w:pPr>
                    <w:widowControl/>
                    <w:jc w:val="center"/>
                    <w:rPr>
                      <w:color w:val="auto"/>
                      <w:kern w:val="0"/>
                      <w:szCs w:val="21"/>
                    </w:rPr>
                  </w:pPr>
                  <w:r>
                    <w:rPr>
                      <w:color w:val="auto"/>
                      <w:kern w:val="0"/>
                      <w:szCs w:val="21"/>
                    </w:rPr>
                    <w:t>自来水</w:t>
                  </w:r>
                  <w:r>
                    <w:rPr>
                      <w:rFonts w:hint="eastAsia"/>
                      <w:color w:val="auto"/>
                      <w:kern w:val="0"/>
                      <w:szCs w:val="21"/>
                    </w:rPr>
                    <w:t>+</w:t>
                  </w:r>
                  <w:r>
                    <w:rPr>
                      <w:color w:val="auto"/>
                      <w:kern w:val="0"/>
                      <w:szCs w:val="21"/>
                    </w:rPr>
                    <w:t>除油剂</w:t>
                  </w:r>
                </w:p>
              </w:tc>
            </w:tr>
            <w:tr w14:paraId="6C3F629F">
              <w:tblPrEx>
                <w:tblCellMar>
                  <w:top w:w="0" w:type="dxa"/>
                  <w:left w:w="0" w:type="dxa"/>
                  <w:bottom w:w="0" w:type="dxa"/>
                  <w:right w:w="0" w:type="dxa"/>
                </w:tblCellMar>
              </w:tblPrEx>
              <w:trPr>
                <w:trHeight w:val="367" w:hRule="atLeast"/>
              </w:trPr>
              <w:tc>
                <w:tcPr>
                  <w:tcW w:w="760" w:type="dxa"/>
                  <w:vMerge w:val="continue"/>
                  <w:tcBorders>
                    <w:left w:val="single" w:color="auto" w:sz="4" w:space="0"/>
                    <w:right w:val="single" w:color="auto" w:sz="4" w:space="0"/>
                  </w:tcBorders>
                  <w:tcMar>
                    <w:top w:w="15" w:type="dxa"/>
                    <w:left w:w="15" w:type="dxa"/>
                    <w:right w:w="15" w:type="dxa"/>
                  </w:tcMar>
                  <w:vAlign w:val="center"/>
                </w:tcPr>
                <w:p w14:paraId="65C8BAC8">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2092E7C5">
                  <w:pPr>
                    <w:widowControl/>
                    <w:jc w:val="center"/>
                    <w:rPr>
                      <w:color w:val="auto"/>
                      <w:kern w:val="0"/>
                      <w:szCs w:val="21"/>
                    </w:rPr>
                  </w:pPr>
                  <w:r>
                    <w:rPr>
                      <w:rFonts w:hint="eastAsia"/>
                      <w:color w:val="auto"/>
                      <w:kern w:val="0"/>
                      <w:szCs w:val="21"/>
                    </w:rPr>
                    <w:t>除油a</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1493B95A">
                  <w:pPr>
                    <w:widowControl/>
                    <w:jc w:val="center"/>
                    <w:rPr>
                      <w:rFonts w:hint="eastAsia" w:eastAsia="宋体"/>
                      <w:color w:val="auto"/>
                      <w:kern w:val="0"/>
                      <w:szCs w:val="21"/>
                      <w:lang w:eastAsia="zh-CN"/>
                    </w:rPr>
                  </w:pPr>
                  <w:r>
                    <w:rPr>
                      <w:rFonts w:hint="eastAsia"/>
                      <w:color w:val="auto"/>
                      <w:kern w:val="0"/>
                      <w:szCs w:val="21"/>
                    </w:rPr>
                    <w:t>1.</w:t>
                  </w:r>
                  <w:r>
                    <w:rPr>
                      <w:rFonts w:hint="eastAsia"/>
                      <w:color w:val="auto"/>
                      <w:kern w:val="0"/>
                      <w:szCs w:val="21"/>
                      <w:lang w:val="en-US" w:eastAsia="zh-CN"/>
                    </w:rPr>
                    <w:t>8</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A9DC193">
                  <w:pPr>
                    <w:widowControl/>
                    <w:jc w:val="center"/>
                    <w:rPr>
                      <w:color w:val="auto"/>
                      <w:szCs w:val="21"/>
                    </w:rPr>
                  </w:pPr>
                  <w:r>
                    <w:rPr>
                      <w:color w:val="auto"/>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4458BA3">
                  <w:pPr>
                    <w:widowControl/>
                    <w:jc w:val="center"/>
                    <w:textAlignment w:val="center"/>
                    <w:rPr>
                      <w:color w:val="auto"/>
                      <w:szCs w:val="21"/>
                    </w:rPr>
                  </w:pPr>
                  <w:r>
                    <w:rPr>
                      <w:color w:val="auto"/>
                      <w:szCs w:val="21"/>
                    </w:rPr>
                    <w:t>2</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6CC697E">
                  <w:pPr>
                    <w:keepNext w:val="0"/>
                    <w:keepLines w:val="0"/>
                    <w:widowControl/>
                    <w:suppressLineNumbers w:val="0"/>
                    <w:jc w:val="center"/>
                    <w:textAlignment w:val="center"/>
                    <w:rPr>
                      <w:strike/>
                      <w:dstrike w:val="0"/>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3.6</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381CB67">
                  <w:pPr>
                    <w:widowControl/>
                    <w:jc w:val="center"/>
                    <w:textAlignment w:val="center"/>
                    <w:rPr>
                      <w:rFonts w:hint="default" w:eastAsia="宋体"/>
                      <w:color w:val="auto"/>
                      <w:szCs w:val="21"/>
                      <w:lang w:val="en-US" w:eastAsia="zh-CN"/>
                    </w:rPr>
                  </w:pPr>
                  <w:r>
                    <w:rPr>
                      <w:rFonts w:hint="eastAsia"/>
                      <w:color w:val="auto"/>
                      <w:szCs w:val="21"/>
                      <w:lang w:val="en-US" w:eastAsia="zh-CN"/>
                    </w:rPr>
                    <w:t>1.46</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480FB67">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27</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3A8ABD9">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 xml:space="preserve">29.14 </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B4787C2">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3.6</w:t>
                  </w:r>
                </w:p>
              </w:tc>
              <w:tc>
                <w:tcPr>
                  <w:tcW w:w="838" w:type="dxa"/>
                  <w:vMerge w:val="continue"/>
                  <w:tcBorders>
                    <w:left w:val="single" w:color="000000" w:sz="4" w:space="0"/>
                    <w:bottom w:val="single" w:color="000000" w:sz="4" w:space="0"/>
                    <w:right w:val="single" w:color="000000" w:sz="4" w:space="0"/>
                  </w:tcBorders>
                  <w:noWrap/>
                  <w:tcMar>
                    <w:top w:w="15" w:type="dxa"/>
                    <w:left w:w="15" w:type="dxa"/>
                    <w:right w:w="15" w:type="dxa"/>
                  </w:tcMar>
                  <w:vAlign w:val="center"/>
                </w:tcPr>
                <w:p w14:paraId="1F69C50D">
                  <w:pPr>
                    <w:widowControl/>
                    <w:jc w:val="center"/>
                    <w:rPr>
                      <w:color w:val="auto"/>
                      <w:kern w:val="0"/>
                      <w:szCs w:val="21"/>
                    </w:rPr>
                  </w:pPr>
                </w:p>
              </w:tc>
            </w:tr>
            <w:tr w14:paraId="23E6CDAD">
              <w:tblPrEx>
                <w:tblCellMar>
                  <w:top w:w="0" w:type="dxa"/>
                  <w:left w:w="0" w:type="dxa"/>
                  <w:bottom w:w="0" w:type="dxa"/>
                  <w:right w:w="0" w:type="dxa"/>
                </w:tblCellMar>
              </w:tblPrEx>
              <w:trPr>
                <w:trHeight w:val="367" w:hRule="atLeast"/>
              </w:trPr>
              <w:tc>
                <w:tcPr>
                  <w:tcW w:w="760" w:type="dxa"/>
                  <w:vMerge w:val="continue"/>
                  <w:tcBorders>
                    <w:left w:val="single" w:color="auto" w:sz="4" w:space="0"/>
                    <w:right w:val="single" w:color="auto" w:sz="4" w:space="0"/>
                  </w:tcBorders>
                  <w:tcMar>
                    <w:top w:w="15" w:type="dxa"/>
                    <w:left w:w="15" w:type="dxa"/>
                    <w:right w:w="15" w:type="dxa"/>
                  </w:tcMar>
                  <w:vAlign w:val="center"/>
                </w:tcPr>
                <w:p w14:paraId="63644135">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75430CEC">
                  <w:pPr>
                    <w:widowControl/>
                    <w:jc w:val="center"/>
                    <w:rPr>
                      <w:color w:val="auto"/>
                      <w:kern w:val="0"/>
                      <w:szCs w:val="21"/>
                    </w:rPr>
                  </w:pPr>
                  <w:r>
                    <w:rPr>
                      <w:rFonts w:hint="eastAsia"/>
                      <w:color w:val="auto"/>
                      <w:kern w:val="0"/>
                      <w:szCs w:val="21"/>
                    </w:rPr>
                    <w:t>水洗</w:t>
                  </w:r>
                  <w:r>
                    <w:rPr>
                      <w:color w:val="auto"/>
                      <w:kern w:val="0"/>
                      <w:szCs w:val="21"/>
                    </w:rPr>
                    <w:t>a</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04D9AB00">
                  <w:pPr>
                    <w:widowControl/>
                    <w:jc w:val="center"/>
                    <w:rPr>
                      <w:rFonts w:hint="eastAsia" w:eastAsia="宋体"/>
                      <w:color w:val="auto"/>
                      <w:kern w:val="0"/>
                      <w:szCs w:val="21"/>
                      <w:lang w:eastAsia="zh-CN"/>
                    </w:rPr>
                  </w:pPr>
                  <w:r>
                    <w:rPr>
                      <w:rFonts w:hint="eastAsia"/>
                      <w:color w:val="auto"/>
                      <w:kern w:val="0"/>
                      <w:szCs w:val="21"/>
                    </w:rPr>
                    <w:t>1.</w:t>
                  </w:r>
                  <w:r>
                    <w:rPr>
                      <w:rFonts w:hint="eastAsia"/>
                      <w:color w:val="auto"/>
                      <w:kern w:val="0"/>
                      <w:szCs w:val="21"/>
                      <w:lang w:val="en-US" w:eastAsia="zh-CN"/>
                    </w:rPr>
                    <w:t>8</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1B694CD">
                  <w:pPr>
                    <w:widowControl/>
                    <w:jc w:val="center"/>
                    <w:rPr>
                      <w:color w:val="auto"/>
                      <w:szCs w:val="21"/>
                    </w:rPr>
                  </w:pPr>
                  <w:r>
                    <w:rPr>
                      <w:color w:val="auto"/>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7B8289C">
                  <w:pPr>
                    <w:widowControl/>
                    <w:jc w:val="center"/>
                    <w:textAlignment w:val="center"/>
                    <w:rPr>
                      <w:rFonts w:hint="default" w:eastAsia="宋体"/>
                      <w:color w:val="auto"/>
                      <w:szCs w:val="21"/>
                      <w:lang w:val="en-US" w:eastAsia="zh-CN"/>
                    </w:rPr>
                  </w:pPr>
                  <w:r>
                    <w:rPr>
                      <w:rFonts w:hint="eastAsia"/>
                      <w:color w:val="auto"/>
                      <w:szCs w:val="21"/>
                      <w:lang w:val="en-US" w:eastAsia="zh-CN"/>
                    </w:rPr>
                    <w:t>12</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94203A6">
                  <w:pPr>
                    <w:keepNext w:val="0"/>
                    <w:keepLines w:val="0"/>
                    <w:widowControl/>
                    <w:suppressLineNumbers w:val="0"/>
                    <w:jc w:val="center"/>
                    <w:textAlignment w:val="center"/>
                    <w:rPr>
                      <w:rFonts w:hint="default" w:eastAsia="宋体"/>
                      <w:strike/>
                      <w:dstrike w:val="0"/>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21.6</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5227278">
                  <w:pPr>
                    <w:widowControl/>
                    <w:jc w:val="center"/>
                    <w:textAlignment w:val="center"/>
                    <w:rPr>
                      <w:rFonts w:hint="default"/>
                      <w:color w:val="auto"/>
                      <w:szCs w:val="21"/>
                      <w:lang w:val="en-US" w:eastAsia="zh-CN"/>
                    </w:rPr>
                  </w:pPr>
                  <w:r>
                    <w:rPr>
                      <w:rFonts w:hint="eastAsia"/>
                      <w:color w:val="auto"/>
                      <w:szCs w:val="21"/>
                      <w:lang w:val="en-US" w:eastAsia="zh-CN"/>
                    </w:rPr>
                    <w:t>/</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54A75D4">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27</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AD029F2">
                  <w:pPr>
                    <w:keepNext w:val="0"/>
                    <w:keepLines w:val="0"/>
                    <w:widowControl/>
                    <w:suppressLineNumbers w:val="0"/>
                    <w:jc w:val="center"/>
                    <w:textAlignment w:val="center"/>
                    <w:rPr>
                      <w:rFonts w:hint="default" w:eastAsia="宋体"/>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48.6</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0A569A2">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21.6</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127C29E">
                  <w:pPr>
                    <w:widowControl/>
                    <w:jc w:val="center"/>
                    <w:rPr>
                      <w:color w:val="auto"/>
                      <w:kern w:val="0"/>
                      <w:szCs w:val="21"/>
                    </w:rPr>
                  </w:pPr>
                  <w:r>
                    <w:rPr>
                      <w:rFonts w:hint="eastAsia"/>
                      <w:color w:val="auto"/>
                      <w:kern w:val="0"/>
                      <w:szCs w:val="21"/>
                    </w:rPr>
                    <w:t>自来水</w:t>
                  </w:r>
                </w:p>
              </w:tc>
            </w:tr>
            <w:tr w14:paraId="4100B485">
              <w:tblPrEx>
                <w:tblCellMar>
                  <w:top w:w="0" w:type="dxa"/>
                  <w:left w:w="0" w:type="dxa"/>
                  <w:bottom w:w="0" w:type="dxa"/>
                  <w:right w:w="0" w:type="dxa"/>
                </w:tblCellMar>
              </w:tblPrEx>
              <w:trPr>
                <w:trHeight w:val="572" w:hRule="atLeast"/>
              </w:trPr>
              <w:tc>
                <w:tcPr>
                  <w:tcW w:w="760" w:type="dxa"/>
                  <w:vMerge w:val="continue"/>
                  <w:tcBorders>
                    <w:left w:val="single" w:color="auto" w:sz="4" w:space="0"/>
                    <w:right w:val="single" w:color="auto" w:sz="4" w:space="0"/>
                  </w:tcBorders>
                  <w:tcMar>
                    <w:top w:w="15" w:type="dxa"/>
                    <w:left w:w="15" w:type="dxa"/>
                    <w:right w:w="15" w:type="dxa"/>
                  </w:tcMar>
                  <w:vAlign w:val="center"/>
                </w:tcPr>
                <w:p w14:paraId="0D15D061">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41D69C09">
                  <w:pPr>
                    <w:widowControl/>
                    <w:jc w:val="center"/>
                    <w:rPr>
                      <w:color w:val="auto"/>
                      <w:kern w:val="0"/>
                      <w:szCs w:val="21"/>
                    </w:rPr>
                  </w:pPr>
                  <w:r>
                    <w:rPr>
                      <w:rFonts w:hint="eastAsia"/>
                      <w:color w:val="auto"/>
                      <w:kern w:val="0"/>
                      <w:szCs w:val="21"/>
                    </w:rPr>
                    <w:t>陶化a</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0F202AFF">
                  <w:pPr>
                    <w:widowControl/>
                    <w:jc w:val="center"/>
                    <w:rPr>
                      <w:rFonts w:hint="eastAsia" w:eastAsia="宋体"/>
                      <w:color w:val="auto"/>
                      <w:kern w:val="0"/>
                      <w:szCs w:val="21"/>
                      <w:lang w:eastAsia="zh-CN"/>
                    </w:rPr>
                  </w:pPr>
                  <w:r>
                    <w:rPr>
                      <w:rFonts w:hint="eastAsia"/>
                      <w:color w:val="auto"/>
                      <w:kern w:val="0"/>
                      <w:szCs w:val="21"/>
                    </w:rPr>
                    <w:t>1.</w:t>
                  </w:r>
                  <w:r>
                    <w:rPr>
                      <w:rFonts w:hint="eastAsia"/>
                      <w:color w:val="auto"/>
                      <w:kern w:val="0"/>
                      <w:szCs w:val="21"/>
                      <w:lang w:val="en-US" w:eastAsia="zh-CN"/>
                    </w:rPr>
                    <w:t>8</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11FE175">
                  <w:pPr>
                    <w:widowControl/>
                    <w:jc w:val="center"/>
                    <w:rPr>
                      <w:color w:val="auto"/>
                      <w:szCs w:val="21"/>
                    </w:rPr>
                  </w:pPr>
                  <w:r>
                    <w:rPr>
                      <w:color w:val="auto"/>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96258D6">
                  <w:pPr>
                    <w:widowControl/>
                    <w:jc w:val="center"/>
                    <w:textAlignment w:val="center"/>
                    <w:rPr>
                      <w:color w:val="auto"/>
                      <w:szCs w:val="21"/>
                    </w:rPr>
                  </w:pPr>
                  <w:r>
                    <w:rPr>
                      <w:color w:val="auto"/>
                      <w:szCs w:val="21"/>
                    </w:rPr>
                    <w:t>1</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6C90926">
                  <w:pPr>
                    <w:keepNext w:val="0"/>
                    <w:keepLines w:val="0"/>
                    <w:widowControl/>
                    <w:suppressLineNumbers w:val="0"/>
                    <w:jc w:val="center"/>
                    <w:textAlignment w:val="center"/>
                    <w:rPr>
                      <w:strike/>
                      <w:dstrike w:val="0"/>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1.8</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E683133">
                  <w:pPr>
                    <w:widowControl/>
                    <w:jc w:val="center"/>
                    <w:textAlignment w:val="center"/>
                    <w:rPr>
                      <w:rFonts w:hint="default" w:eastAsia="宋体"/>
                      <w:color w:val="auto"/>
                      <w:szCs w:val="21"/>
                      <w:lang w:val="en-US" w:eastAsia="zh-CN"/>
                    </w:rPr>
                  </w:pPr>
                  <w:r>
                    <w:rPr>
                      <w:rFonts w:hint="eastAsia"/>
                      <w:color w:val="auto"/>
                      <w:szCs w:val="21"/>
                      <w:lang w:val="en-US" w:eastAsia="zh-CN"/>
                    </w:rPr>
                    <w:t>0.7</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2CEA609">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27</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BB7C587">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 xml:space="preserve">28.10 </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D55BC53">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1.8</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58A76F8">
                  <w:pPr>
                    <w:widowControl/>
                    <w:jc w:val="center"/>
                    <w:rPr>
                      <w:color w:val="auto"/>
                      <w:kern w:val="0"/>
                      <w:szCs w:val="21"/>
                    </w:rPr>
                  </w:pPr>
                  <w:r>
                    <w:rPr>
                      <w:rFonts w:hint="eastAsia"/>
                      <w:color w:val="auto"/>
                      <w:kern w:val="0"/>
                      <w:szCs w:val="21"/>
                    </w:rPr>
                    <w:t>自来水+陶化剂</w:t>
                  </w:r>
                </w:p>
              </w:tc>
            </w:tr>
            <w:tr w14:paraId="6EE08541">
              <w:tblPrEx>
                <w:tblCellMar>
                  <w:top w:w="0" w:type="dxa"/>
                  <w:left w:w="0" w:type="dxa"/>
                  <w:bottom w:w="0" w:type="dxa"/>
                  <w:right w:w="0" w:type="dxa"/>
                </w:tblCellMar>
              </w:tblPrEx>
              <w:trPr>
                <w:trHeight w:val="367" w:hRule="atLeast"/>
              </w:trPr>
              <w:tc>
                <w:tcPr>
                  <w:tcW w:w="760" w:type="dxa"/>
                  <w:vMerge w:val="continue"/>
                  <w:tcBorders>
                    <w:left w:val="single" w:color="auto" w:sz="4" w:space="0"/>
                    <w:right w:val="single" w:color="auto" w:sz="4" w:space="0"/>
                  </w:tcBorders>
                  <w:tcMar>
                    <w:top w:w="15" w:type="dxa"/>
                    <w:left w:w="15" w:type="dxa"/>
                    <w:right w:w="15" w:type="dxa"/>
                  </w:tcMar>
                  <w:vAlign w:val="center"/>
                </w:tcPr>
                <w:p w14:paraId="4FDACA0B">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19031288">
                  <w:pPr>
                    <w:widowControl/>
                    <w:jc w:val="center"/>
                    <w:rPr>
                      <w:color w:val="auto"/>
                      <w:kern w:val="0"/>
                      <w:szCs w:val="21"/>
                    </w:rPr>
                  </w:pPr>
                  <w:r>
                    <w:rPr>
                      <w:rFonts w:hint="eastAsia"/>
                      <w:color w:val="auto"/>
                      <w:kern w:val="0"/>
                      <w:szCs w:val="21"/>
                    </w:rPr>
                    <w:t>水洗b</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49B615FB">
                  <w:pPr>
                    <w:widowControl/>
                    <w:jc w:val="center"/>
                    <w:rPr>
                      <w:rFonts w:hint="eastAsia" w:eastAsia="宋体"/>
                      <w:color w:val="auto"/>
                      <w:kern w:val="0"/>
                      <w:szCs w:val="21"/>
                      <w:lang w:eastAsia="zh-CN"/>
                    </w:rPr>
                  </w:pPr>
                  <w:r>
                    <w:rPr>
                      <w:rFonts w:hint="eastAsia"/>
                      <w:color w:val="auto"/>
                      <w:kern w:val="0"/>
                      <w:szCs w:val="21"/>
                    </w:rPr>
                    <w:t>1.</w:t>
                  </w:r>
                  <w:r>
                    <w:rPr>
                      <w:rFonts w:hint="eastAsia"/>
                      <w:color w:val="auto"/>
                      <w:kern w:val="0"/>
                      <w:szCs w:val="21"/>
                      <w:lang w:val="en-US" w:eastAsia="zh-CN"/>
                    </w:rPr>
                    <w:t>8</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CEBD217">
                  <w:pPr>
                    <w:widowControl/>
                    <w:jc w:val="center"/>
                    <w:rPr>
                      <w:color w:val="auto"/>
                      <w:szCs w:val="21"/>
                    </w:rPr>
                  </w:pPr>
                  <w:r>
                    <w:rPr>
                      <w:color w:val="auto"/>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04121FEB">
                  <w:pPr>
                    <w:widowControl/>
                    <w:jc w:val="center"/>
                    <w:textAlignment w:val="center"/>
                    <w:rPr>
                      <w:rFonts w:hint="default" w:eastAsia="宋体"/>
                      <w:color w:val="auto"/>
                      <w:szCs w:val="21"/>
                      <w:lang w:val="en-US" w:eastAsia="zh-CN"/>
                    </w:rPr>
                  </w:pPr>
                  <w:r>
                    <w:rPr>
                      <w:rFonts w:hint="eastAsia"/>
                      <w:color w:val="auto"/>
                      <w:szCs w:val="21"/>
                      <w:lang w:val="en-US" w:eastAsia="zh-CN"/>
                    </w:rPr>
                    <w:t>12</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B7D364F">
                  <w:pPr>
                    <w:keepNext w:val="0"/>
                    <w:keepLines w:val="0"/>
                    <w:widowControl/>
                    <w:suppressLineNumbers w:val="0"/>
                    <w:jc w:val="center"/>
                    <w:textAlignment w:val="center"/>
                    <w:rPr>
                      <w:rFonts w:hint="default" w:eastAsia="宋体"/>
                      <w:strike/>
                      <w:dstrike w:val="0"/>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21.6</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2556502">
                  <w:pPr>
                    <w:widowControl/>
                    <w:jc w:val="center"/>
                    <w:textAlignment w:val="center"/>
                    <w:rPr>
                      <w:rFonts w:hint="default"/>
                      <w:color w:val="auto"/>
                      <w:szCs w:val="21"/>
                      <w:lang w:val="en-US" w:eastAsia="zh-CN"/>
                    </w:rPr>
                  </w:pPr>
                  <w:r>
                    <w:rPr>
                      <w:rFonts w:hint="eastAsia"/>
                      <w:color w:val="auto"/>
                      <w:szCs w:val="21"/>
                      <w:lang w:val="en-US" w:eastAsia="zh-CN"/>
                    </w:rPr>
                    <w:t>/</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AC1D00C">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27</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E91A6AD">
                  <w:pPr>
                    <w:keepNext w:val="0"/>
                    <w:keepLines w:val="0"/>
                    <w:widowControl/>
                    <w:suppressLineNumbers w:val="0"/>
                    <w:jc w:val="center"/>
                    <w:textAlignment w:val="center"/>
                    <w:rPr>
                      <w:rFonts w:hint="default" w:eastAsia="宋体"/>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48.6</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1CD2E83">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21.6</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61A6AA8">
                  <w:pPr>
                    <w:widowControl/>
                    <w:jc w:val="center"/>
                    <w:rPr>
                      <w:color w:val="auto"/>
                      <w:kern w:val="0"/>
                      <w:szCs w:val="21"/>
                    </w:rPr>
                  </w:pPr>
                  <w:r>
                    <w:rPr>
                      <w:rFonts w:hint="eastAsia"/>
                      <w:color w:val="auto"/>
                      <w:kern w:val="0"/>
                      <w:szCs w:val="21"/>
                    </w:rPr>
                    <w:t>自来水</w:t>
                  </w:r>
                </w:p>
              </w:tc>
            </w:tr>
            <w:tr w14:paraId="4B6DA87F">
              <w:tblPrEx>
                <w:tblCellMar>
                  <w:top w:w="0" w:type="dxa"/>
                  <w:left w:w="0" w:type="dxa"/>
                  <w:bottom w:w="0" w:type="dxa"/>
                  <w:right w:w="0" w:type="dxa"/>
                </w:tblCellMar>
              </w:tblPrEx>
              <w:trPr>
                <w:trHeight w:val="367" w:hRule="atLeast"/>
              </w:trPr>
              <w:tc>
                <w:tcPr>
                  <w:tcW w:w="760" w:type="dxa"/>
                  <w:vMerge w:val="continue"/>
                  <w:tcBorders>
                    <w:left w:val="single" w:color="auto" w:sz="4" w:space="0"/>
                    <w:bottom w:val="single" w:color="auto" w:sz="4" w:space="0"/>
                    <w:right w:val="single" w:color="auto" w:sz="4" w:space="0"/>
                  </w:tcBorders>
                  <w:tcMar>
                    <w:top w:w="15" w:type="dxa"/>
                    <w:left w:w="15" w:type="dxa"/>
                    <w:right w:w="15" w:type="dxa"/>
                  </w:tcMar>
                  <w:vAlign w:val="center"/>
                </w:tcPr>
                <w:p w14:paraId="7DF96318">
                  <w:pPr>
                    <w:widowControl/>
                    <w:jc w:val="center"/>
                    <w:rPr>
                      <w:color w:val="auto"/>
                      <w:kern w:val="0"/>
                      <w:szCs w:val="21"/>
                    </w:rPr>
                  </w:pPr>
                </w:p>
              </w:tc>
              <w:tc>
                <w:tcPr>
                  <w:tcW w:w="760" w:type="dxa"/>
                  <w:tcBorders>
                    <w:top w:val="single" w:color="auto" w:sz="4" w:space="0"/>
                    <w:left w:val="single" w:color="auto" w:sz="4" w:space="0"/>
                    <w:bottom w:val="single" w:color="auto" w:sz="4" w:space="0"/>
                    <w:right w:val="single" w:color="auto" w:sz="4" w:space="0"/>
                  </w:tcBorders>
                  <w:vAlign w:val="center"/>
                </w:tcPr>
                <w:p w14:paraId="2B0D2CEA">
                  <w:pPr>
                    <w:widowControl/>
                    <w:jc w:val="center"/>
                    <w:rPr>
                      <w:color w:val="auto"/>
                      <w:kern w:val="0"/>
                      <w:szCs w:val="21"/>
                    </w:rPr>
                  </w:pPr>
                  <w:r>
                    <w:rPr>
                      <w:rFonts w:hint="eastAsia"/>
                      <w:color w:val="auto"/>
                      <w:kern w:val="0"/>
                      <w:szCs w:val="21"/>
                    </w:rPr>
                    <w:t>水洗c</w:t>
                  </w:r>
                </w:p>
              </w:tc>
              <w:tc>
                <w:tcPr>
                  <w:tcW w:w="546" w:type="dxa"/>
                  <w:tcBorders>
                    <w:top w:val="single" w:color="000000" w:sz="4" w:space="0"/>
                    <w:left w:val="single" w:color="auto" w:sz="4" w:space="0"/>
                    <w:bottom w:val="single" w:color="000000" w:sz="4" w:space="0"/>
                    <w:right w:val="single" w:color="000000" w:sz="4" w:space="0"/>
                  </w:tcBorders>
                  <w:noWrap/>
                  <w:tcMar>
                    <w:top w:w="15" w:type="dxa"/>
                    <w:left w:w="15" w:type="dxa"/>
                    <w:right w:w="15" w:type="dxa"/>
                  </w:tcMar>
                  <w:vAlign w:val="center"/>
                </w:tcPr>
                <w:p w14:paraId="540201CF">
                  <w:pPr>
                    <w:widowControl/>
                    <w:jc w:val="center"/>
                    <w:rPr>
                      <w:rFonts w:hint="eastAsia" w:eastAsia="宋体"/>
                      <w:color w:val="auto"/>
                      <w:kern w:val="0"/>
                      <w:szCs w:val="21"/>
                      <w:lang w:eastAsia="zh-CN"/>
                    </w:rPr>
                  </w:pPr>
                  <w:r>
                    <w:rPr>
                      <w:rFonts w:hint="eastAsia"/>
                      <w:color w:val="auto"/>
                      <w:kern w:val="0"/>
                      <w:szCs w:val="21"/>
                    </w:rPr>
                    <w:t>1.</w:t>
                  </w:r>
                  <w:r>
                    <w:rPr>
                      <w:rFonts w:hint="eastAsia"/>
                      <w:color w:val="auto"/>
                      <w:kern w:val="0"/>
                      <w:szCs w:val="21"/>
                      <w:lang w:val="en-US" w:eastAsia="zh-CN"/>
                    </w:rPr>
                    <w:t>8</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03877DB">
                  <w:pPr>
                    <w:widowControl/>
                    <w:jc w:val="center"/>
                    <w:rPr>
                      <w:color w:val="auto"/>
                      <w:szCs w:val="21"/>
                    </w:rPr>
                  </w:pPr>
                  <w:r>
                    <w:rPr>
                      <w:color w:val="auto"/>
                      <w:szCs w:val="21"/>
                    </w:rPr>
                    <w:t>1</w:t>
                  </w:r>
                </w:p>
              </w:tc>
              <w:tc>
                <w:tcPr>
                  <w:tcW w:w="6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239514E">
                  <w:pPr>
                    <w:widowControl/>
                    <w:jc w:val="center"/>
                    <w:textAlignment w:val="center"/>
                    <w:rPr>
                      <w:rFonts w:hint="default" w:eastAsia="宋体"/>
                      <w:color w:val="auto"/>
                      <w:szCs w:val="21"/>
                      <w:lang w:val="en-US" w:eastAsia="zh-CN"/>
                    </w:rPr>
                  </w:pPr>
                  <w:r>
                    <w:rPr>
                      <w:rFonts w:hint="eastAsia"/>
                      <w:color w:val="auto"/>
                      <w:szCs w:val="21"/>
                      <w:lang w:val="en-US" w:eastAsia="zh-CN"/>
                    </w:rPr>
                    <w:t>12</w:t>
                  </w:r>
                </w:p>
              </w:tc>
              <w:tc>
                <w:tcPr>
                  <w:tcW w:w="6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83671D6">
                  <w:pPr>
                    <w:keepNext w:val="0"/>
                    <w:keepLines w:val="0"/>
                    <w:widowControl/>
                    <w:suppressLineNumbers w:val="0"/>
                    <w:jc w:val="center"/>
                    <w:textAlignment w:val="center"/>
                    <w:rPr>
                      <w:strike/>
                      <w:dstrike w:val="0"/>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21.6</w:t>
                  </w:r>
                </w:p>
              </w:tc>
              <w:tc>
                <w:tcPr>
                  <w:tcW w:w="7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4D40A2F5">
                  <w:pPr>
                    <w:widowControl/>
                    <w:jc w:val="center"/>
                    <w:textAlignment w:val="center"/>
                    <w:rPr>
                      <w:rFonts w:hint="default"/>
                      <w:color w:val="auto"/>
                      <w:szCs w:val="21"/>
                      <w:lang w:val="en-US" w:eastAsia="zh-CN"/>
                    </w:rPr>
                  </w:pPr>
                  <w:r>
                    <w:rPr>
                      <w:rFonts w:hint="eastAsia"/>
                      <w:color w:val="auto"/>
                      <w:szCs w:val="21"/>
                      <w:lang w:val="en-US" w:eastAsia="zh-CN"/>
                    </w:rPr>
                    <w:t>/</w:t>
                  </w:r>
                </w:p>
              </w:tc>
              <w:tc>
                <w:tcPr>
                  <w:tcW w:w="93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1E2DFC2F">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27</w:t>
                  </w:r>
                </w:p>
              </w:tc>
              <w:tc>
                <w:tcPr>
                  <w:tcW w:w="75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7DD9598B">
                  <w:pPr>
                    <w:keepNext w:val="0"/>
                    <w:keepLines w:val="0"/>
                    <w:widowControl/>
                    <w:suppressLineNumbers w:val="0"/>
                    <w:jc w:val="center"/>
                    <w:textAlignment w:val="center"/>
                    <w:rPr>
                      <w:rFonts w:hint="default" w:eastAsia="宋体"/>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48.6</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119DC4F">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21.6</w:t>
                  </w:r>
                </w:p>
              </w:tc>
              <w:tc>
                <w:tcPr>
                  <w:tcW w:w="8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213525E">
                  <w:pPr>
                    <w:widowControl/>
                    <w:jc w:val="center"/>
                    <w:rPr>
                      <w:color w:val="auto"/>
                      <w:kern w:val="0"/>
                      <w:szCs w:val="21"/>
                    </w:rPr>
                  </w:pPr>
                  <w:r>
                    <w:rPr>
                      <w:rFonts w:hint="eastAsia"/>
                      <w:color w:val="auto"/>
                      <w:kern w:val="0"/>
                      <w:szCs w:val="21"/>
                    </w:rPr>
                    <w:t>自来水</w:t>
                  </w:r>
                </w:p>
              </w:tc>
            </w:tr>
            <w:tr w14:paraId="60AFF28B">
              <w:tblPrEx>
                <w:tblCellMar>
                  <w:top w:w="0" w:type="dxa"/>
                  <w:left w:w="0" w:type="dxa"/>
                  <w:bottom w:w="0" w:type="dxa"/>
                  <w:right w:w="0" w:type="dxa"/>
                </w:tblCellMar>
              </w:tblPrEx>
              <w:trPr>
                <w:trHeight w:val="367" w:hRule="atLeast"/>
              </w:trPr>
              <w:tc>
                <w:tcPr>
                  <w:tcW w:w="1520"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7EEB46A">
                  <w:pPr>
                    <w:widowControl/>
                    <w:jc w:val="center"/>
                    <w:rPr>
                      <w:color w:val="auto"/>
                      <w:kern w:val="0"/>
                      <w:szCs w:val="21"/>
                    </w:rPr>
                  </w:pPr>
                  <w:r>
                    <w:rPr>
                      <w:color w:val="auto"/>
                      <w:kern w:val="0"/>
                      <w:szCs w:val="21"/>
                    </w:rPr>
                    <w:t>清洗废水合计</w:t>
                  </w:r>
                </w:p>
              </w:tc>
              <w:tc>
                <w:tcPr>
                  <w:tcW w:w="54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B19F3DD">
                  <w:pPr>
                    <w:widowControl/>
                    <w:jc w:val="center"/>
                    <w:rPr>
                      <w:color w:val="auto"/>
                      <w:kern w:val="0"/>
                      <w:szCs w:val="21"/>
                    </w:rPr>
                  </w:pPr>
                  <w:r>
                    <w:rPr>
                      <w:color w:val="auto"/>
                      <w:kern w:val="0"/>
                      <w:szCs w:val="21"/>
                    </w:rPr>
                    <w:t>/</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9B35395">
                  <w:pPr>
                    <w:widowControl/>
                    <w:jc w:val="center"/>
                    <w:rPr>
                      <w:color w:val="auto"/>
                      <w:kern w:val="0"/>
                      <w:szCs w:val="21"/>
                    </w:rPr>
                  </w:pPr>
                  <w:r>
                    <w:rPr>
                      <w:color w:val="auto"/>
                      <w:kern w:val="0"/>
                      <w:szCs w:val="21"/>
                    </w:rPr>
                    <w:t>/</w:t>
                  </w:r>
                </w:p>
              </w:tc>
              <w:tc>
                <w:tcPr>
                  <w:tcW w:w="66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4E5E5D5">
                  <w:pPr>
                    <w:widowControl/>
                    <w:jc w:val="center"/>
                    <w:textAlignment w:val="center"/>
                    <w:rPr>
                      <w:color w:val="auto"/>
                      <w:kern w:val="0"/>
                      <w:szCs w:val="21"/>
                    </w:rPr>
                  </w:pPr>
                  <w:r>
                    <w:rPr>
                      <w:color w:val="auto"/>
                      <w:kern w:val="0"/>
                      <w:szCs w:val="21"/>
                    </w:rPr>
                    <w:t>/</w:t>
                  </w:r>
                </w:p>
              </w:tc>
              <w:tc>
                <w:tcPr>
                  <w:tcW w:w="68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CC67014">
                  <w:pPr>
                    <w:keepNext w:val="0"/>
                    <w:keepLines w:val="0"/>
                    <w:widowControl/>
                    <w:suppressLineNumbers w:val="0"/>
                    <w:jc w:val="center"/>
                    <w:textAlignment w:val="center"/>
                    <w:rPr>
                      <w:rFonts w:hint="default" w:eastAsia="宋体"/>
                      <w:strike/>
                      <w:dstrike w:val="0"/>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544.8</w:t>
                  </w:r>
                </w:p>
              </w:tc>
              <w:tc>
                <w:tcPr>
                  <w:tcW w:w="7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AD65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9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4FFAA9A">
                  <w:pPr>
                    <w:keepNext w:val="0"/>
                    <w:keepLines w:val="0"/>
                    <w:widowControl/>
                    <w:suppressLineNumbers w:val="0"/>
                    <w:jc w:val="center"/>
                    <w:textAlignment w:val="center"/>
                    <w:rPr>
                      <w:rFonts w:hint="default" w:eastAsia="宋体"/>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111</w:t>
                  </w:r>
                </w:p>
              </w:tc>
              <w:tc>
                <w:tcPr>
                  <w:tcW w:w="75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4243A36">
                  <w:pPr>
                    <w:keepNext w:val="0"/>
                    <w:keepLines w:val="0"/>
                    <w:widowControl/>
                    <w:suppressLineNumbers w:val="0"/>
                    <w:jc w:val="center"/>
                    <w:textAlignment w:val="center"/>
                    <w:rPr>
                      <w:rFonts w:hint="default" w:eastAsia="宋体"/>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655.8</w:t>
                  </w:r>
                </w:p>
              </w:tc>
              <w:tc>
                <w:tcPr>
                  <w:tcW w:w="83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FBA537C">
                  <w:pPr>
                    <w:keepNext w:val="0"/>
                    <w:keepLines w:val="0"/>
                    <w:widowControl/>
                    <w:suppressLineNumbers w:val="0"/>
                    <w:jc w:val="center"/>
                    <w:textAlignment w:val="center"/>
                    <w:rPr>
                      <w:rFonts w:hint="default" w:eastAsia="宋体"/>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544.8</w:t>
                  </w:r>
                </w:p>
              </w:tc>
              <w:tc>
                <w:tcPr>
                  <w:tcW w:w="83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4DB43B3">
                  <w:pPr>
                    <w:widowControl/>
                    <w:jc w:val="center"/>
                    <w:rPr>
                      <w:color w:val="auto"/>
                      <w:kern w:val="0"/>
                      <w:szCs w:val="21"/>
                    </w:rPr>
                  </w:pPr>
                  <w:r>
                    <w:rPr>
                      <w:color w:val="auto"/>
                      <w:kern w:val="0"/>
                      <w:szCs w:val="21"/>
                    </w:rPr>
                    <w:t>/</w:t>
                  </w:r>
                </w:p>
              </w:tc>
            </w:tr>
            <w:tr w14:paraId="6EDFC68C">
              <w:tblPrEx>
                <w:tblCellMar>
                  <w:top w:w="0" w:type="dxa"/>
                  <w:left w:w="0" w:type="dxa"/>
                  <w:bottom w:w="0" w:type="dxa"/>
                  <w:right w:w="0" w:type="dxa"/>
                </w:tblCellMar>
              </w:tblPrEx>
              <w:trPr>
                <w:trHeight w:val="572" w:hRule="atLeast"/>
              </w:trPr>
              <w:tc>
                <w:tcPr>
                  <w:tcW w:w="1520"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38DB408">
                  <w:pPr>
                    <w:widowControl/>
                    <w:jc w:val="center"/>
                    <w:rPr>
                      <w:color w:val="auto"/>
                      <w:kern w:val="0"/>
                      <w:szCs w:val="21"/>
                    </w:rPr>
                  </w:pPr>
                  <w:r>
                    <w:rPr>
                      <w:color w:val="auto"/>
                      <w:kern w:val="0"/>
                      <w:szCs w:val="21"/>
                    </w:rPr>
                    <w:t>预除油</w:t>
                  </w:r>
                  <w:r>
                    <w:rPr>
                      <w:rFonts w:hint="eastAsia"/>
                      <w:color w:val="auto"/>
                      <w:kern w:val="0"/>
                      <w:szCs w:val="21"/>
                    </w:rPr>
                    <w:t>+</w:t>
                  </w:r>
                  <w:r>
                    <w:rPr>
                      <w:color w:val="auto"/>
                      <w:kern w:val="0"/>
                      <w:szCs w:val="21"/>
                    </w:rPr>
                    <w:t>主除油废液合计</w:t>
                  </w:r>
                </w:p>
              </w:tc>
              <w:tc>
                <w:tcPr>
                  <w:tcW w:w="54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4E38814">
                  <w:pPr>
                    <w:widowControl/>
                    <w:jc w:val="center"/>
                    <w:rPr>
                      <w:color w:val="auto"/>
                      <w:kern w:val="0"/>
                      <w:szCs w:val="21"/>
                    </w:rPr>
                  </w:pPr>
                  <w:r>
                    <w:rPr>
                      <w:color w:val="auto"/>
                      <w:kern w:val="0"/>
                      <w:szCs w:val="21"/>
                    </w:rPr>
                    <w:t>/</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63B96D75">
                  <w:pPr>
                    <w:widowControl/>
                    <w:jc w:val="center"/>
                    <w:rPr>
                      <w:color w:val="auto"/>
                      <w:kern w:val="0"/>
                      <w:szCs w:val="21"/>
                    </w:rPr>
                  </w:pPr>
                  <w:r>
                    <w:rPr>
                      <w:color w:val="auto"/>
                      <w:kern w:val="0"/>
                      <w:szCs w:val="21"/>
                    </w:rPr>
                    <w:t>/</w:t>
                  </w:r>
                </w:p>
              </w:tc>
              <w:tc>
                <w:tcPr>
                  <w:tcW w:w="66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6D6C18D">
                  <w:pPr>
                    <w:widowControl/>
                    <w:jc w:val="center"/>
                    <w:textAlignment w:val="center"/>
                    <w:rPr>
                      <w:color w:val="auto"/>
                      <w:kern w:val="0"/>
                      <w:szCs w:val="21"/>
                    </w:rPr>
                  </w:pPr>
                  <w:r>
                    <w:rPr>
                      <w:color w:val="auto"/>
                      <w:kern w:val="0"/>
                      <w:szCs w:val="21"/>
                    </w:rPr>
                    <w:t>/</w:t>
                  </w:r>
                </w:p>
              </w:tc>
              <w:tc>
                <w:tcPr>
                  <w:tcW w:w="68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C108E24">
                  <w:pPr>
                    <w:keepNext w:val="0"/>
                    <w:keepLines w:val="0"/>
                    <w:widowControl/>
                    <w:suppressLineNumbers w:val="0"/>
                    <w:jc w:val="center"/>
                    <w:textAlignment w:val="center"/>
                    <w:rPr>
                      <w:rFonts w:hint="default" w:eastAsia="宋体"/>
                      <w:strike/>
                      <w:dstrike w:val="0"/>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11.2</w:t>
                  </w:r>
                </w:p>
              </w:tc>
              <w:tc>
                <w:tcPr>
                  <w:tcW w:w="7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2788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4.54</w:t>
                  </w:r>
                </w:p>
              </w:tc>
              <w:tc>
                <w:tcPr>
                  <w:tcW w:w="9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4B53D14">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84</w:t>
                  </w:r>
                </w:p>
              </w:tc>
              <w:tc>
                <w:tcPr>
                  <w:tcW w:w="75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9136806">
                  <w:pPr>
                    <w:keepNext w:val="0"/>
                    <w:keepLines w:val="0"/>
                    <w:widowControl/>
                    <w:suppressLineNumbers w:val="0"/>
                    <w:jc w:val="center"/>
                    <w:textAlignment w:val="center"/>
                    <w:rPr>
                      <w:rFonts w:hint="eastAsia" w:eastAsia="宋体"/>
                      <w:color w:val="auto"/>
                      <w:kern w:val="0"/>
                      <w:szCs w:val="21"/>
                      <w:lang w:eastAsia="zh-CN"/>
                    </w:rPr>
                  </w:pPr>
                  <w:r>
                    <w:rPr>
                      <w:rFonts w:hint="default" w:ascii="Times New Roman" w:hAnsi="Times New Roman" w:eastAsia="宋体" w:cs="Times New Roman"/>
                      <w:i w:val="0"/>
                      <w:iCs w:val="0"/>
                      <w:color w:val="auto"/>
                      <w:kern w:val="0"/>
                      <w:sz w:val="21"/>
                      <w:szCs w:val="21"/>
                      <w:u w:val="none"/>
                      <w:lang w:val="en-US" w:eastAsia="zh-CN" w:bidi="ar"/>
                    </w:rPr>
                    <w:t xml:space="preserve">90.66 </w:t>
                  </w:r>
                </w:p>
              </w:tc>
              <w:tc>
                <w:tcPr>
                  <w:tcW w:w="83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FAE10F7">
                  <w:pPr>
                    <w:keepNext w:val="0"/>
                    <w:keepLines w:val="0"/>
                    <w:widowControl/>
                    <w:suppressLineNumbers w:val="0"/>
                    <w:jc w:val="center"/>
                    <w:textAlignment w:val="center"/>
                    <w:rPr>
                      <w:rFonts w:hint="default" w:eastAsia="宋体"/>
                      <w:color w:val="auto"/>
                      <w:kern w:val="0"/>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11.2</w:t>
                  </w:r>
                </w:p>
              </w:tc>
              <w:tc>
                <w:tcPr>
                  <w:tcW w:w="83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ECE0B1C">
                  <w:pPr>
                    <w:widowControl/>
                    <w:jc w:val="center"/>
                    <w:rPr>
                      <w:color w:val="auto"/>
                      <w:kern w:val="0"/>
                      <w:szCs w:val="21"/>
                    </w:rPr>
                  </w:pPr>
                  <w:r>
                    <w:rPr>
                      <w:color w:val="auto"/>
                      <w:kern w:val="0"/>
                      <w:szCs w:val="21"/>
                    </w:rPr>
                    <w:t>/</w:t>
                  </w:r>
                </w:p>
              </w:tc>
            </w:tr>
            <w:tr w14:paraId="24100992">
              <w:tblPrEx>
                <w:tblCellMar>
                  <w:top w:w="0" w:type="dxa"/>
                  <w:left w:w="0" w:type="dxa"/>
                  <w:bottom w:w="0" w:type="dxa"/>
                  <w:right w:w="0" w:type="dxa"/>
                </w:tblCellMar>
              </w:tblPrEx>
              <w:trPr>
                <w:trHeight w:val="367" w:hRule="atLeast"/>
              </w:trPr>
              <w:tc>
                <w:tcPr>
                  <w:tcW w:w="1520"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EB82C16">
                  <w:pPr>
                    <w:widowControl/>
                    <w:jc w:val="center"/>
                    <w:rPr>
                      <w:color w:val="auto"/>
                      <w:kern w:val="0"/>
                      <w:szCs w:val="21"/>
                    </w:rPr>
                  </w:pPr>
                  <w:r>
                    <w:rPr>
                      <w:rFonts w:hint="eastAsia"/>
                      <w:color w:val="auto"/>
                      <w:kern w:val="0"/>
                      <w:szCs w:val="21"/>
                    </w:rPr>
                    <w:t>陶化</w:t>
                  </w:r>
                  <w:r>
                    <w:rPr>
                      <w:color w:val="auto"/>
                      <w:kern w:val="0"/>
                      <w:szCs w:val="21"/>
                    </w:rPr>
                    <w:t>废液合计</w:t>
                  </w:r>
                </w:p>
              </w:tc>
              <w:tc>
                <w:tcPr>
                  <w:tcW w:w="54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A228CEF">
                  <w:pPr>
                    <w:widowControl/>
                    <w:jc w:val="center"/>
                    <w:rPr>
                      <w:color w:val="auto"/>
                      <w:kern w:val="0"/>
                      <w:szCs w:val="21"/>
                    </w:rPr>
                  </w:pPr>
                  <w:r>
                    <w:rPr>
                      <w:color w:val="auto"/>
                      <w:kern w:val="0"/>
                      <w:szCs w:val="21"/>
                    </w:rPr>
                    <w:t>/</w:t>
                  </w:r>
                </w:p>
              </w:tc>
              <w:tc>
                <w:tcPr>
                  <w:tcW w:w="7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3CF8CBB4">
                  <w:pPr>
                    <w:widowControl/>
                    <w:jc w:val="center"/>
                    <w:rPr>
                      <w:color w:val="auto"/>
                      <w:kern w:val="0"/>
                      <w:szCs w:val="21"/>
                    </w:rPr>
                  </w:pPr>
                  <w:r>
                    <w:rPr>
                      <w:color w:val="auto"/>
                      <w:kern w:val="0"/>
                      <w:szCs w:val="21"/>
                    </w:rPr>
                    <w:t>/</w:t>
                  </w:r>
                </w:p>
              </w:tc>
              <w:tc>
                <w:tcPr>
                  <w:tcW w:w="66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48E3584">
                  <w:pPr>
                    <w:widowControl/>
                    <w:jc w:val="center"/>
                    <w:textAlignment w:val="center"/>
                    <w:rPr>
                      <w:color w:val="auto"/>
                      <w:kern w:val="0"/>
                      <w:szCs w:val="21"/>
                    </w:rPr>
                  </w:pPr>
                  <w:r>
                    <w:rPr>
                      <w:color w:val="auto"/>
                      <w:kern w:val="0"/>
                      <w:szCs w:val="21"/>
                    </w:rPr>
                    <w:t>/</w:t>
                  </w:r>
                </w:p>
              </w:tc>
              <w:tc>
                <w:tcPr>
                  <w:tcW w:w="68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F6D0030">
                  <w:pPr>
                    <w:keepNext w:val="0"/>
                    <w:keepLines w:val="0"/>
                    <w:widowControl/>
                    <w:suppressLineNumbers w:val="0"/>
                    <w:jc w:val="center"/>
                    <w:textAlignment w:val="center"/>
                    <w:rPr>
                      <w:strike/>
                      <w:dstrike w:val="0"/>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2.8</w:t>
                  </w:r>
                </w:p>
              </w:tc>
              <w:tc>
                <w:tcPr>
                  <w:tcW w:w="7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8FE9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1.09</w:t>
                  </w:r>
                </w:p>
              </w:tc>
              <w:tc>
                <w:tcPr>
                  <w:tcW w:w="9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05F6158">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42</w:t>
                  </w:r>
                </w:p>
              </w:tc>
              <w:tc>
                <w:tcPr>
                  <w:tcW w:w="75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C18CF72">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 xml:space="preserve">43.71 </w:t>
                  </w:r>
                </w:p>
              </w:tc>
              <w:tc>
                <w:tcPr>
                  <w:tcW w:w="83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6FA092E">
                  <w:pPr>
                    <w:keepNext w:val="0"/>
                    <w:keepLines w:val="0"/>
                    <w:widowControl/>
                    <w:suppressLineNumbers w:val="0"/>
                    <w:jc w:val="center"/>
                    <w:textAlignment w:val="center"/>
                    <w:rPr>
                      <w:color w:val="auto"/>
                      <w:kern w:val="0"/>
                      <w:szCs w:val="21"/>
                    </w:rPr>
                  </w:pPr>
                  <w:r>
                    <w:rPr>
                      <w:rFonts w:hint="default" w:ascii="Times New Roman" w:hAnsi="Times New Roman" w:eastAsia="宋体" w:cs="Times New Roman"/>
                      <w:i w:val="0"/>
                      <w:iCs w:val="0"/>
                      <w:color w:val="auto"/>
                      <w:kern w:val="0"/>
                      <w:sz w:val="21"/>
                      <w:szCs w:val="21"/>
                      <w:u w:val="none"/>
                      <w:lang w:val="en-US" w:eastAsia="zh-CN" w:bidi="ar"/>
                    </w:rPr>
                    <w:t>2.8</w:t>
                  </w:r>
                </w:p>
              </w:tc>
              <w:tc>
                <w:tcPr>
                  <w:tcW w:w="83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371D260">
                  <w:pPr>
                    <w:widowControl/>
                    <w:jc w:val="center"/>
                    <w:rPr>
                      <w:color w:val="auto"/>
                      <w:kern w:val="0"/>
                      <w:szCs w:val="21"/>
                    </w:rPr>
                  </w:pPr>
                  <w:r>
                    <w:rPr>
                      <w:color w:val="auto"/>
                      <w:kern w:val="0"/>
                      <w:szCs w:val="21"/>
                    </w:rPr>
                    <w:t>/</w:t>
                  </w:r>
                </w:p>
              </w:tc>
            </w:tr>
            <w:tr w14:paraId="63B56661">
              <w:tblPrEx>
                <w:tblCellMar>
                  <w:top w:w="0" w:type="dxa"/>
                  <w:left w:w="0" w:type="dxa"/>
                  <w:bottom w:w="0" w:type="dxa"/>
                  <w:right w:w="0" w:type="dxa"/>
                </w:tblCellMar>
              </w:tblPrEx>
              <w:trPr>
                <w:trHeight w:val="2226" w:hRule="atLeast"/>
              </w:trPr>
              <w:tc>
                <w:tcPr>
                  <w:tcW w:w="8216" w:type="dxa"/>
                  <w:gridSpan w:val="11"/>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10AC30F">
                  <w:pPr>
                    <w:widowControl/>
                    <w:jc w:val="left"/>
                    <w:textAlignment w:val="center"/>
                    <w:rPr>
                      <w:color w:val="auto"/>
                      <w:szCs w:val="21"/>
                    </w:rPr>
                  </w:pPr>
                  <w:r>
                    <w:rPr>
                      <w:color w:val="auto"/>
                      <w:szCs w:val="21"/>
                    </w:rPr>
                    <w:t>注：1、每天蒸发损耗量占水池有效容量的5%计算</w:t>
                  </w:r>
                  <w:r>
                    <w:rPr>
                      <w:rFonts w:hint="eastAsia"/>
                      <w:color w:val="auto"/>
                      <w:szCs w:val="21"/>
                      <w:lang w:eastAsia="zh-CN"/>
                    </w:rPr>
                    <w:t>，</w:t>
                  </w:r>
                  <w:r>
                    <w:rPr>
                      <w:rFonts w:hint="eastAsia"/>
                      <w:color w:val="auto"/>
                      <w:szCs w:val="21"/>
                      <w:lang w:val="en-US" w:eastAsia="zh-CN"/>
                    </w:rPr>
                    <w:t>年工作时间300天，则补充蒸发损耗水量=</w:t>
                  </w:r>
                  <w:r>
                    <w:rPr>
                      <w:color w:val="auto"/>
                      <w:szCs w:val="21"/>
                    </w:rPr>
                    <w:t>水池有效容量</w:t>
                  </w:r>
                  <w:r>
                    <w:rPr>
                      <w:rFonts w:hint="eastAsia"/>
                      <w:color w:val="auto"/>
                      <w:szCs w:val="21"/>
                      <w:lang w:val="en-US" w:eastAsia="zh-CN"/>
                    </w:rPr>
                    <w:t>×5%×300</w:t>
                  </w:r>
                  <w:r>
                    <w:rPr>
                      <w:color w:val="auto"/>
                      <w:szCs w:val="21"/>
                    </w:rPr>
                    <w:t>；</w:t>
                  </w:r>
                </w:p>
                <w:p w14:paraId="1B272499">
                  <w:pPr>
                    <w:widowControl/>
                    <w:jc w:val="left"/>
                    <w:textAlignment w:val="center"/>
                    <w:rPr>
                      <w:rFonts w:hint="default" w:eastAsia="宋体"/>
                      <w:color w:val="auto"/>
                      <w:szCs w:val="21"/>
                      <w:lang w:val="en-US" w:eastAsia="zh-CN"/>
                    </w:rPr>
                  </w:pPr>
                  <w:r>
                    <w:rPr>
                      <w:rFonts w:hint="eastAsia"/>
                      <w:color w:val="auto"/>
                      <w:szCs w:val="21"/>
                      <w:lang w:val="en-US" w:eastAsia="zh-CN"/>
                    </w:rPr>
                    <w:t xml:space="preserve">    2、</w:t>
                  </w:r>
                  <w:r>
                    <w:rPr>
                      <w:rFonts w:hint="eastAsia"/>
                      <w:color w:val="auto"/>
                      <w:szCs w:val="21"/>
                      <w:lang w:val="en-US" w:eastAsia="zh-CN"/>
                    </w:rPr>
                    <w:t>除油剂与水的配比约为1:20（药剂添加量/总用水量），陶化剂与水的配比约为1:40（药剂添加量/总用水量）；药剂添加量+总用水量=补充蒸发损耗水量+更换废水（液）量。</w:t>
                  </w:r>
                </w:p>
                <w:p w14:paraId="551E8DDE">
                  <w:pPr>
                    <w:pStyle w:val="46"/>
                    <w:ind w:firstLine="420" w:firstLineChars="200"/>
                    <w:jc w:val="left"/>
                    <w:rPr>
                      <w:rFonts w:ascii="Times New Roman" w:cs="Times New Roman"/>
                      <w:color w:val="auto"/>
                      <w:sz w:val="21"/>
                      <w:szCs w:val="21"/>
                    </w:rPr>
                  </w:pPr>
                  <w:r>
                    <w:rPr>
                      <w:rFonts w:hint="eastAsia" w:ascii="Times New Roman" w:cs="Times New Roman"/>
                      <w:color w:val="auto"/>
                      <w:sz w:val="21"/>
                      <w:szCs w:val="21"/>
                      <w:lang w:val="en-US" w:eastAsia="zh-CN"/>
                    </w:rPr>
                    <w:t>3</w:t>
                  </w:r>
                  <w:r>
                    <w:rPr>
                      <w:rFonts w:hint="eastAsia" w:ascii="Times New Roman" w:cs="Times New Roman"/>
                      <w:color w:val="auto"/>
                      <w:sz w:val="21"/>
                      <w:szCs w:val="21"/>
                    </w:rPr>
                    <w:t>、项目自动线</w:t>
                  </w:r>
                  <w:r>
                    <w:rPr>
                      <w:rFonts w:hint="eastAsia" w:ascii="Times New Roman" w:cs="Times New Roman"/>
                      <w:color w:val="auto"/>
                      <w:sz w:val="21"/>
                      <w:szCs w:val="21"/>
                      <w:lang w:val="en-US" w:eastAsia="zh-CN"/>
                    </w:rPr>
                    <w:t>清洗处理为内外面（内面积+外面积）处理，</w:t>
                  </w:r>
                  <w:r>
                    <w:rPr>
                      <w:rFonts w:hint="eastAsia" w:ascii="Times New Roman" w:cs="Times New Roman"/>
                      <w:color w:val="auto"/>
                      <w:sz w:val="21"/>
                      <w:szCs w:val="21"/>
                    </w:rPr>
                    <w:t>需处理产品的面积为</w:t>
                  </w:r>
                  <w:r>
                    <w:rPr>
                      <w:rFonts w:hint="default" w:ascii="Times New Roman" w:cs="Times New Roman"/>
                      <w:color w:val="auto"/>
                      <w:sz w:val="21"/>
                      <w:szCs w:val="21"/>
                      <w:lang w:val="en-US" w:eastAsia="zh-CN"/>
                    </w:rPr>
                    <w:t>73</w:t>
                  </w:r>
                  <w:r>
                    <w:rPr>
                      <w:rFonts w:hint="eastAsia" w:ascii="Times New Roman" w:cs="Times New Roman"/>
                      <w:color w:val="auto"/>
                      <w:sz w:val="21"/>
                      <w:szCs w:val="21"/>
                      <w:lang w:val="en-US" w:eastAsia="zh-CN"/>
                    </w:rPr>
                    <w:t>3</w:t>
                  </w:r>
                  <w:r>
                    <w:rPr>
                      <w:rFonts w:hint="default" w:ascii="Times New Roman" w:cs="Times New Roman"/>
                      <w:color w:val="auto"/>
                      <w:sz w:val="21"/>
                      <w:szCs w:val="21"/>
                      <w:lang w:val="en-US" w:eastAsia="zh-CN"/>
                    </w:rPr>
                    <w:t>8</w:t>
                  </w:r>
                  <w:r>
                    <w:rPr>
                      <w:rFonts w:hint="eastAsia" w:ascii="Times New Roman" w:cs="Times New Roman"/>
                      <w:color w:val="auto"/>
                      <w:sz w:val="21"/>
                      <w:szCs w:val="21"/>
                      <w:lang w:val="en-US" w:eastAsia="zh-CN"/>
                    </w:rPr>
                    <w:t>0㎡</w:t>
                  </w:r>
                  <w:r>
                    <w:rPr>
                      <w:rFonts w:hint="eastAsia" w:ascii="Times New Roman" w:cs="Times New Roman"/>
                      <w:color w:val="auto"/>
                      <w:sz w:val="21"/>
                      <w:szCs w:val="21"/>
                    </w:rPr>
                    <w:t>，水洗</w:t>
                  </w:r>
                  <w:r>
                    <w:rPr>
                      <w:rFonts w:hint="eastAsia" w:ascii="Times New Roman" w:cs="Times New Roman"/>
                      <w:color w:val="auto"/>
                      <w:sz w:val="21"/>
                      <w:szCs w:val="21"/>
                      <w:lang w:val="en-US" w:eastAsia="zh-CN"/>
                    </w:rPr>
                    <w:t>池</w:t>
                  </w:r>
                  <w:r>
                    <w:rPr>
                      <w:rFonts w:hint="eastAsia" w:ascii="Times New Roman" w:cs="Times New Roman"/>
                      <w:color w:val="auto"/>
                      <w:sz w:val="21"/>
                      <w:szCs w:val="21"/>
                    </w:rPr>
                    <w:t>1年用水量为</w:t>
                  </w:r>
                  <w:r>
                    <w:rPr>
                      <w:rFonts w:ascii="Times New Roman" w:cs="Times New Roman"/>
                      <w:color w:val="auto"/>
                      <w:sz w:val="21"/>
                      <w:szCs w:val="21"/>
                    </w:rPr>
                    <w:t>2</w:t>
                  </w:r>
                  <w:r>
                    <w:rPr>
                      <w:rFonts w:hint="eastAsia" w:ascii="Times New Roman" w:cs="Times New Roman"/>
                      <w:color w:val="auto"/>
                      <w:sz w:val="21"/>
                      <w:szCs w:val="21"/>
                      <w:lang w:val="en-US" w:eastAsia="zh-CN"/>
                    </w:rPr>
                    <w:t>55</w:t>
                  </w:r>
                  <w:r>
                    <w:rPr>
                      <w:rFonts w:ascii="Times New Roman" w:cs="Times New Roman"/>
                      <w:color w:val="auto"/>
                      <w:sz w:val="21"/>
                      <w:szCs w:val="21"/>
                    </w:rPr>
                    <w:t>吨</w:t>
                  </w:r>
                  <w:r>
                    <w:rPr>
                      <w:rFonts w:hint="eastAsia" w:ascii="Times New Roman" w:cs="Times New Roman"/>
                      <w:color w:val="auto"/>
                      <w:sz w:val="21"/>
                      <w:szCs w:val="21"/>
                    </w:rPr>
                    <w:t>，</w:t>
                  </w:r>
                  <w:r>
                    <w:rPr>
                      <w:rFonts w:ascii="Times New Roman" w:cs="Times New Roman"/>
                      <w:color w:val="auto"/>
                      <w:sz w:val="21"/>
                      <w:szCs w:val="21"/>
                    </w:rPr>
                    <w:t>则单位面积的用水量</w:t>
                  </w:r>
                  <w:r>
                    <w:rPr>
                      <w:rFonts w:hint="eastAsia" w:ascii="Times New Roman" w:cs="Times New Roman"/>
                      <w:color w:val="auto"/>
                      <w:sz w:val="21"/>
                      <w:szCs w:val="21"/>
                      <w:lang w:val="en-US" w:eastAsia="zh-CN"/>
                    </w:rPr>
                    <w:t>约</w:t>
                  </w:r>
                  <w:r>
                    <w:rPr>
                      <w:rFonts w:ascii="Times New Roman" w:cs="Times New Roman"/>
                      <w:color w:val="auto"/>
                      <w:sz w:val="21"/>
                      <w:szCs w:val="21"/>
                    </w:rPr>
                    <w:t>为</w:t>
                  </w:r>
                  <w:r>
                    <w:rPr>
                      <w:rFonts w:hint="eastAsia" w:ascii="Times New Roman" w:cs="Times New Roman"/>
                      <w:color w:val="auto"/>
                      <w:sz w:val="21"/>
                      <w:szCs w:val="21"/>
                      <w:lang w:val="en-US" w:eastAsia="zh-CN"/>
                    </w:rPr>
                    <w:t>3.48</w:t>
                  </w:r>
                  <w:r>
                    <w:rPr>
                      <w:rFonts w:ascii="Times New Roman" w:cs="Times New Roman"/>
                      <w:color w:val="auto"/>
                      <w:sz w:val="21"/>
                      <w:szCs w:val="21"/>
                    </w:rPr>
                    <w:t>L/</w:t>
                  </w:r>
                  <w:r>
                    <w:rPr>
                      <w:rFonts w:hint="eastAsia" w:ascii="Times New Roman" w:cs="Times New Roman"/>
                      <w:color w:val="auto"/>
                      <w:sz w:val="21"/>
                      <w:szCs w:val="21"/>
                      <w:lang w:val="en-US" w:eastAsia="zh-CN"/>
                    </w:rPr>
                    <w:t>㎡</w:t>
                  </w:r>
                  <w:r>
                    <w:rPr>
                      <w:rFonts w:hint="eastAsia" w:ascii="Times New Roman" w:cs="Times New Roman"/>
                      <w:color w:val="auto"/>
                      <w:sz w:val="21"/>
                      <w:szCs w:val="21"/>
                    </w:rPr>
                    <w:t>，水洗</w:t>
                  </w:r>
                  <w:r>
                    <w:rPr>
                      <w:rFonts w:hint="eastAsia" w:ascii="Times New Roman" w:cs="Times New Roman"/>
                      <w:color w:val="auto"/>
                      <w:sz w:val="21"/>
                      <w:szCs w:val="21"/>
                      <w:lang w:val="en-US" w:eastAsia="zh-CN"/>
                    </w:rPr>
                    <w:t>池</w:t>
                  </w:r>
                  <w:r>
                    <w:rPr>
                      <w:rFonts w:hint="eastAsia" w:ascii="Times New Roman" w:cs="Times New Roman"/>
                      <w:color w:val="auto"/>
                      <w:sz w:val="21"/>
                      <w:szCs w:val="21"/>
                    </w:rPr>
                    <w:t>2年用水量为2</w:t>
                  </w:r>
                  <w:r>
                    <w:rPr>
                      <w:rFonts w:hint="eastAsia" w:ascii="Times New Roman" w:cs="Times New Roman"/>
                      <w:color w:val="auto"/>
                      <w:sz w:val="21"/>
                      <w:szCs w:val="21"/>
                      <w:lang w:val="en-US" w:eastAsia="zh-CN"/>
                    </w:rPr>
                    <w:t>55</w:t>
                  </w:r>
                  <w:r>
                    <w:rPr>
                      <w:rFonts w:ascii="Times New Roman" w:cs="Times New Roman"/>
                      <w:color w:val="auto"/>
                      <w:sz w:val="21"/>
                      <w:szCs w:val="21"/>
                    </w:rPr>
                    <w:t>吨</w:t>
                  </w:r>
                  <w:r>
                    <w:rPr>
                      <w:rFonts w:hint="eastAsia" w:ascii="Times New Roman" w:cs="Times New Roman"/>
                      <w:color w:val="auto"/>
                      <w:sz w:val="21"/>
                      <w:szCs w:val="21"/>
                    </w:rPr>
                    <w:t>，</w:t>
                  </w:r>
                  <w:r>
                    <w:rPr>
                      <w:rFonts w:ascii="Times New Roman" w:cs="Times New Roman"/>
                      <w:color w:val="auto"/>
                      <w:sz w:val="21"/>
                      <w:szCs w:val="21"/>
                    </w:rPr>
                    <w:t>则单位面积的用水量</w:t>
                  </w:r>
                  <w:r>
                    <w:rPr>
                      <w:rFonts w:hint="eastAsia" w:ascii="Times New Roman" w:cs="Times New Roman"/>
                      <w:color w:val="auto"/>
                      <w:sz w:val="21"/>
                      <w:szCs w:val="21"/>
                      <w:lang w:val="en-US" w:eastAsia="zh-CN"/>
                    </w:rPr>
                    <w:t>约</w:t>
                  </w:r>
                  <w:r>
                    <w:rPr>
                      <w:rFonts w:ascii="Times New Roman" w:cs="Times New Roman"/>
                      <w:color w:val="auto"/>
                      <w:sz w:val="21"/>
                      <w:szCs w:val="21"/>
                    </w:rPr>
                    <w:t>为</w:t>
                  </w:r>
                  <w:r>
                    <w:rPr>
                      <w:rFonts w:hint="eastAsia" w:ascii="Times New Roman" w:cs="Times New Roman"/>
                      <w:color w:val="auto"/>
                      <w:sz w:val="21"/>
                      <w:szCs w:val="21"/>
                      <w:lang w:val="en-US" w:eastAsia="zh-CN"/>
                    </w:rPr>
                    <w:t>3</w:t>
                  </w:r>
                  <w:r>
                    <w:rPr>
                      <w:rFonts w:ascii="Times New Roman" w:cs="Times New Roman"/>
                      <w:color w:val="auto"/>
                      <w:sz w:val="21"/>
                      <w:szCs w:val="21"/>
                    </w:rPr>
                    <w:t>.</w:t>
                  </w:r>
                  <w:r>
                    <w:rPr>
                      <w:rFonts w:hint="eastAsia" w:ascii="Times New Roman" w:cs="Times New Roman"/>
                      <w:color w:val="auto"/>
                      <w:sz w:val="21"/>
                      <w:szCs w:val="21"/>
                      <w:lang w:val="en-US" w:eastAsia="zh-CN"/>
                    </w:rPr>
                    <w:t>48</w:t>
                  </w:r>
                  <w:r>
                    <w:rPr>
                      <w:rFonts w:ascii="Times New Roman" w:cs="Times New Roman"/>
                      <w:color w:val="auto"/>
                      <w:sz w:val="21"/>
                      <w:szCs w:val="21"/>
                    </w:rPr>
                    <w:t>L/</w:t>
                  </w:r>
                  <w:r>
                    <w:rPr>
                      <w:rFonts w:hint="eastAsia" w:ascii="Times New Roman" w:cs="Times New Roman"/>
                      <w:color w:val="auto"/>
                      <w:sz w:val="21"/>
                      <w:szCs w:val="21"/>
                      <w:lang w:val="en-US" w:eastAsia="zh-CN"/>
                    </w:rPr>
                    <w:t>㎡</w:t>
                  </w:r>
                  <w:r>
                    <w:rPr>
                      <w:rFonts w:hint="eastAsia" w:ascii="Times New Roman" w:cs="Times New Roman"/>
                      <w:color w:val="auto"/>
                      <w:sz w:val="21"/>
                      <w:szCs w:val="21"/>
                    </w:rPr>
                    <w:t>。</w:t>
                  </w:r>
                </w:p>
                <w:p w14:paraId="58B554C4">
                  <w:pPr>
                    <w:pStyle w:val="46"/>
                    <w:ind w:firstLine="420" w:firstLineChars="200"/>
                    <w:jc w:val="left"/>
                    <w:rPr>
                      <w:rFonts w:ascii="Times New Roman" w:cs="Times New Roman"/>
                      <w:color w:val="auto"/>
                      <w:sz w:val="21"/>
                      <w:szCs w:val="21"/>
                    </w:rPr>
                  </w:pPr>
                  <w:r>
                    <w:rPr>
                      <w:rFonts w:hint="eastAsia" w:ascii="Times New Roman" w:cs="Times New Roman"/>
                      <w:color w:val="auto"/>
                      <w:sz w:val="21"/>
                      <w:szCs w:val="21"/>
                      <w:lang w:val="en-US" w:eastAsia="zh-CN"/>
                    </w:rPr>
                    <w:t>4</w:t>
                  </w:r>
                  <w:r>
                    <w:rPr>
                      <w:rFonts w:hint="eastAsia" w:ascii="Times New Roman" w:cs="Times New Roman"/>
                      <w:color w:val="auto"/>
                      <w:sz w:val="21"/>
                      <w:szCs w:val="21"/>
                    </w:rPr>
                    <w:t>、项目</w:t>
                  </w:r>
                  <w:r>
                    <w:rPr>
                      <w:rFonts w:hint="eastAsia" w:ascii="Times New Roman" w:cs="Times New Roman"/>
                      <w:color w:val="auto"/>
                      <w:sz w:val="21"/>
                      <w:szCs w:val="21"/>
                      <w:lang w:val="en-US" w:eastAsia="zh-CN"/>
                    </w:rPr>
                    <w:t>手</w:t>
                  </w:r>
                  <w:r>
                    <w:rPr>
                      <w:rFonts w:hint="eastAsia" w:ascii="Times New Roman" w:cs="Times New Roman"/>
                      <w:color w:val="auto"/>
                      <w:sz w:val="21"/>
                      <w:szCs w:val="21"/>
                    </w:rPr>
                    <w:t>动线</w:t>
                  </w:r>
                  <w:r>
                    <w:rPr>
                      <w:rFonts w:hint="eastAsia" w:ascii="Times New Roman" w:cs="Times New Roman"/>
                      <w:color w:val="auto"/>
                      <w:sz w:val="21"/>
                      <w:szCs w:val="21"/>
                      <w:lang w:val="en-US" w:eastAsia="zh-CN"/>
                    </w:rPr>
                    <w:t>清洗处理为内外面处理，</w:t>
                  </w:r>
                  <w:r>
                    <w:rPr>
                      <w:rFonts w:hint="eastAsia" w:ascii="Times New Roman" w:cs="Times New Roman"/>
                      <w:color w:val="auto"/>
                      <w:sz w:val="21"/>
                      <w:szCs w:val="21"/>
                    </w:rPr>
                    <w:t>需处理产品的面积为</w:t>
                  </w:r>
                  <w:r>
                    <w:rPr>
                      <w:rFonts w:hint="eastAsia" w:ascii="Times New Roman" w:cs="Times New Roman"/>
                      <w:color w:val="auto"/>
                      <w:sz w:val="21"/>
                      <w:szCs w:val="21"/>
                      <w:lang w:val="en-US" w:eastAsia="zh-CN"/>
                    </w:rPr>
                    <w:t>7640㎡</w:t>
                  </w:r>
                  <w:r>
                    <w:rPr>
                      <w:rFonts w:hint="eastAsia" w:ascii="Times New Roman" w:cs="Times New Roman"/>
                      <w:color w:val="auto"/>
                      <w:sz w:val="21"/>
                      <w:szCs w:val="21"/>
                    </w:rPr>
                    <w:t>，水洗</w:t>
                  </w:r>
                  <w:r>
                    <w:rPr>
                      <w:rFonts w:hint="eastAsia" w:ascii="Times New Roman" w:cs="Times New Roman"/>
                      <w:color w:val="auto"/>
                      <w:sz w:val="21"/>
                      <w:szCs w:val="21"/>
                      <w:lang w:val="en-US" w:eastAsia="zh-CN"/>
                    </w:rPr>
                    <w:t>池</w:t>
                  </w:r>
                  <w:r>
                    <w:rPr>
                      <w:rFonts w:hint="eastAsia" w:ascii="Times New Roman" w:cs="Times New Roman"/>
                      <w:color w:val="auto"/>
                      <w:sz w:val="21"/>
                      <w:szCs w:val="21"/>
                    </w:rPr>
                    <w:t>a年用水量为</w:t>
                  </w:r>
                  <w:r>
                    <w:rPr>
                      <w:rFonts w:hint="eastAsia" w:ascii="Times New Roman" w:cs="Times New Roman"/>
                      <w:color w:val="auto"/>
                      <w:sz w:val="21"/>
                      <w:szCs w:val="21"/>
                      <w:lang w:val="en-US" w:eastAsia="zh-CN"/>
                    </w:rPr>
                    <w:t>48.6</w:t>
                  </w:r>
                  <w:r>
                    <w:rPr>
                      <w:rFonts w:ascii="Times New Roman" w:cs="Times New Roman"/>
                      <w:color w:val="auto"/>
                      <w:sz w:val="21"/>
                      <w:szCs w:val="21"/>
                    </w:rPr>
                    <w:t>吨</w:t>
                  </w:r>
                  <w:r>
                    <w:rPr>
                      <w:rFonts w:hint="eastAsia" w:ascii="Times New Roman" w:cs="Times New Roman"/>
                      <w:color w:val="auto"/>
                      <w:sz w:val="21"/>
                      <w:szCs w:val="21"/>
                    </w:rPr>
                    <w:t>，</w:t>
                  </w:r>
                  <w:r>
                    <w:rPr>
                      <w:rFonts w:ascii="Times New Roman" w:cs="Times New Roman"/>
                      <w:color w:val="auto"/>
                      <w:sz w:val="21"/>
                      <w:szCs w:val="21"/>
                    </w:rPr>
                    <w:t>则单位面积的用水量</w:t>
                  </w:r>
                  <w:r>
                    <w:rPr>
                      <w:rFonts w:hint="eastAsia" w:ascii="Times New Roman" w:cs="Times New Roman"/>
                      <w:color w:val="auto"/>
                      <w:sz w:val="21"/>
                      <w:szCs w:val="21"/>
                      <w:lang w:val="en-US" w:eastAsia="zh-CN"/>
                    </w:rPr>
                    <w:t>约</w:t>
                  </w:r>
                  <w:r>
                    <w:rPr>
                      <w:rFonts w:ascii="Times New Roman" w:cs="Times New Roman"/>
                      <w:color w:val="auto"/>
                      <w:sz w:val="21"/>
                      <w:szCs w:val="21"/>
                    </w:rPr>
                    <w:t>为</w:t>
                  </w:r>
                  <w:r>
                    <w:rPr>
                      <w:rFonts w:hint="eastAsia" w:ascii="Times New Roman" w:cs="Times New Roman"/>
                      <w:color w:val="auto"/>
                      <w:sz w:val="21"/>
                      <w:szCs w:val="21"/>
                      <w:lang w:val="en-US" w:eastAsia="zh-CN"/>
                    </w:rPr>
                    <w:t>6</w:t>
                  </w:r>
                  <w:r>
                    <w:rPr>
                      <w:rFonts w:ascii="Times New Roman" w:cs="Times New Roman"/>
                      <w:color w:val="auto"/>
                      <w:sz w:val="21"/>
                      <w:szCs w:val="21"/>
                    </w:rPr>
                    <w:t>.</w:t>
                  </w:r>
                  <w:r>
                    <w:rPr>
                      <w:rFonts w:hint="eastAsia" w:ascii="Times New Roman" w:cs="Times New Roman"/>
                      <w:color w:val="auto"/>
                      <w:sz w:val="21"/>
                      <w:szCs w:val="21"/>
                      <w:lang w:val="en-US" w:eastAsia="zh-CN"/>
                    </w:rPr>
                    <w:t>36</w:t>
                  </w:r>
                  <w:r>
                    <w:rPr>
                      <w:rFonts w:ascii="Times New Roman" w:cs="Times New Roman"/>
                      <w:color w:val="auto"/>
                      <w:sz w:val="21"/>
                      <w:szCs w:val="21"/>
                    </w:rPr>
                    <w:t>L/</w:t>
                  </w:r>
                  <w:r>
                    <w:rPr>
                      <w:rFonts w:hint="eastAsia" w:ascii="Times New Roman" w:cs="Times New Roman"/>
                      <w:color w:val="auto"/>
                      <w:sz w:val="21"/>
                      <w:szCs w:val="21"/>
                      <w:lang w:val="en-US" w:eastAsia="zh-CN"/>
                    </w:rPr>
                    <w:t>㎡</w:t>
                  </w:r>
                  <w:r>
                    <w:rPr>
                      <w:rFonts w:hint="eastAsia" w:ascii="Times New Roman" w:cs="Times New Roman"/>
                      <w:color w:val="auto"/>
                      <w:sz w:val="21"/>
                      <w:szCs w:val="21"/>
                    </w:rPr>
                    <w:t>，水洗</w:t>
                  </w:r>
                  <w:r>
                    <w:rPr>
                      <w:rFonts w:hint="eastAsia" w:ascii="Times New Roman" w:cs="Times New Roman"/>
                      <w:color w:val="auto"/>
                      <w:sz w:val="21"/>
                      <w:szCs w:val="21"/>
                      <w:lang w:val="en-US" w:eastAsia="zh-CN"/>
                    </w:rPr>
                    <w:t>池</w:t>
                  </w:r>
                  <w:r>
                    <w:rPr>
                      <w:rFonts w:ascii="Times New Roman" w:cs="Times New Roman"/>
                      <w:color w:val="auto"/>
                      <w:sz w:val="21"/>
                      <w:szCs w:val="21"/>
                    </w:rPr>
                    <w:t>b</w:t>
                  </w:r>
                  <w:r>
                    <w:rPr>
                      <w:rFonts w:hint="eastAsia" w:ascii="Times New Roman" w:cs="Times New Roman"/>
                      <w:color w:val="auto"/>
                      <w:sz w:val="21"/>
                      <w:szCs w:val="21"/>
                    </w:rPr>
                    <w:t>、c年用水量为</w:t>
                  </w:r>
                  <w:r>
                    <w:rPr>
                      <w:rFonts w:hint="eastAsia" w:ascii="Times New Roman" w:cs="Times New Roman"/>
                      <w:color w:val="auto"/>
                      <w:sz w:val="21"/>
                      <w:szCs w:val="21"/>
                      <w:lang w:val="en-US" w:eastAsia="zh-CN"/>
                    </w:rPr>
                    <w:t>48.6</w:t>
                  </w:r>
                  <w:r>
                    <w:rPr>
                      <w:rFonts w:ascii="Times New Roman" w:cs="Times New Roman"/>
                      <w:color w:val="auto"/>
                      <w:sz w:val="21"/>
                      <w:szCs w:val="21"/>
                    </w:rPr>
                    <w:t>吨</w:t>
                  </w:r>
                  <w:r>
                    <w:rPr>
                      <w:rFonts w:hint="eastAsia" w:ascii="Times New Roman" w:cs="Times New Roman"/>
                      <w:color w:val="auto"/>
                      <w:sz w:val="21"/>
                      <w:szCs w:val="21"/>
                    </w:rPr>
                    <w:t>，</w:t>
                  </w:r>
                  <w:r>
                    <w:rPr>
                      <w:rFonts w:ascii="Times New Roman" w:cs="Times New Roman"/>
                      <w:color w:val="auto"/>
                      <w:sz w:val="21"/>
                      <w:szCs w:val="21"/>
                    </w:rPr>
                    <w:t>则单位面积的用水量</w:t>
                  </w:r>
                  <w:r>
                    <w:rPr>
                      <w:rFonts w:hint="eastAsia" w:ascii="Times New Roman" w:cs="Times New Roman"/>
                      <w:color w:val="auto"/>
                      <w:sz w:val="21"/>
                      <w:szCs w:val="21"/>
                      <w:lang w:val="en-US" w:eastAsia="zh-CN"/>
                    </w:rPr>
                    <w:t>约</w:t>
                  </w:r>
                  <w:r>
                    <w:rPr>
                      <w:rFonts w:ascii="Times New Roman" w:cs="Times New Roman"/>
                      <w:color w:val="auto"/>
                      <w:sz w:val="21"/>
                      <w:szCs w:val="21"/>
                    </w:rPr>
                    <w:t>为</w:t>
                  </w:r>
                  <w:r>
                    <w:rPr>
                      <w:rFonts w:hint="eastAsia" w:ascii="Times New Roman" w:cs="Times New Roman"/>
                      <w:color w:val="auto"/>
                      <w:sz w:val="21"/>
                      <w:szCs w:val="21"/>
                      <w:lang w:val="en-US" w:eastAsia="zh-CN"/>
                    </w:rPr>
                    <w:t>6</w:t>
                  </w:r>
                  <w:r>
                    <w:rPr>
                      <w:rFonts w:ascii="Times New Roman" w:cs="Times New Roman"/>
                      <w:color w:val="auto"/>
                      <w:sz w:val="21"/>
                      <w:szCs w:val="21"/>
                    </w:rPr>
                    <w:t>.</w:t>
                  </w:r>
                  <w:r>
                    <w:rPr>
                      <w:rFonts w:hint="eastAsia" w:ascii="Times New Roman" w:cs="Times New Roman"/>
                      <w:color w:val="auto"/>
                      <w:sz w:val="21"/>
                      <w:szCs w:val="21"/>
                      <w:lang w:val="en-US" w:eastAsia="zh-CN"/>
                    </w:rPr>
                    <w:t>36</w:t>
                  </w:r>
                  <w:r>
                    <w:rPr>
                      <w:rFonts w:ascii="Times New Roman" w:cs="Times New Roman"/>
                      <w:color w:val="auto"/>
                      <w:sz w:val="21"/>
                      <w:szCs w:val="21"/>
                    </w:rPr>
                    <w:t>L/</w:t>
                  </w:r>
                  <w:r>
                    <w:rPr>
                      <w:rFonts w:hint="eastAsia" w:ascii="Times New Roman" w:cs="Times New Roman"/>
                      <w:color w:val="auto"/>
                      <w:sz w:val="21"/>
                      <w:szCs w:val="21"/>
                      <w:lang w:val="en-US" w:eastAsia="zh-CN"/>
                    </w:rPr>
                    <w:t>㎡</w:t>
                  </w:r>
                  <w:r>
                    <w:rPr>
                      <w:rFonts w:hint="eastAsia" w:ascii="Times New Roman" w:cs="Times New Roman"/>
                      <w:color w:val="auto"/>
                      <w:sz w:val="21"/>
                      <w:szCs w:val="21"/>
                    </w:rPr>
                    <w:t>。</w:t>
                  </w:r>
                </w:p>
                <w:p w14:paraId="16F93B51">
                  <w:pPr>
                    <w:pStyle w:val="46"/>
                    <w:ind w:firstLine="480"/>
                    <w:jc w:val="left"/>
                    <w:rPr>
                      <w:color w:val="auto"/>
                    </w:rPr>
                  </w:pPr>
                  <w:r>
                    <w:rPr>
                      <w:rFonts w:ascii="Times New Roman" w:cs="Times New Roman"/>
                      <w:color w:val="auto"/>
                      <w:sz w:val="21"/>
                      <w:szCs w:val="21"/>
                    </w:rPr>
                    <w:t>综上所述</w:t>
                  </w:r>
                  <w:r>
                    <w:rPr>
                      <w:rFonts w:hint="eastAsia" w:ascii="Times New Roman" w:cs="Times New Roman"/>
                      <w:color w:val="auto"/>
                      <w:sz w:val="21"/>
                      <w:szCs w:val="21"/>
                    </w:rPr>
                    <w:t>，则用水量和更换频次能满足生产的需求。</w:t>
                  </w:r>
                </w:p>
              </w:tc>
            </w:tr>
          </w:tbl>
          <w:p w14:paraId="4A715889">
            <w:pPr>
              <w:adjustRightInd w:val="0"/>
              <w:snapToGrid w:val="0"/>
              <w:spacing w:line="360" w:lineRule="auto"/>
              <w:ind w:firstLine="420" w:firstLineChars="200"/>
              <w:jc w:val="left"/>
              <w:rPr>
                <w:rFonts w:hint="eastAsia" w:ascii="Times New Roman" w:hAnsi="Times New Roman" w:cs="AdobeSongStd-Light-Acro"/>
                <w:color w:val="auto"/>
                <w:kern w:val="0"/>
                <w:sz w:val="21"/>
                <w:szCs w:val="21"/>
              </w:rPr>
            </w:pPr>
            <w:r>
              <w:rPr>
                <w:rFonts w:hint="eastAsia" w:ascii="Times New Roman" w:hAnsi="Times New Roman" w:cs="AdobeSongStd-Light-Acro"/>
                <w:color w:val="auto"/>
                <w:kern w:val="0"/>
                <w:sz w:val="21"/>
                <w:szCs w:val="21"/>
              </w:rPr>
              <w:t>根据上表核算结果可知，</w:t>
            </w:r>
            <w:r>
              <w:rPr>
                <w:rFonts w:ascii="Times New Roman" w:hAnsi="Times New Roman"/>
                <w:color w:val="auto"/>
                <w:kern w:val="0"/>
                <w:sz w:val="21"/>
                <w:szCs w:val="21"/>
              </w:rPr>
              <w:t>预除油</w:t>
            </w:r>
            <w:r>
              <w:rPr>
                <w:rFonts w:hint="eastAsia" w:ascii="Times New Roman" w:hAnsi="Times New Roman"/>
                <w:color w:val="auto"/>
                <w:kern w:val="0"/>
                <w:sz w:val="21"/>
                <w:szCs w:val="21"/>
              </w:rPr>
              <w:t>+</w:t>
            </w:r>
            <w:r>
              <w:rPr>
                <w:rFonts w:ascii="Times New Roman" w:hAnsi="Times New Roman"/>
                <w:color w:val="auto"/>
                <w:kern w:val="0"/>
                <w:sz w:val="21"/>
                <w:szCs w:val="21"/>
              </w:rPr>
              <w:t>主除油</w:t>
            </w:r>
            <w:r>
              <w:rPr>
                <w:rFonts w:hint="eastAsia" w:ascii="Times New Roman" w:hAnsi="Times New Roman" w:cs="AdobeSongStd-Light-Acro"/>
                <w:color w:val="auto"/>
                <w:kern w:val="0"/>
                <w:sz w:val="21"/>
                <w:szCs w:val="21"/>
              </w:rPr>
              <w:t>更换次数为一年两次，</w:t>
            </w:r>
            <w:r>
              <w:rPr>
                <w:rFonts w:ascii="Times New Roman" w:hAnsi="Times New Roman"/>
                <w:color w:val="auto"/>
                <w:kern w:val="0"/>
                <w:sz w:val="21"/>
                <w:szCs w:val="21"/>
              </w:rPr>
              <w:t>预除油</w:t>
            </w:r>
            <w:r>
              <w:rPr>
                <w:rFonts w:hint="eastAsia" w:ascii="Times New Roman" w:hAnsi="Times New Roman"/>
                <w:color w:val="auto"/>
                <w:kern w:val="0"/>
                <w:sz w:val="21"/>
                <w:szCs w:val="21"/>
              </w:rPr>
              <w:t>+</w:t>
            </w:r>
            <w:r>
              <w:rPr>
                <w:rFonts w:ascii="Times New Roman" w:hAnsi="Times New Roman"/>
                <w:color w:val="auto"/>
                <w:kern w:val="0"/>
                <w:sz w:val="21"/>
                <w:szCs w:val="21"/>
              </w:rPr>
              <w:t>主除油</w:t>
            </w:r>
            <w:r>
              <w:rPr>
                <w:rFonts w:hint="eastAsia" w:ascii="Times New Roman" w:hAnsi="Times New Roman" w:cs="AdobeSongStd-Light-Acro"/>
                <w:color w:val="auto"/>
                <w:kern w:val="0"/>
                <w:sz w:val="21"/>
                <w:szCs w:val="21"/>
              </w:rPr>
              <w:t>总用水</w:t>
            </w:r>
            <w:r>
              <w:rPr>
                <w:rFonts w:hint="eastAsia" w:cs="AdobeSongStd-Light-Acro"/>
                <w:color w:val="auto"/>
                <w:kern w:val="0"/>
                <w:sz w:val="21"/>
                <w:szCs w:val="21"/>
                <w:lang w:val="en-US" w:eastAsia="zh-CN"/>
              </w:rPr>
              <w:t>量</w:t>
            </w:r>
            <w:r>
              <w:rPr>
                <w:rFonts w:hint="eastAsia" w:ascii="Times New Roman" w:hAnsi="Times New Roman" w:cs="AdobeSongStd-Light-Acro"/>
                <w:color w:val="auto"/>
                <w:kern w:val="0"/>
                <w:sz w:val="21"/>
                <w:szCs w:val="21"/>
              </w:rPr>
              <w:t>为</w:t>
            </w:r>
            <w:r>
              <w:rPr>
                <w:rFonts w:hint="eastAsia"/>
                <w:color w:val="auto"/>
                <w:sz w:val="21"/>
                <w:szCs w:val="21"/>
                <w:lang w:val="en-US" w:eastAsia="zh-CN"/>
              </w:rPr>
              <w:t>90</w:t>
            </w:r>
            <w:r>
              <w:rPr>
                <w:rFonts w:ascii="Times New Roman" w:hAnsi="Times New Roman"/>
                <w:color w:val="auto"/>
                <w:sz w:val="21"/>
                <w:szCs w:val="21"/>
              </w:rPr>
              <w:t>.6</w:t>
            </w:r>
            <w:r>
              <w:rPr>
                <w:rFonts w:hint="eastAsia"/>
                <w:color w:val="auto"/>
                <w:sz w:val="21"/>
                <w:szCs w:val="21"/>
                <w:lang w:val="en-US" w:eastAsia="zh-CN"/>
              </w:rPr>
              <w:t>6</w:t>
            </w:r>
            <w:r>
              <w:rPr>
                <w:rFonts w:ascii="Times New Roman" w:hAnsi="Times New Roman" w:cs="AdobeSongStd-Light-Acro"/>
                <w:color w:val="auto"/>
                <w:kern w:val="0"/>
                <w:sz w:val="21"/>
                <w:szCs w:val="21"/>
              </w:rPr>
              <w:t>t/a</w:t>
            </w:r>
            <w:r>
              <w:rPr>
                <w:rFonts w:hint="eastAsia" w:cs="AdobeSongStd-Light-Acro"/>
                <w:color w:val="auto"/>
                <w:kern w:val="0"/>
                <w:sz w:val="21"/>
                <w:szCs w:val="21"/>
                <w:lang w:eastAsia="zh-CN"/>
              </w:rPr>
              <w:t>，</w:t>
            </w:r>
            <w:r>
              <w:rPr>
                <w:rFonts w:hint="eastAsia" w:cs="AdobeSongStd-Light-Acro"/>
                <w:color w:val="auto"/>
                <w:kern w:val="0"/>
                <w:sz w:val="21"/>
                <w:szCs w:val="21"/>
                <w:lang w:val="en-US" w:eastAsia="zh-CN"/>
              </w:rPr>
              <w:t>除油剂用量为4.54t/a，</w:t>
            </w:r>
            <w:r>
              <w:rPr>
                <w:rFonts w:hint="eastAsia" w:ascii="Times New Roman" w:hAnsi="Times New Roman" w:cs="AdobeSongStd-Light-Acro"/>
                <w:color w:val="auto"/>
                <w:kern w:val="0"/>
                <w:sz w:val="21"/>
                <w:szCs w:val="21"/>
              </w:rPr>
              <w:t>其中</w:t>
            </w:r>
            <w:r>
              <w:rPr>
                <w:rFonts w:hint="eastAsia" w:cs="AdobeSongStd-Light-Acro"/>
                <w:color w:val="auto"/>
                <w:kern w:val="0"/>
                <w:sz w:val="21"/>
                <w:szCs w:val="21"/>
                <w:lang w:val="en-US" w:eastAsia="zh-CN"/>
              </w:rPr>
              <w:t>含</w:t>
            </w:r>
            <w:r>
              <w:rPr>
                <w:rFonts w:hint="eastAsia" w:ascii="Times New Roman" w:hAnsi="Times New Roman" w:cs="AdobeSongStd-Light-Acro"/>
                <w:color w:val="auto"/>
                <w:kern w:val="0"/>
                <w:sz w:val="21"/>
                <w:szCs w:val="21"/>
              </w:rPr>
              <w:t>补充水</w:t>
            </w:r>
            <w:r>
              <w:rPr>
                <w:rFonts w:hint="eastAsia"/>
                <w:color w:val="auto"/>
                <w:sz w:val="21"/>
                <w:szCs w:val="21"/>
                <w:lang w:val="en-US" w:eastAsia="zh-CN"/>
              </w:rPr>
              <w:t>84</w:t>
            </w:r>
            <w:r>
              <w:rPr>
                <w:rFonts w:ascii="Times New Roman" w:hAnsi="Times New Roman" w:cs="AdobeSongStd-Light-Acro"/>
                <w:color w:val="auto"/>
                <w:kern w:val="0"/>
                <w:sz w:val="21"/>
                <w:szCs w:val="21"/>
              </w:rPr>
              <w:t>t/a</w:t>
            </w:r>
            <w:r>
              <w:rPr>
                <w:rFonts w:hint="eastAsia" w:ascii="Times New Roman" w:hAnsi="Times New Roman" w:cs="AdobeSongStd-Light-Acro"/>
                <w:color w:val="auto"/>
                <w:kern w:val="0"/>
                <w:sz w:val="21"/>
                <w:szCs w:val="21"/>
              </w:rPr>
              <w:t>，</w:t>
            </w:r>
            <w:r>
              <w:rPr>
                <w:rFonts w:ascii="Times New Roman" w:hAnsi="Times New Roman" w:cs="AdobeSongStd-Light-Acro"/>
                <w:color w:val="auto"/>
                <w:kern w:val="0"/>
                <w:sz w:val="21"/>
                <w:szCs w:val="21"/>
              </w:rPr>
              <w:t>产生废液1</w:t>
            </w:r>
            <w:r>
              <w:rPr>
                <w:rFonts w:hint="eastAsia" w:cs="AdobeSongStd-Light-Acro"/>
                <w:color w:val="auto"/>
                <w:kern w:val="0"/>
                <w:sz w:val="21"/>
                <w:szCs w:val="21"/>
                <w:lang w:val="en-US" w:eastAsia="zh-CN"/>
              </w:rPr>
              <w:t>1</w:t>
            </w:r>
            <w:r>
              <w:rPr>
                <w:rFonts w:ascii="Times New Roman" w:hAnsi="Times New Roman" w:cs="AdobeSongStd-Light-Acro"/>
                <w:color w:val="auto"/>
                <w:kern w:val="0"/>
                <w:sz w:val="21"/>
                <w:szCs w:val="21"/>
              </w:rPr>
              <w:t>.</w:t>
            </w:r>
            <w:r>
              <w:rPr>
                <w:rFonts w:hint="eastAsia" w:cs="AdobeSongStd-Light-Acro"/>
                <w:color w:val="auto"/>
                <w:kern w:val="0"/>
                <w:sz w:val="21"/>
                <w:szCs w:val="21"/>
                <w:lang w:val="en-US" w:eastAsia="zh-CN"/>
              </w:rPr>
              <w:t>2</w:t>
            </w:r>
            <w:r>
              <w:rPr>
                <w:rFonts w:ascii="Times New Roman" w:hAnsi="Times New Roman" w:cs="AdobeSongStd-Light-Acro"/>
                <w:color w:val="auto"/>
                <w:kern w:val="0"/>
                <w:sz w:val="21"/>
                <w:szCs w:val="21"/>
              </w:rPr>
              <w:t>t/a</w:t>
            </w:r>
            <w:r>
              <w:rPr>
                <w:rFonts w:hint="eastAsia" w:ascii="Times New Roman" w:hAnsi="Times New Roman" w:cs="AdobeSongStd-Light-Acro"/>
                <w:color w:val="auto"/>
                <w:kern w:val="0"/>
                <w:sz w:val="21"/>
                <w:szCs w:val="21"/>
              </w:rPr>
              <w:t>；</w:t>
            </w:r>
            <w:r>
              <w:rPr>
                <w:rFonts w:hint="eastAsia" w:cs="AdobeSongStd-Light-Acro"/>
                <w:color w:val="auto"/>
                <w:kern w:val="0"/>
                <w:sz w:val="21"/>
                <w:szCs w:val="21"/>
                <w:lang w:val="en-US" w:eastAsia="zh-CN"/>
              </w:rPr>
              <w:t>故</w:t>
            </w:r>
            <w:r>
              <w:rPr>
                <w:rFonts w:hint="eastAsia" w:ascii="Times New Roman" w:cs="AdobeSongStd-Light-Acro"/>
                <w:color w:val="auto"/>
                <w:kern w:val="0"/>
                <w:sz w:val="21"/>
                <w:szCs w:val="21"/>
                <w:lang w:val="en-US" w:eastAsia="zh-CN"/>
              </w:rPr>
              <w:t>预除油</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1</w:t>
            </w:r>
            <w:r>
              <w:rPr>
                <w:rFonts w:hint="eastAsia" w:ascii="Times New Roman" w:cs="AdobeSongStd-Light-Acro"/>
                <w:color w:val="auto"/>
                <w:kern w:val="0"/>
                <w:sz w:val="21"/>
                <w:szCs w:val="21"/>
                <w:lang w:eastAsia="zh-CN"/>
              </w:rPr>
              <w:t>、</w:t>
            </w:r>
            <w:r>
              <w:rPr>
                <w:rFonts w:hint="eastAsia" w:ascii="Times New Roman" w:cs="AdobeSongStd-Light-Acro"/>
                <w:color w:val="auto"/>
                <w:kern w:val="0"/>
                <w:sz w:val="21"/>
                <w:szCs w:val="21"/>
                <w:lang w:val="en-US" w:eastAsia="zh-CN"/>
              </w:rPr>
              <w:t>主除油池1、预除油</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a及除油</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a产生除油废液</w:t>
            </w:r>
            <w:r>
              <w:rPr>
                <w:rFonts w:hint="eastAsia" w:cs="AdobeSongStd-Light-Acro"/>
                <w:color w:val="auto"/>
                <w:kern w:val="0"/>
                <w:sz w:val="21"/>
                <w:szCs w:val="21"/>
                <w:lang w:val="en-US" w:eastAsia="zh-CN"/>
              </w:rPr>
              <w:t>（</w:t>
            </w:r>
            <w:r>
              <w:rPr>
                <w:rFonts w:ascii="Times New Roman" w:hAnsi="Times New Roman" w:cs="AdobeSongStd-Light-Acro"/>
                <w:color w:val="auto"/>
                <w:kern w:val="0"/>
                <w:sz w:val="21"/>
                <w:szCs w:val="21"/>
              </w:rPr>
              <w:t>1</w:t>
            </w:r>
            <w:r>
              <w:rPr>
                <w:rFonts w:hint="eastAsia" w:cs="AdobeSongStd-Light-Acro"/>
                <w:color w:val="auto"/>
                <w:kern w:val="0"/>
                <w:sz w:val="21"/>
                <w:szCs w:val="21"/>
                <w:lang w:val="en-US" w:eastAsia="zh-CN"/>
              </w:rPr>
              <w:t>1</w:t>
            </w:r>
            <w:r>
              <w:rPr>
                <w:rFonts w:ascii="Times New Roman" w:hAnsi="Times New Roman" w:cs="AdobeSongStd-Light-Acro"/>
                <w:color w:val="auto"/>
                <w:kern w:val="0"/>
                <w:sz w:val="21"/>
                <w:szCs w:val="21"/>
              </w:rPr>
              <w:t>.</w:t>
            </w:r>
            <w:r>
              <w:rPr>
                <w:rFonts w:hint="eastAsia" w:cs="AdobeSongStd-Light-Acro"/>
                <w:color w:val="auto"/>
                <w:kern w:val="0"/>
                <w:sz w:val="21"/>
                <w:szCs w:val="21"/>
                <w:lang w:val="en-US" w:eastAsia="zh-CN"/>
              </w:rPr>
              <w:t>2</w:t>
            </w:r>
            <w:r>
              <w:rPr>
                <w:rFonts w:ascii="Times New Roman" w:hAnsi="Times New Roman" w:cs="AdobeSongStd-Light-Acro"/>
                <w:color w:val="auto"/>
                <w:kern w:val="0"/>
                <w:sz w:val="21"/>
                <w:szCs w:val="21"/>
              </w:rPr>
              <w:t>t/a</w:t>
            </w:r>
            <w:r>
              <w:rPr>
                <w:rFonts w:hint="eastAsia" w:cs="AdobeSongStd-Light-Acro"/>
                <w:color w:val="auto"/>
                <w:kern w:val="0"/>
                <w:sz w:val="21"/>
                <w:szCs w:val="21"/>
                <w:lang w:val="en-US" w:eastAsia="zh-CN"/>
              </w:rPr>
              <w:t>），</w:t>
            </w:r>
            <w:r>
              <w:rPr>
                <w:rFonts w:hint="eastAsia" w:ascii="Times New Roman" w:cs="AdobeSongStd-Light-Acro"/>
                <w:color w:val="auto"/>
                <w:kern w:val="0"/>
                <w:sz w:val="21"/>
                <w:szCs w:val="21"/>
                <w:lang w:val="en-US" w:eastAsia="zh-CN"/>
              </w:rPr>
              <w:t>收集后交由具有危险废物经营许可的单位处理</w:t>
            </w:r>
            <w:r>
              <w:rPr>
                <w:rFonts w:hint="eastAsia" w:cs="AdobeSongStd-Light-Acro"/>
                <w:color w:val="auto"/>
                <w:kern w:val="0"/>
                <w:sz w:val="21"/>
                <w:szCs w:val="21"/>
                <w:lang w:val="en-US" w:eastAsia="zh-CN"/>
              </w:rPr>
              <w:t>。</w:t>
            </w:r>
          </w:p>
          <w:p w14:paraId="70F0BDD2">
            <w:pPr>
              <w:adjustRightInd w:val="0"/>
              <w:snapToGrid w:val="0"/>
              <w:spacing w:line="360" w:lineRule="auto"/>
              <w:ind w:firstLine="420" w:firstLineChars="200"/>
              <w:jc w:val="left"/>
              <w:rPr>
                <w:rFonts w:hint="eastAsia" w:ascii="Times New Roman" w:hAnsi="Times New Roman" w:cs="AdobeSongStd-Light-Acro"/>
                <w:color w:val="auto"/>
                <w:kern w:val="0"/>
                <w:sz w:val="21"/>
                <w:szCs w:val="21"/>
              </w:rPr>
            </w:pPr>
            <w:r>
              <w:rPr>
                <w:rFonts w:hint="eastAsia" w:ascii="Times New Roman" w:hAnsi="Times New Roman" w:cs="AdobeSongStd-Light-Acro"/>
                <w:color w:val="auto"/>
                <w:kern w:val="0"/>
                <w:sz w:val="21"/>
                <w:szCs w:val="21"/>
              </w:rPr>
              <w:t>陶化更换次数为一年一次，陶化用水</w:t>
            </w:r>
            <w:r>
              <w:rPr>
                <w:rFonts w:hint="eastAsia" w:cs="AdobeSongStd-Light-Acro"/>
                <w:color w:val="auto"/>
                <w:kern w:val="0"/>
                <w:sz w:val="21"/>
                <w:szCs w:val="21"/>
                <w:lang w:val="en-US" w:eastAsia="zh-CN"/>
              </w:rPr>
              <w:t>量</w:t>
            </w:r>
            <w:r>
              <w:rPr>
                <w:rFonts w:hint="eastAsia" w:ascii="Times New Roman" w:hAnsi="Times New Roman" w:cs="AdobeSongStd-Light-Acro"/>
                <w:color w:val="auto"/>
                <w:kern w:val="0"/>
                <w:sz w:val="21"/>
                <w:szCs w:val="21"/>
              </w:rPr>
              <w:t>为</w:t>
            </w:r>
            <w:r>
              <w:rPr>
                <w:rFonts w:hint="eastAsia"/>
                <w:color w:val="auto"/>
                <w:sz w:val="21"/>
                <w:szCs w:val="21"/>
                <w:lang w:val="en-US" w:eastAsia="zh-CN"/>
              </w:rPr>
              <w:t>43</w:t>
            </w:r>
            <w:r>
              <w:rPr>
                <w:rFonts w:ascii="Times New Roman" w:hAnsi="Times New Roman"/>
                <w:color w:val="auto"/>
                <w:sz w:val="21"/>
                <w:szCs w:val="21"/>
              </w:rPr>
              <w:t>.</w:t>
            </w:r>
            <w:r>
              <w:rPr>
                <w:rFonts w:hint="eastAsia"/>
                <w:color w:val="auto"/>
                <w:sz w:val="21"/>
                <w:szCs w:val="21"/>
                <w:lang w:val="en-US" w:eastAsia="zh-CN"/>
              </w:rPr>
              <w:t>71</w:t>
            </w:r>
            <w:r>
              <w:rPr>
                <w:rFonts w:hint="eastAsia" w:ascii="Times New Roman" w:hAnsi="Times New Roman"/>
                <w:color w:val="auto"/>
                <w:sz w:val="21"/>
                <w:szCs w:val="21"/>
              </w:rPr>
              <w:t>t</w:t>
            </w:r>
            <w:r>
              <w:rPr>
                <w:rFonts w:ascii="Times New Roman" w:hAnsi="Times New Roman" w:cs="AdobeSongStd-Light-Acro"/>
                <w:color w:val="auto"/>
                <w:kern w:val="0"/>
                <w:sz w:val="21"/>
                <w:szCs w:val="21"/>
              </w:rPr>
              <w:t>/a</w:t>
            </w:r>
            <w:r>
              <w:rPr>
                <w:rFonts w:hint="eastAsia" w:cs="AdobeSongStd-Light-Acro"/>
                <w:color w:val="auto"/>
                <w:kern w:val="0"/>
                <w:sz w:val="21"/>
                <w:szCs w:val="21"/>
                <w:lang w:eastAsia="zh-CN"/>
              </w:rPr>
              <w:t>，</w:t>
            </w:r>
            <w:r>
              <w:rPr>
                <w:rFonts w:hint="eastAsia" w:cs="AdobeSongStd-Light-Acro"/>
                <w:color w:val="auto"/>
                <w:kern w:val="0"/>
                <w:sz w:val="21"/>
                <w:szCs w:val="21"/>
                <w:lang w:val="en-US" w:eastAsia="zh-CN"/>
              </w:rPr>
              <w:t>陶化剂用量为1.09t/a，</w:t>
            </w:r>
            <w:r>
              <w:rPr>
                <w:rFonts w:hint="eastAsia" w:ascii="Times New Roman" w:hAnsi="Times New Roman" w:cs="AdobeSongStd-Light-Acro"/>
                <w:color w:val="auto"/>
                <w:kern w:val="0"/>
                <w:sz w:val="21"/>
                <w:szCs w:val="21"/>
              </w:rPr>
              <w:t>其中</w:t>
            </w:r>
            <w:r>
              <w:rPr>
                <w:rFonts w:hint="eastAsia" w:cs="AdobeSongStd-Light-Acro"/>
                <w:color w:val="auto"/>
                <w:kern w:val="0"/>
                <w:sz w:val="21"/>
                <w:szCs w:val="21"/>
                <w:lang w:val="en-US" w:eastAsia="zh-CN"/>
              </w:rPr>
              <w:t>含</w:t>
            </w:r>
            <w:r>
              <w:rPr>
                <w:rFonts w:hint="eastAsia" w:ascii="Times New Roman" w:hAnsi="Times New Roman" w:cs="AdobeSongStd-Light-Acro"/>
                <w:color w:val="auto"/>
                <w:kern w:val="0"/>
                <w:sz w:val="21"/>
                <w:szCs w:val="21"/>
              </w:rPr>
              <w:t>补充水</w:t>
            </w:r>
            <w:r>
              <w:rPr>
                <w:rFonts w:hint="eastAsia" w:cs="AdobeSongStd-Light-Acro"/>
                <w:color w:val="auto"/>
                <w:kern w:val="0"/>
                <w:sz w:val="21"/>
                <w:szCs w:val="21"/>
                <w:lang w:val="en-US" w:eastAsia="zh-CN"/>
              </w:rPr>
              <w:t>42</w:t>
            </w:r>
            <w:r>
              <w:rPr>
                <w:rFonts w:ascii="Times New Roman" w:hAnsi="Times New Roman" w:cs="AdobeSongStd-Light-Acro"/>
                <w:color w:val="auto"/>
                <w:kern w:val="0"/>
                <w:sz w:val="21"/>
                <w:szCs w:val="21"/>
              </w:rPr>
              <w:t>t/a</w:t>
            </w:r>
            <w:r>
              <w:rPr>
                <w:rFonts w:hint="eastAsia" w:ascii="Times New Roman" w:hAnsi="Times New Roman" w:cs="AdobeSongStd-Light-Acro"/>
                <w:color w:val="auto"/>
                <w:kern w:val="0"/>
                <w:sz w:val="21"/>
                <w:szCs w:val="21"/>
              </w:rPr>
              <w:t>，</w:t>
            </w:r>
            <w:r>
              <w:rPr>
                <w:rFonts w:ascii="Times New Roman" w:hAnsi="Times New Roman" w:cs="AdobeSongStd-Light-Acro"/>
                <w:color w:val="auto"/>
                <w:kern w:val="0"/>
                <w:sz w:val="21"/>
                <w:szCs w:val="21"/>
              </w:rPr>
              <w:t>产生废液</w:t>
            </w:r>
            <w:r>
              <w:rPr>
                <w:rFonts w:hint="eastAsia"/>
                <w:color w:val="auto"/>
                <w:sz w:val="21"/>
                <w:szCs w:val="21"/>
                <w:lang w:val="en-US" w:eastAsia="zh-CN"/>
              </w:rPr>
              <w:t>2</w:t>
            </w:r>
            <w:r>
              <w:rPr>
                <w:rFonts w:ascii="Times New Roman" w:hAnsi="Times New Roman"/>
                <w:color w:val="auto"/>
                <w:sz w:val="21"/>
                <w:szCs w:val="21"/>
              </w:rPr>
              <w:t>.</w:t>
            </w:r>
            <w:r>
              <w:rPr>
                <w:rFonts w:hint="eastAsia"/>
                <w:color w:val="auto"/>
                <w:sz w:val="21"/>
                <w:szCs w:val="21"/>
                <w:lang w:val="en-US" w:eastAsia="zh-CN"/>
              </w:rPr>
              <w:t>8</w:t>
            </w:r>
            <w:r>
              <w:rPr>
                <w:rFonts w:ascii="Times New Roman" w:hAnsi="Times New Roman" w:cs="AdobeSongStd-Light-Acro"/>
                <w:color w:val="auto"/>
                <w:kern w:val="0"/>
                <w:sz w:val="21"/>
                <w:szCs w:val="21"/>
              </w:rPr>
              <w:t>t/a</w:t>
            </w:r>
            <w:r>
              <w:rPr>
                <w:rFonts w:hint="eastAsia" w:ascii="Times New Roman" w:hAnsi="Times New Roman" w:cs="AdobeSongStd-Light-Acro"/>
                <w:color w:val="auto"/>
                <w:kern w:val="0"/>
                <w:sz w:val="21"/>
                <w:szCs w:val="21"/>
              </w:rPr>
              <w:t>；</w:t>
            </w:r>
            <w:r>
              <w:rPr>
                <w:rFonts w:hint="eastAsia" w:cs="AdobeSongStd-Light-Acro"/>
                <w:color w:val="auto"/>
                <w:kern w:val="0"/>
                <w:sz w:val="21"/>
                <w:szCs w:val="21"/>
                <w:lang w:val="en-US" w:eastAsia="zh-CN"/>
              </w:rPr>
              <w:t>故</w:t>
            </w:r>
            <w:r>
              <w:rPr>
                <w:rFonts w:hint="eastAsia" w:ascii="Times New Roman" w:cs="AdobeSongStd-Light-Acro"/>
                <w:color w:val="auto"/>
                <w:kern w:val="0"/>
                <w:sz w:val="21"/>
                <w:szCs w:val="21"/>
                <w:lang w:val="en-US" w:eastAsia="zh-CN"/>
              </w:rPr>
              <w:t>陶化</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1、陶化</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a产生陶化废液（2.8t/a）</w:t>
            </w:r>
            <w:r>
              <w:rPr>
                <w:rFonts w:hint="eastAsia" w:cs="AdobeSongStd-Light-Acro"/>
                <w:color w:val="auto"/>
                <w:kern w:val="0"/>
                <w:sz w:val="21"/>
                <w:szCs w:val="21"/>
                <w:lang w:val="en-US" w:eastAsia="zh-CN"/>
              </w:rPr>
              <w:t>，</w:t>
            </w:r>
            <w:r>
              <w:rPr>
                <w:rFonts w:hint="eastAsia" w:ascii="Times New Roman" w:cs="AdobeSongStd-Light-Acro"/>
                <w:color w:val="auto"/>
                <w:kern w:val="0"/>
                <w:sz w:val="21"/>
                <w:szCs w:val="21"/>
                <w:lang w:val="en-US" w:eastAsia="zh-CN"/>
              </w:rPr>
              <w:t>收集后交由具有危险废物经营许可的单位处理</w:t>
            </w:r>
            <w:r>
              <w:rPr>
                <w:rFonts w:hint="eastAsia" w:cs="AdobeSongStd-Light-Acro"/>
                <w:color w:val="auto"/>
                <w:kern w:val="0"/>
                <w:sz w:val="21"/>
                <w:szCs w:val="21"/>
                <w:lang w:val="en-US" w:eastAsia="zh-CN"/>
              </w:rPr>
              <w:t>。</w:t>
            </w:r>
          </w:p>
          <w:p w14:paraId="3E96CCC1">
            <w:pPr>
              <w:adjustRightInd w:val="0"/>
              <w:snapToGrid w:val="0"/>
              <w:spacing w:line="360" w:lineRule="auto"/>
              <w:ind w:firstLine="420" w:firstLineChars="200"/>
              <w:jc w:val="left"/>
              <w:rPr>
                <w:rFonts w:hint="default" w:eastAsia="宋体"/>
                <w:color w:val="auto"/>
                <w:lang w:val="en-US" w:eastAsia="zh-CN"/>
              </w:rPr>
            </w:pPr>
            <w:r>
              <w:rPr>
                <w:rFonts w:hint="eastAsia" w:ascii="Times New Roman" w:hAnsi="Times New Roman" w:cs="AdobeSongStd-Light-Acro"/>
                <w:color w:val="auto"/>
                <w:kern w:val="0"/>
                <w:sz w:val="21"/>
                <w:szCs w:val="21"/>
              </w:rPr>
              <w:t>自动前处理线水洗池</w:t>
            </w:r>
            <w:r>
              <w:rPr>
                <w:rFonts w:hint="eastAsia" w:cs="AdobeSongStd-Light-Acro"/>
                <w:color w:val="auto"/>
                <w:kern w:val="0"/>
                <w:sz w:val="21"/>
                <w:szCs w:val="21"/>
                <w:lang w:val="en-US" w:eastAsia="zh-CN"/>
              </w:rPr>
              <w:t>年更换240次，手</w:t>
            </w:r>
            <w:r>
              <w:rPr>
                <w:rFonts w:hint="eastAsia" w:ascii="Times New Roman" w:hAnsi="Times New Roman" w:cs="AdobeSongStd-Light-Acro"/>
                <w:color w:val="auto"/>
                <w:kern w:val="0"/>
                <w:sz w:val="21"/>
                <w:szCs w:val="21"/>
              </w:rPr>
              <w:t>动前处理线水洗池</w:t>
            </w:r>
            <w:r>
              <w:rPr>
                <w:rFonts w:hint="eastAsia" w:cs="AdobeSongStd-Light-Acro"/>
                <w:color w:val="auto"/>
                <w:kern w:val="0"/>
                <w:sz w:val="21"/>
                <w:szCs w:val="21"/>
                <w:lang w:val="en-US" w:eastAsia="zh-CN"/>
              </w:rPr>
              <w:t>每月更换1次（12次/a），</w:t>
            </w:r>
            <w:r>
              <w:rPr>
                <w:rFonts w:hint="eastAsia" w:ascii="Times New Roman" w:hAnsi="Times New Roman" w:cs="AdobeSongStd-Light-Acro"/>
                <w:color w:val="auto"/>
                <w:kern w:val="0"/>
                <w:sz w:val="21"/>
                <w:szCs w:val="21"/>
              </w:rPr>
              <w:t>自动前处理线水洗池和</w:t>
            </w:r>
            <w:r>
              <w:rPr>
                <w:rFonts w:hint="eastAsia" w:cs="AdobeSongStd-Light-Acro"/>
                <w:color w:val="auto"/>
                <w:kern w:val="0"/>
                <w:sz w:val="21"/>
                <w:szCs w:val="21"/>
                <w:lang w:val="en-US" w:eastAsia="zh-CN"/>
              </w:rPr>
              <w:t>手</w:t>
            </w:r>
            <w:r>
              <w:rPr>
                <w:rFonts w:hint="eastAsia" w:ascii="Times New Roman" w:hAnsi="Times New Roman" w:cs="AdobeSongStd-Light-Acro"/>
                <w:color w:val="auto"/>
                <w:kern w:val="0"/>
                <w:sz w:val="21"/>
                <w:szCs w:val="21"/>
              </w:rPr>
              <w:t>动前处理线水洗池总用水为</w:t>
            </w:r>
            <w:r>
              <w:rPr>
                <w:rFonts w:hint="eastAsia" w:cs="AdobeSongStd-Light-Acro"/>
                <w:color w:val="auto"/>
                <w:kern w:val="0"/>
                <w:sz w:val="21"/>
                <w:szCs w:val="21"/>
                <w:lang w:val="en-US" w:eastAsia="zh-CN"/>
              </w:rPr>
              <w:t>655.8</w:t>
            </w:r>
            <w:r>
              <w:rPr>
                <w:rFonts w:ascii="Times New Roman" w:hAnsi="Times New Roman" w:cs="AdobeSongStd-Light-Acro"/>
                <w:color w:val="auto"/>
                <w:kern w:val="0"/>
                <w:sz w:val="21"/>
                <w:szCs w:val="21"/>
              </w:rPr>
              <w:t>t/a</w:t>
            </w:r>
            <w:r>
              <w:rPr>
                <w:rFonts w:hint="eastAsia" w:cs="AdobeSongStd-Light-Acro"/>
                <w:color w:val="auto"/>
                <w:kern w:val="0"/>
                <w:sz w:val="21"/>
                <w:szCs w:val="21"/>
                <w:lang w:eastAsia="zh-CN"/>
              </w:rPr>
              <w:t>，</w:t>
            </w:r>
            <w:r>
              <w:rPr>
                <w:rFonts w:hint="eastAsia" w:ascii="Times New Roman" w:hAnsi="Times New Roman" w:cs="AdobeSongStd-Light-Acro"/>
                <w:color w:val="auto"/>
                <w:kern w:val="0"/>
                <w:sz w:val="21"/>
                <w:szCs w:val="21"/>
              </w:rPr>
              <w:t>其中补充水为</w:t>
            </w:r>
            <w:r>
              <w:rPr>
                <w:rFonts w:hint="eastAsia" w:cs="AdobeSongStd-Light-Acro"/>
                <w:color w:val="auto"/>
                <w:kern w:val="0"/>
                <w:sz w:val="21"/>
                <w:szCs w:val="21"/>
                <w:lang w:val="en-US" w:eastAsia="zh-CN"/>
              </w:rPr>
              <w:t>111</w:t>
            </w:r>
            <w:r>
              <w:rPr>
                <w:rFonts w:ascii="Times New Roman" w:hAnsi="Times New Roman" w:cs="AdobeSongStd-Light-Acro"/>
                <w:color w:val="auto"/>
                <w:kern w:val="0"/>
                <w:sz w:val="21"/>
                <w:szCs w:val="21"/>
              </w:rPr>
              <w:t>t/a</w:t>
            </w:r>
            <w:r>
              <w:rPr>
                <w:rFonts w:hint="eastAsia" w:ascii="Times New Roman" w:hAnsi="Times New Roman" w:cs="AdobeSongStd-Light-Acro"/>
                <w:color w:val="auto"/>
                <w:kern w:val="0"/>
                <w:sz w:val="21"/>
                <w:szCs w:val="21"/>
              </w:rPr>
              <w:t>，</w:t>
            </w:r>
            <w:r>
              <w:rPr>
                <w:rFonts w:ascii="Times New Roman" w:hAnsi="Times New Roman" w:cs="AdobeSongStd-Light-Acro"/>
                <w:color w:val="auto"/>
                <w:kern w:val="0"/>
                <w:sz w:val="21"/>
                <w:szCs w:val="21"/>
              </w:rPr>
              <w:t>产生的废水</w:t>
            </w:r>
            <w:r>
              <w:rPr>
                <w:rFonts w:hint="eastAsia" w:cs="AdobeSongStd-Light-Acro"/>
                <w:color w:val="auto"/>
                <w:kern w:val="0"/>
                <w:sz w:val="21"/>
                <w:szCs w:val="21"/>
                <w:lang w:val="en-US" w:eastAsia="zh-CN"/>
              </w:rPr>
              <w:t>544.8</w:t>
            </w:r>
            <w:r>
              <w:rPr>
                <w:rFonts w:ascii="Times New Roman" w:hAnsi="Times New Roman" w:cs="AdobeSongStd-Light-Acro"/>
                <w:color w:val="auto"/>
                <w:kern w:val="0"/>
                <w:sz w:val="21"/>
                <w:szCs w:val="21"/>
              </w:rPr>
              <w:t>t/a</w:t>
            </w:r>
            <w:r>
              <w:rPr>
                <w:rFonts w:hint="eastAsia" w:cs="AdobeSongStd-Light-Acro"/>
                <w:color w:val="auto"/>
                <w:kern w:val="0"/>
                <w:sz w:val="21"/>
                <w:szCs w:val="21"/>
                <w:lang w:eastAsia="zh-CN"/>
              </w:rPr>
              <w:t>；</w:t>
            </w:r>
            <w:r>
              <w:rPr>
                <w:rFonts w:hint="eastAsia" w:ascii="Times New Roman" w:cs="AdobeSongStd-Light-Acro"/>
                <w:color w:val="auto"/>
                <w:kern w:val="0"/>
                <w:sz w:val="21"/>
                <w:szCs w:val="21"/>
                <w:lang w:val="en-US" w:eastAsia="zh-CN"/>
              </w:rPr>
              <w:t xml:space="preserve"> </w:t>
            </w:r>
            <w:r>
              <w:rPr>
                <w:rFonts w:hint="eastAsia" w:cs="AdobeSongStd-Light-Acro"/>
                <w:color w:val="auto"/>
                <w:kern w:val="0"/>
                <w:sz w:val="21"/>
                <w:szCs w:val="21"/>
                <w:lang w:val="en-US" w:eastAsia="zh-CN"/>
              </w:rPr>
              <w:t>故</w:t>
            </w:r>
            <w:r>
              <w:rPr>
                <w:rFonts w:hint="eastAsia" w:ascii="Times New Roman" w:hAnsi="Times New Roman" w:cs="AdobeSongStd-Light-Acro"/>
                <w:color w:val="auto"/>
                <w:kern w:val="0"/>
                <w:sz w:val="21"/>
                <w:szCs w:val="21"/>
              </w:rPr>
              <w:t>水洗池</w:t>
            </w:r>
            <w:r>
              <w:rPr>
                <w:rFonts w:hint="eastAsia" w:ascii="Times New Roman" w:cs="AdobeSongStd-Light-Acro"/>
                <w:color w:val="auto"/>
                <w:kern w:val="0"/>
                <w:sz w:val="21"/>
                <w:szCs w:val="21"/>
                <w:lang w:val="en-US" w:eastAsia="zh-CN"/>
              </w:rPr>
              <w:t>1、</w:t>
            </w:r>
            <w:r>
              <w:rPr>
                <w:rFonts w:hint="eastAsia" w:ascii="Times New Roman" w:hAnsi="Times New Roman" w:cs="AdobeSongStd-Light-Acro"/>
                <w:color w:val="auto"/>
                <w:kern w:val="0"/>
                <w:sz w:val="21"/>
                <w:szCs w:val="21"/>
              </w:rPr>
              <w:t>水洗池</w:t>
            </w:r>
            <w:r>
              <w:rPr>
                <w:rFonts w:hint="eastAsia" w:ascii="Times New Roman" w:cs="AdobeSongStd-Light-Acro"/>
                <w:color w:val="auto"/>
                <w:kern w:val="0"/>
                <w:sz w:val="21"/>
                <w:szCs w:val="21"/>
                <w:lang w:val="en-US" w:eastAsia="zh-CN"/>
              </w:rPr>
              <w:t>2、</w:t>
            </w:r>
            <w:r>
              <w:rPr>
                <w:rFonts w:hint="eastAsia" w:ascii="Times New Roman" w:hAnsi="Times New Roman" w:cs="AdobeSongStd-Light-Acro"/>
                <w:color w:val="auto"/>
                <w:kern w:val="0"/>
                <w:sz w:val="21"/>
                <w:szCs w:val="21"/>
              </w:rPr>
              <w:t>水洗池</w:t>
            </w:r>
            <w:r>
              <w:rPr>
                <w:rFonts w:hint="eastAsia" w:ascii="Times New Roman" w:cs="AdobeSongStd-Light-Acro"/>
                <w:color w:val="auto"/>
                <w:kern w:val="0"/>
                <w:sz w:val="21"/>
                <w:szCs w:val="21"/>
                <w:lang w:val="en-US" w:eastAsia="zh-CN"/>
              </w:rPr>
              <w:t>a、</w:t>
            </w:r>
            <w:r>
              <w:rPr>
                <w:rFonts w:hint="eastAsia" w:ascii="Times New Roman" w:hAnsi="Times New Roman" w:cs="AdobeSongStd-Light-Acro"/>
                <w:color w:val="auto"/>
                <w:kern w:val="0"/>
                <w:sz w:val="21"/>
                <w:szCs w:val="21"/>
              </w:rPr>
              <w:t>水洗池</w:t>
            </w:r>
            <w:r>
              <w:rPr>
                <w:rFonts w:hint="eastAsia" w:ascii="Times New Roman" w:cs="AdobeSongStd-Light-Acro"/>
                <w:color w:val="auto"/>
                <w:kern w:val="0"/>
                <w:sz w:val="21"/>
                <w:szCs w:val="21"/>
                <w:lang w:val="en-US" w:eastAsia="zh-CN"/>
              </w:rPr>
              <w:t>b、</w:t>
            </w:r>
            <w:r>
              <w:rPr>
                <w:rFonts w:hint="eastAsia" w:ascii="Times New Roman" w:hAnsi="Times New Roman" w:cs="AdobeSongStd-Light-Acro"/>
                <w:color w:val="auto"/>
                <w:kern w:val="0"/>
                <w:sz w:val="21"/>
                <w:szCs w:val="21"/>
              </w:rPr>
              <w:t>水洗池</w:t>
            </w:r>
            <w:r>
              <w:rPr>
                <w:rFonts w:hint="eastAsia" w:ascii="Times New Roman" w:cs="AdobeSongStd-Light-Acro"/>
                <w:color w:val="auto"/>
                <w:kern w:val="0"/>
                <w:sz w:val="21"/>
                <w:szCs w:val="21"/>
                <w:lang w:val="en-US" w:eastAsia="zh-CN"/>
              </w:rPr>
              <w:t>c产生清洗废水（</w:t>
            </w:r>
            <w:r>
              <w:rPr>
                <w:rFonts w:hint="eastAsia" w:ascii="Times New Roman" w:cs="Times New Roman"/>
                <w:color w:val="auto"/>
                <w:kern w:val="0"/>
                <w:sz w:val="21"/>
                <w:szCs w:val="21"/>
                <w:lang w:val="en-US" w:eastAsia="zh-CN"/>
              </w:rPr>
              <w:t>544</w:t>
            </w:r>
            <w:r>
              <w:rPr>
                <w:rFonts w:hint="default" w:ascii="Times New Roman" w:hAnsi="Times New Roman" w:cs="Times New Roman"/>
                <w:color w:val="auto"/>
                <w:kern w:val="0"/>
                <w:sz w:val="21"/>
                <w:szCs w:val="21"/>
                <w:lang w:val="en-US" w:eastAsia="zh-CN"/>
              </w:rPr>
              <w:t>.</w:t>
            </w:r>
            <w:r>
              <w:rPr>
                <w:rFonts w:hint="eastAsia" w:ascii="Times New Roman" w:cs="Times New Roman"/>
                <w:color w:val="auto"/>
                <w:kern w:val="0"/>
                <w:sz w:val="21"/>
                <w:szCs w:val="21"/>
                <w:lang w:val="en-US" w:eastAsia="zh-CN"/>
              </w:rPr>
              <w:t>8</w:t>
            </w:r>
            <w:r>
              <w:rPr>
                <w:rFonts w:hint="eastAsia" w:ascii="Times New Roman" w:cs="AdobeSongStd-Light-Acro"/>
                <w:color w:val="auto"/>
                <w:kern w:val="0"/>
                <w:sz w:val="21"/>
                <w:szCs w:val="21"/>
                <w:lang w:val="en-US" w:eastAsia="zh-CN"/>
              </w:rPr>
              <w:t>t/a），</w:t>
            </w:r>
            <w:r>
              <w:rPr>
                <w:rFonts w:hint="eastAsia" w:cs="AdobeSongStd-Light-Acro"/>
                <w:color w:val="auto"/>
                <w:kern w:val="0"/>
                <w:sz w:val="21"/>
                <w:szCs w:val="21"/>
                <w:lang w:val="en-US" w:eastAsia="zh-CN"/>
              </w:rPr>
              <w:t>收集后委托给有废水处理能力的废水机构处理</w:t>
            </w:r>
            <w:r>
              <w:rPr>
                <w:rFonts w:hint="eastAsia" w:ascii="Times New Roman" w:cs="AdobeSongStd-Light-Acro"/>
                <w:color w:val="auto"/>
                <w:kern w:val="0"/>
                <w:sz w:val="21"/>
                <w:szCs w:val="21"/>
                <w:lang w:val="en-US" w:eastAsia="zh-CN"/>
              </w:rPr>
              <w:t>。</w:t>
            </w:r>
          </w:p>
          <w:p w14:paraId="2C61DBDE">
            <w:pPr>
              <w:pStyle w:val="46"/>
              <w:rPr>
                <w:rFonts w:hint="eastAsia" w:eastAsia="宋体"/>
                <w:color w:val="auto"/>
                <w:lang w:eastAsia="zh-CN"/>
              </w:rPr>
            </w:pPr>
            <w:r>
              <w:rPr>
                <w:rFonts w:hint="eastAsia" w:eastAsia="宋体"/>
                <w:color w:val="auto"/>
                <w:lang w:eastAsia="zh-CN"/>
              </w:rPr>
              <w:drawing>
                <wp:inline distT="0" distB="0" distL="114300" distR="114300">
                  <wp:extent cx="5435600" cy="2747645"/>
                  <wp:effectExtent l="0" t="0" r="0" b="0"/>
                  <wp:docPr id="64" name="ECB019B1-382A-4266-B25C-5B523AA43C14-3" descr="C:/Users/lenovo/AppData/Local/Temp/wps.IoUQv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ECB019B1-382A-4266-B25C-5B523AA43C14-3" descr="C:/Users/lenovo/AppData/Local/Temp/wps.IoUQvXwps"/>
                          <pic:cNvPicPr>
                            <a:picLocks noChangeAspect="1"/>
                          </pic:cNvPicPr>
                        </pic:nvPicPr>
                        <pic:blipFill>
                          <a:blip r:embed="rId10"/>
                          <a:srcRect l="2125" t="6439" b="1928"/>
                          <a:stretch>
                            <a:fillRect/>
                          </a:stretch>
                        </pic:blipFill>
                        <pic:spPr>
                          <a:xfrm>
                            <a:off x="0" y="0"/>
                            <a:ext cx="5435600" cy="2747645"/>
                          </a:xfrm>
                          <a:prstGeom prst="rect">
                            <a:avLst/>
                          </a:prstGeom>
                        </pic:spPr>
                      </pic:pic>
                    </a:graphicData>
                  </a:graphic>
                </wp:inline>
              </w:drawing>
            </w:r>
          </w:p>
          <w:p w14:paraId="2F8BA473">
            <w:pPr>
              <w:pStyle w:val="95"/>
              <w:jc w:val="center"/>
              <w:rPr>
                <w:color w:val="auto"/>
              </w:rPr>
            </w:pPr>
            <w:r>
              <w:rPr>
                <w:rFonts w:hint="eastAsia"/>
                <w:b w:val="0"/>
                <w:bCs/>
                <w:color w:val="auto"/>
                <w:sz w:val="21"/>
                <w:szCs w:val="21"/>
                <w:lang w:val="en-US" w:eastAsia="zh-CN"/>
              </w:rPr>
              <w:t>图1 项目水平衡图（单位：t/a）</w:t>
            </w:r>
          </w:p>
          <w:p w14:paraId="5BB4439F">
            <w:pPr>
              <w:pStyle w:val="95"/>
              <w:ind w:firstLine="422"/>
              <w:rPr>
                <w:b/>
                <w:color w:val="auto"/>
                <w:sz w:val="21"/>
                <w:szCs w:val="21"/>
              </w:rPr>
            </w:pPr>
            <w:r>
              <w:rPr>
                <w:rFonts w:hint="eastAsia"/>
                <w:b/>
                <w:color w:val="auto"/>
                <w:sz w:val="21"/>
                <w:szCs w:val="21"/>
                <w:lang w:val="en-US" w:eastAsia="zh-CN"/>
              </w:rPr>
              <w:t>9</w:t>
            </w:r>
            <w:r>
              <w:rPr>
                <w:rFonts w:hint="eastAsia"/>
                <w:b/>
                <w:color w:val="auto"/>
                <w:sz w:val="21"/>
                <w:szCs w:val="21"/>
              </w:rPr>
              <w:t>、能耗情况</w:t>
            </w:r>
          </w:p>
          <w:p w14:paraId="77DA8933">
            <w:pPr>
              <w:pStyle w:val="9"/>
              <w:ind w:left="630" w:leftChars="0" w:firstLineChars="0"/>
              <w:rPr>
                <w:color w:val="auto"/>
                <w:szCs w:val="21"/>
              </w:rPr>
            </w:pPr>
            <w:r>
              <w:rPr>
                <w:color w:val="auto"/>
                <w:szCs w:val="21"/>
              </w:rPr>
              <w:t>主要能源以及资源消耗一览表</w:t>
            </w:r>
          </w:p>
          <w:tbl>
            <w:tblPr>
              <w:tblStyle w:val="35"/>
              <w:tblW w:w="46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8"/>
              <w:gridCol w:w="2850"/>
              <w:gridCol w:w="3085"/>
            </w:tblGrid>
            <w:tr w14:paraId="4F3E7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142" w:type="pct"/>
                  <w:vAlign w:val="center"/>
                </w:tcPr>
                <w:p w14:paraId="40D772AB">
                  <w:pPr>
                    <w:tabs>
                      <w:tab w:val="left" w:pos="5220"/>
                    </w:tabs>
                    <w:spacing w:line="360" w:lineRule="auto"/>
                    <w:jc w:val="center"/>
                    <w:rPr>
                      <w:b/>
                      <w:bCs/>
                      <w:color w:val="auto"/>
                      <w:szCs w:val="21"/>
                    </w:rPr>
                  </w:pPr>
                  <w:r>
                    <w:rPr>
                      <w:b/>
                      <w:bCs/>
                      <w:color w:val="auto"/>
                      <w:szCs w:val="21"/>
                    </w:rPr>
                    <w:t>名称</w:t>
                  </w:r>
                </w:p>
              </w:tc>
              <w:tc>
                <w:tcPr>
                  <w:tcW w:w="1852" w:type="pct"/>
                  <w:vAlign w:val="center"/>
                </w:tcPr>
                <w:p w14:paraId="53611A38">
                  <w:pPr>
                    <w:tabs>
                      <w:tab w:val="left" w:pos="5220"/>
                    </w:tabs>
                    <w:spacing w:line="360" w:lineRule="auto"/>
                    <w:jc w:val="center"/>
                    <w:rPr>
                      <w:b/>
                      <w:bCs/>
                      <w:color w:val="auto"/>
                      <w:szCs w:val="21"/>
                    </w:rPr>
                  </w:pPr>
                  <w:r>
                    <w:rPr>
                      <w:b/>
                      <w:bCs/>
                      <w:color w:val="auto"/>
                      <w:szCs w:val="21"/>
                    </w:rPr>
                    <w:t>年用量</w:t>
                  </w:r>
                </w:p>
              </w:tc>
              <w:tc>
                <w:tcPr>
                  <w:tcW w:w="2005" w:type="pct"/>
                  <w:vAlign w:val="center"/>
                </w:tcPr>
                <w:p w14:paraId="00220697">
                  <w:pPr>
                    <w:tabs>
                      <w:tab w:val="left" w:pos="5220"/>
                    </w:tabs>
                    <w:spacing w:line="360" w:lineRule="auto"/>
                    <w:jc w:val="center"/>
                    <w:rPr>
                      <w:b/>
                      <w:bCs/>
                      <w:color w:val="auto"/>
                      <w:szCs w:val="21"/>
                    </w:rPr>
                  </w:pPr>
                  <w:r>
                    <w:rPr>
                      <w:b/>
                      <w:bCs/>
                      <w:color w:val="auto"/>
                      <w:szCs w:val="21"/>
                    </w:rPr>
                    <w:t>备注</w:t>
                  </w:r>
                </w:p>
              </w:tc>
            </w:tr>
            <w:tr w14:paraId="237AB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142" w:type="pct"/>
                  <w:vAlign w:val="center"/>
                </w:tcPr>
                <w:p w14:paraId="2C15E90A">
                  <w:pPr>
                    <w:tabs>
                      <w:tab w:val="left" w:pos="5220"/>
                    </w:tabs>
                    <w:spacing w:line="360" w:lineRule="auto"/>
                    <w:jc w:val="center"/>
                    <w:rPr>
                      <w:color w:val="auto"/>
                      <w:szCs w:val="21"/>
                    </w:rPr>
                  </w:pPr>
                  <w:r>
                    <w:rPr>
                      <w:color w:val="auto"/>
                      <w:szCs w:val="21"/>
                    </w:rPr>
                    <w:t>电</w:t>
                  </w:r>
                </w:p>
              </w:tc>
              <w:tc>
                <w:tcPr>
                  <w:tcW w:w="1852" w:type="pct"/>
                  <w:vAlign w:val="center"/>
                </w:tcPr>
                <w:p w14:paraId="6900554A">
                  <w:pPr>
                    <w:tabs>
                      <w:tab w:val="left" w:pos="5220"/>
                    </w:tabs>
                    <w:spacing w:line="360" w:lineRule="auto"/>
                    <w:jc w:val="center"/>
                    <w:rPr>
                      <w:color w:val="auto"/>
                      <w:szCs w:val="21"/>
                    </w:rPr>
                  </w:pPr>
                  <w:r>
                    <w:rPr>
                      <w:color w:val="auto"/>
                      <w:szCs w:val="21"/>
                    </w:rPr>
                    <w:t>5万度</w:t>
                  </w:r>
                </w:p>
              </w:tc>
              <w:tc>
                <w:tcPr>
                  <w:tcW w:w="2005" w:type="pct"/>
                  <w:vAlign w:val="center"/>
                </w:tcPr>
                <w:p w14:paraId="767AD777">
                  <w:pPr>
                    <w:tabs>
                      <w:tab w:val="left" w:pos="5220"/>
                    </w:tabs>
                    <w:spacing w:line="360" w:lineRule="auto"/>
                    <w:jc w:val="center"/>
                    <w:rPr>
                      <w:color w:val="auto"/>
                      <w:szCs w:val="21"/>
                    </w:rPr>
                  </w:pPr>
                  <w:r>
                    <w:rPr>
                      <w:color w:val="auto"/>
                      <w:szCs w:val="21"/>
                    </w:rPr>
                    <w:t>市政供电</w:t>
                  </w:r>
                </w:p>
              </w:tc>
            </w:tr>
            <w:tr w14:paraId="1F905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142" w:type="pct"/>
                  <w:vAlign w:val="center"/>
                </w:tcPr>
                <w:p w14:paraId="59D90995">
                  <w:pPr>
                    <w:tabs>
                      <w:tab w:val="left" w:pos="5220"/>
                    </w:tabs>
                    <w:spacing w:line="360" w:lineRule="auto"/>
                    <w:jc w:val="center"/>
                    <w:rPr>
                      <w:color w:val="auto"/>
                      <w:szCs w:val="21"/>
                    </w:rPr>
                  </w:pPr>
                  <w:r>
                    <w:rPr>
                      <w:rFonts w:hint="eastAsia"/>
                      <w:color w:val="auto"/>
                      <w:szCs w:val="21"/>
                      <w:lang w:val="en-US" w:eastAsia="zh-CN"/>
                    </w:rPr>
                    <w:t>水</w:t>
                  </w:r>
                </w:p>
              </w:tc>
              <w:tc>
                <w:tcPr>
                  <w:tcW w:w="1852" w:type="pct"/>
                  <w:vAlign w:val="center"/>
                </w:tcPr>
                <w:p w14:paraId="19165DB7">
                  <w:pPr>
                    <w:tabs>
                      <w:tab w:val="left" w:pos="5220"/>
                    </w:tabs>
                    <w:spacing w:line="360" w:lineRule="auto"/>
                    <w:jc w:val="center"/>
                    <w:rPr>
                      <w:color w:val="auto"/>
                      <w:szCs w:val="21"/>
                    </w:rPr>
                  </w:pPr>
                  <w:r>
                    <w:rPr>
                      <w:rFonts w:hint="eastAsia"/>
                      <w:color w:val="auto"/>
                      <w:szCs w:val="21"/>
                      <w:lang w:val="en-US" w:eastAsia="zh-CN"/>
                    </w:rPr>
                    <w:t>990.17</w:t>
                  </w:r>
                  <w:r>
                    <w:rPr>
                      <w:rFonts w:hint="eastAsia"/>
                      <w:color w:val="auto"/>
                      <w:szCs w:val="21"/>
                      <w:lang w:val="en-US" w:eastAsia="zh-CN"/>
                    </w:rPr>
                    <w:t>吨</w:t>
                  </w:r>
                </w:p>
              </w:tc>
              <w:tc>
                <w:tcPr>
                  <w:tcW w:w="2005" w:type="pct"/>
                  <w:vAlign w:val="center"/>
                </w:tcPr>
                <w:p w14:paraId="62D31223">
                  <w:pPr>
                    <w:tabs>
                      <w:tab w:val="left" w:pos="5220"/>
                    </w:tabs>
                    <w:spacing w:line="360" w:lineRule="auto"/>
                    <w:jc w:val="center"/>
                    <w:rPr>
                      <w:color w:val="auto"/>
                      <w:szCs w:val="21"/>
                    </w:rPr>
                  </w:pPr>
                  <w:r>
                    <w:rPr>
                      <w:color w:val="auto"/>
                      <w:szCs w:val="21"/>
                    </w:rPr>
                    <w:t>市政供</w:t>
                  </w:r>
                  <w:r>
                    <w:rPr>
                      <w:rFonts w:hint="eastAsia"/>
                      <w:color w:val="auto"/>
                      <w:szCs w:val="21"/>
                      <w:lang w:val="en-US" w:eastAsia="zh-CN"/>
                    </w:rPr>
                    <w:t>水</w:t>
                  </w:r>
                </w:p>
              </w:tc>
            </w:tr>
          </w:tbl>
          <w:p w14:paraId="709F0608">
            <w:pPr>
              <w:pStyle w:val="9"/>
              <w:ind w:left="630" w:leftChars="0" w:firstLineChars="0"/>
              <w:rPr>
                <w:color w:val="auto"/>
                <w:szCs w:val="21"/>
              </w:rPr>
            </w:pPr>
            <w:r>
              <w:rPr>
                <w:rFonts w:hint="eastAsia"/>
                <w:color w:val="auto"/>
                <w:szCs w:val="21"/>
              </w:rPr>
              <w:t>液化石油气</w:t>
            </w:r>
            <w:r>
              <w:rPr>
                <w:color w:val="auto"/>
                <w:szCs w:val="21"/>
              </w:rPr>
              <w:t>用量核算表</w:t>
            </w:r>
          </w:p>
          <w:tbl>
            <w:tblPr>
              <w:tblStyle w:val="35"/>
              <w:tblW w:w="8397" w:type="dxa"/>
              <w:jc w:val="center"/>
              <w:tblLayout w:type="fixed"/>
              <w:tblCellMar>
                <w:top w:w="0" w:type="dxa"/>
                <w:left w:w="108" w:type="dxa"/>
                <w:bottom w:w="0" w:type="dxa"/>
                <w:right w:w="108" w:type="dxa"/>
              </w:tblCellMar>
            </w:tblPr>
            <w:tblGrid>
              <w:gridCol w:w="1296"/>
              <w:gridCol w:w="890"/>
              <w:gridCol w:w="1454"/>
              <w:gridCol w:w="677"/>
              <w:gridCol w:w="846"/>
              <w:gridCol w:w="1213"/>
              <w:gridCol w:w="1008"/>
              <w:gridCol w:w="1013"/>
            </w:tblGrid>
            <w:tr w14:paraId="5E9DFEDE">
              <w:tblPrEx>
                <w:tblCellMar>
                  <w:top w:w="0" w:type="dxa"/>
                  <w:left w:w="108" w:type="dxa"/>
                  <w:bottom w:w="0" w:type="dxa"/>
                  <w:right w:w="108" w:type="dxa"/>
                </w:tblCellMar>
              </w:tblPrEx>
              <w:trPr>
                <w:trHeight w:val="831" w:hRule="atLeast"/>
                <w:jc w:val="center"/>
              </w:trPr>
              <w:tc>
                <w:tcPr>
                  <w:tcW w:w="771" w:type="pct"/>
                  <w:tcBorders>
                    <w:top w:val="single" w:color="auto" w:sz="4" w:space="0"/>
                    <w:left w:val="single" w:color="auto" w:sz="4" w:space="0"/>
                    <w:bottom w:val="single" w:color="auto" w:sz="4" w:space="0"/>
                    <w:right w:val="single" w:color="auto" w:sz="4" w:space="0"/>
                  </w:tcBorders>
                  <w:noWrap/>
                  <w:vAlign w:val="center"/>
                </w:tcPr>
                <w:p w14:paraId="1AE0AD80">
                  <w:pPr>
                    <w:widowControl/>
                    <w:jc w:val="center"/>
                    <w:rPr>
                      <w:b/>
                      <w:bCs/>
                      <w:color w:val="auto"/>
                      <w:kern w:val="0"/>
                      <w:szCs w:val="21"/>
                    </w:rPr>
                  </w:pPr>
                  <w:r>
                    <w:rPr>
                      <w:rFonts w:hint="eastAsia"/>
                      <w:b/>
                      <w:bCs/>
                      <w:color w:val="auto"/>
                      <w:kern w:val="0"/>
                      <w:szCs w:val="21"/>
                      <w:lang w:val="en-US" w:eastAsia="zh-CN"/>
                    </w:rPr>
                    <w:t>自动线</w:t>
                  </w:r>
                  <w:r>
                    <w:rPr>
                      <w:b/>
                      <w:bCs/>
                      <w:color w:val="auto"/>
                      <w:kern w:val="0"/>
                      <w:szCs w:val="21"/>
                    </w:rPr>
                    <w:t>设备</w:t>
                  </w:r>
                </w:p>
              </w:tc>
              <w:tc>
                <w:tcPr>
                  <w:tcW w:w="529" w:type="pct"/>
                  <w:tcBorders>
                    <w:top w:val="single" w:color="auto" w:sz="4" w:space="0"/>
                    <w:left w:val="nil"/>
                    <w:bottom w:val="single" w:color="auto" w:sz="4" w:space="0"/>
                    <w:right w:val="single" w:color="auto" w:sz="4" w:space="0"/>
                  </w:tcBorders>
                  <w:noWrap/>
                  <w:vAlign w:val="center"/>
                </w:tcPr>
                <w:p w14:paraId="4C70C9D1">
                  <w:pPr>
                    <w:widowControl/>
                    <w:jc w:val="center"/>
                    <w:rPr>
                      <w:b/>
                      <w:bCs/>
                      <w:color w:val="auto"/>
                      <w:kern w:val="0"/>
                      <w:szCs w:val="21"/>
                    </w:rPr>
                  </w:pPr>
                  <w:r>
                    <w:rPr>
                      <w:b/>
                      <w:bCs/>
                      <w:color w:val="auto"/>
                      <w:kern w:val="0"/>
                      <w:szCs w:val="21"/>
                    </w:rPr>
                    <w:t>设备数量</w:t>
                  </w:r>
                </w:p>
              </w:tc>
              <w:tc>
                <w:tcPr>
                  <w:tcW w:w="865" w:type="pct"/>
                  <w:tcBorders>
                    <w:top w:val="single" w:color="auto" w:sz="4" w:space="0"/>
                    <w:left w:val="nil"/>
                    <w:bottom w:val="single" w:color="auto" w:sz="4" w:space="0"/>
                    <w:right w:val="single" w:color="auto" w:sz="4" w:space="0"/>
                  </w:tcBorders>
                  <w:vAlign w:val="center"/>
                </w:tcPr>
                <w:p w14:paraId="369D869D">
                  <w:pPr>
                    <w:widowControl/>
                    <w:jc w:val="center"/>
                    <w:rPr>
                      <w:b/>
                      <w:bCs/>
                      <w:color w:val="auto"/>
                      <w:kern w:val="0"/>
                      <w:szCs w:val="21"/>
                    </w:rPr>
                  </w:pPr>
                  <w:r>
                    <w:rPr>
                      <w:b/>
                      <w:bCs/>
                      <w:color w:val="auto"/>
                      <w:kern w:val="0"/>
                      <w:szCs w:val="21"/>
                    </w:rPr>
                    <w:t>单</w:t>
                  </w:r>
                  <w:r>
                    <w:rPr>
                      <w:rFonts w:hint="eastAsia"/>
                      <w:b/>
                      <w:bCs/>
                      <w:color w:val="auto"/>
                      <w:kern w:val="0"/>
                      <w:szCs w:val="21"/>
                    </w:rPr>
                    <w:t>套</w:t>
                  </w:r>
                  <w:r>
                    <w:rPr>
                      <w:b/>
                      <w:bCs/>
                      <w:color w:val="auto"/>
                      <w:kern w:val="0"/>
                      <w:szCs w:val="21"/>
                    </w:rPr>
                    <w:t>燃烧容量kcal/h</w:t>
                  </w:r>
                </w:p>
              </w:tc>
              <w:tc>
                <w:tcPr>
                  <w:tcW w:w="403" w:type="pct"/>
                  <w:tcBorders>
                    <w:top w:val="single" w:color="auto" w:sz="4" w:space="0"/>
                    <w:left w:val="nil"/>
                    <w:bottom w:val="single" w:color="auto" w:sz="4" w:space="0"/>
                    <w:right w:val="single" w:color="auto" w:sz="4" w:space="0"/>
                  </w:tcBorders>
                  <w:vAlign w:val="center"/>
                </w:tcPr>
                <w:p w14:paraId="39A52A5A">
                  <w:pPr>
                    <w:widowControl/>
                    <w:jc w:val="center"/>
                    <w:rPr>
                      <w:b/>
                      <w:bCs/>
                      <w:color w:val="auto"/>
                      <w:kern w:val="0"/>
                      <w:szCs w:val="21"/>
                    </w:rPr>
                  </w:pPr>
                  <w:r>
                    <w:rPr>
                      <w:b/>
                      <w:bCs/>
                      <w:color w:val="auto"/>
                      <w:kern w:val="0"/>
                      <w:szCs w:val="21"/>
                    </w:rPr>
                    <w:t>热效率</w:t>
                  </w:r>
                </w:p>
              </w:tc>
              <w:tc>
                <w:tcPr>
                  <w:tcW w:w="503" w:type="pct"/>
                  <w:tcBorders>
                    <w:top w:val="single" w:color="auto" w:sz="4" w:space="0"/>
                    <w:left w:val="nil"/>
                    <w:bottom w:val="single" w:color="auto" w:sz="4" w:space="0"/>
                    <w:right w:val="single" w:color="auto" w:sz="4" w:space="0"/>
                  </w:tcBorders>
                  <w:vAlign w:val="center"/>
                </w:tcPr>
                <w:p w14:paraId="2A736988">
                  <w:pPr>
                    <w:widowControl/>
                    <w:jc w:val="center"/>
                    <w:rPr>
                      <w:b/>
                      <w:bCs/>
                      <w:color w:val="auto"/>
                      <w:kern w:val="0"/>
                      <w:szCs w:val="21"/>
                    </w:rPr>
                  </w:pPr>
                  <w:r>
                    <w:rPr>
                      <w:b/>
                      <w:bCs/>
                      <w:color w:val="auto"/>
                      <w:kern w:val="0"/>
                      <w:szCs w:val="21"/>
                    </w:rPr>
                    <w:t>工作时间h/a</w:t>
                  </w:r>
                </w:p>
              </w:tc>
              <w:tc>
                <w:tcPr>
                  <w:tcW w:w="722" w:type="pct"/>
                  <w:tcBorders>
                    <w:top w:val="single" w:color="auto" w:sz="4" w:space="0"/>
                    <w:left w:val="nil"/>
                    <w:bottom w:val="single" w:color="auto" w:sz="4" w:space="0"/>
                    <w:right w:val="single" w:color="auto" w:sz="4" w:space="0"/>
                  </w:tcBorders>
                  <w:vAlign w:val="center"/>
                </w:tcPr>
                <w:p w14:paraId="1B72EE15">
                  <w:pPr>
                    <w:widowControl/>
                    <w:jc w:val="center"/>
                    <w:rPr>
                      <w:b/>
                      <w:bCs/>
                      <w:color w:val="auto"/>
                      <w:kern w:val="0"/>
                      <w:szCs w:val="21"/>
                    </w:rPr>
                  </w:pPr>
                  <w:r>
                    <w:rPr>
                      <w:rFonts w:hint="eastAsia"/>
                      <w:b/>
                      <w:bCs/>
                      <w:color w:val="auto"/>
                      <w:kern w:val="0"/>
                      <w:szCs w:val="21"/>
                    </w:rPr>
                    <w:t>液化石油气</w:t>
                  </w:r>
                  <w:r>
                    <w:rPr>
                      <w:b/>
                      <w:bCs/>
                      <w:color w:val="auto"/>
                      <w:kern w:val="0"/>
                      <w:szCs w:val="21"/>
                    </w:rPr>
                    <w:t>热值Kcal/ kg</w:t>
                  </w:r>
                </w:p>
              </w:tc>
              <w:tc>
                <w:tcPr>
                  <w:tcW w:w="600" w:type="pct"/>
                  <w:tcBorders>
                    <w:top w:val="single" w:color="auto" w:sz="4" w:space="0"/>
                    <w:left w:val="nil"/>
                    <w:bottom w:val="single" w:color="auto" w:sz="4" w:space="0"/>
                    <w:right w:val="single" w:color="auto" w:sz="4" w:space="0"/>
                  </w:tcBorders>
                  <w:vAlign w:val="center"/>
                </w:tcPr>
                <w:p w14:paraId="6E23CE58">
                  <w:pPr>
                    <w:widowControl/>
                    <w:jc w:val="center"/>
                    <w:rPr>
                      <w:b/>
                      <w:bCs/>
                      <w:color w:val="auto"/>
                      <w:kern w:val="0"/>
                      <w:szCs w:val="21"/>
                    </w:rPr>
                  </w:pPr>
                  <w:r>
                    <w:rPr>
                      <w:rFonts w:hint="eastAsia"/>
                      <w:b/>
                      <w:bCs/>
                      <w:color w:val="auto"/>
                      <w:kern w:val="0"/>
                      <w:szCs w:val="21"/>
                    </w:rPr>
                    <w:t>液化石油气</w:t>
                  </w:r>
                  <w:r>
                    <w:rPr>
                      <w:b/>
                      <w:bCs/>
                      <w:color w:val="auto"/>
                      <w:kern w:val="0"/>
                      <w:szCs w:val="21"/>
                    </w:rPr>
                    <w:t>用量t/a</w:t>
                  </w:r>
                </w:p>
              </w:tc>
              <w:tc>
                <w:tcPr>
                  <w:tcW w:w="603" w:type="pct"/>
                  <w:tcBorders>
                    <w:top w:val="single" w:color="auto" w:sz="4" w:space="0"/>
                    <w:left w:val="nil"/>
                    <w:bottom w:val="single" w:color="auto" w:sz="4" w:space="0"/>
                    <w:right w:val="single" w:color="auto" w:sz="4" w:space="0"/>
                  </w:tcBorders>
                  <w:vAlign w:val="center"/>
                </w:tcPr>
                <w:p w14:paraId="6D15D5FB">
                  <w:pPr>
                    <w:widowControl/>
                    <w:jc w:val="center"/>
                    <w:rPr>
                      <w:b/>
                      <w:bCs/>
                      <w:color w:val="auto"/>
                      <w:kern w:val="0"/>
                      <w:szCs w:val="21"/>
                    </w:rPr>
                  </w:pPr>
                  <w:r>
                    <w:rPr>
                      <w:rFonts w:hint="eastAsia"/>
                      <w:b/>
                      <w:bCs/>
                      <w:color w:val="auto"/>
                      <w:kern w:val="0"/>
                      <w:szCs w:val="21"/>
                    </w:rPr>
                    <w:t>液化石油气</w:t>
                  </w:r>
                  <w:r>
                    <w:rPr>
                      <w:b/>
                      <w:bCs/>
                      <w:color w:val="auto"/>
                      <w:kern w:val="0"/>
                      <w:szCs w:val="21"/>
                    </w:rPr>
                    <w:t>用量</w:t>
                  </w:r>
                  <w:r>
                    <w:rPr>
                      <w:rFonts w:hint="eastAsia"/>
                      <w:b/>
                      <w:bCs/>
                      <w:color w:val="auto"/>
                      <w:kern w:val="0"/>
                      <w:szCs w:val="21"/>
                    </w:rPr>
                    <w:t>m</w:t>
                  </w:r>
                  <w:r>
                    <w:rPr>
                      <w:rFonts w:hint="eastAsia"/>
                      <w:b/>
                      <w:bCs/>
                      <w:color w:val="auto"/>
                      <w:kern w:val="0"/>
                      <w:szCs w:val="21"/>
                      <w:vertAlign w:val="superscript"/>
                    </w:rPr>
                    <w:t>3</w:t>
                  </w:r>
                  <w:r>
                    <w:rPr>
                      <w:b/>
                      <w:bCs/>
                      <w:color w:val="auto"/>
                      <w:kern w:val="0"/>
                      <w:szCs w:val="21"/>
                    </w:rPr>
                    <w:t>/a</w:t>
                  </w:r>
                </w:p>
              </w:tc>
            </w:tr>
            <w:tr w14:paraId="46B67049">
              <w:tblPrEx>
                <w:tblCellMar>
                  <w:top w:w="0" w:type="dxa"/>
                  <w:left w:w="108" w:type="dxa"/>
                  <w:bottom w:w="0" w:type="dxa"/>
                  <w:right w:w="108" w:type="dxa"/>
                </w:tblCellMar>
              </w:tblPrEx>
              <w:trPr>
                <w:trHeight w:val="559" w:hRule="atLeast"/>
                <w:jc w:val="center"/>
              </w:trPr>
              <w:tc>
                <w:tcPr>
                  <w:tcW w:w="771" w:type="pct"/>
                  <w:tcBorders>
                    <w:top w:val="single" w:color="auto" w:sz="4" w:space="0"/>
                    <w:left w:val="single" w:color="auto" w:sz="4" w:space="0"/>
                    <w:bottom w:val="single" w:color="auto" w:sz="4" w:space="0"/>
                    <w:right w:val="single" w:color="auto" w:sz="4" w:space="0"/>
                  </w:tcBorders>
                  <w:vAlign w:val="center"/>
                </w:tcPr>
                <w:p w14:paraId="7C547E5C">
                  <w:pPr>
                    <w:widowControl/>
                    <w:jc w:val="center"/>
                    <w:rPr>
                      <w:color w:val="auto"/>
                      <w:kern w:val="0"/>
                      <w:szCs w:val="21"/>
                    </w:rPr>
                  </w:pPr>
                  <w:r>
                    <w:rPr>
                      <w:rFonts w:hint="eastAsia"/>
                      <w:color w:val="auto"/>
                    </w:rPr>
                    <w:t>烘干线+固化线（一体线）</w:t>
                  </w:r>
                </w:p>
              </w:tc>
              <w:tc>
                <w:tcPr>
                  <w:tcW w:w="529" w:type="pct"/>
                  <w:tcBorders>
                    <w:top w:val="single" w:color="auto" w:sz="4" w:space="0"/>
                    <w:left w:val="single" w:color="auto" w:sz="4" w:space="0"/>
                    <w:bottom w:val="single" w:color="auto" w:sz="4" w:space="0"/>
                    <w:right w:val="single" w:color="auto" w:sz="4" w:space="0"/>
                  </w:tcBorders>
                  <w:vAlign w:val="center"/>
                </w:tcPr>
                <w:p w14:paraId="60BFB197">
                  <w:pPr>
                    <w:widowControl/>
                    <w:jc w:val="center"/>
                    <w:rPr>
                      <w:color w:val="auto"/>
                      <w:kern w:val="0"/>
                      <w:szCs w:val="21"/>
                    </w:rPr>
                  </w:pPr>
                  <w:r>
                    <w:rPr>
                      <w:color w:val="auto"/>
                      <w:kern w:val="0"/>
                      <w:szCs w:val="21"/>
                    </w:rPr>
                    <w:t>1</w:t>
                  </w:r>
                  <w:r>
                    <w:rPr>
                      <w:rFonts w:hint="eastAsia"/>
                      <w:color w:val="auto"/>
                      <w:kern w:val="0"/>
                      <w:szCs w:val="21"/>
                    </w:rPr>
                    <w:t>台</w:t>
                  </w:r>
                </w:p>
              </w:tc>
              <w:tc>
                <w:tcPr>
                  <w:tcW w:w="865" w:type="pct"/>
                  <w:tcBorders>
                    <w:top w:val="single" w:color="auto" w:sz="4" w:space="0"/>
                    <w:left w:val="single" w:color="auto" w:sz="4" w:space="0"/>
                    <w:bottom w:val="single" w:color="auto" w:sz="4" w:space="0"/>
                    <w:right w:val="single" w:color="auto" w:sz="4" w:space="0"/>
                  </w:tcBorders>
                  <w:noWrap/>
                  <w:vAlign w:val="center"/>
                </w:tcPr>
                <w:p w14:paraId="15608981">
                  <w:pPr>
                    <w:widowControl/>
                    <w:jc w:val="center"/>
                    <w:textAlignment w:val="center"/>
                    <w:rPr>
                      <w:color w:val="auto"/>
                      <w:kern w:val="0"/>
                      <w:szCs w:val="21"/>
                    </w:rPr>
                  </w:pPr>
                  <w:r>
                    <w:rPr>
                      <w:rFonts w:hint="eastAsia"/>
                      <w:color w:val="auto"/>
                      <w:kern w:val="0"/>
                      <w:szCs w:val="21"/>
                      <w:lang w:val="en-US" w:eastAsia="zh-CN" w:bidi="ar"/>
                    </w:rPr>
                    <w:t>5</w:t>
                  </w:r>
                  <w:r>
                    <w:rPr>
                      <w:color w:val="auto"/>
                      <w:kern w:val="0"/>
                      <w:szCs w:val="21"/>
                      <w:lang w:bidi="ar"/>
                    </w:rPr>
                    <w:t>00000</w:t>
                  </w:r>
                </w:p>
              </w:tc>
              <w:tc>
                <w:tcPr>
                  <w:tcW w:w="403" w:type="pct"/>
                  <w:tcBorders>
                    <w:top w:val="single" w:color="auto" w:sz="4" w:space="0"/>
                    <w:left w:val="single" w:color="auto" w:sz="4" w:space="0"/>
                    <w:bottom w:val="single" w:color="auto" w:sz="4" w:space="0"/>
                    <w:right w:val="single" w:color="auto" w:sz="4" w:space="0"/>
                  </w:tcBorders>
                  <w:noWrap/>
                  <w:vAlign w:val="center"/>
                </w:tcPr>
                <w:p w14:paraId="752C96DC">
                  <w:pPr>
                    <w:widowControl/>
                    <w:jc w:val="center"/>
                    <w:textAlignment w:val="center"/>
                    <w:rPr>
                      <w:color w:val="auto"/>
                      <w:kern w:val="0"/>
                      <w:szCs w:val="21"/>
                    </w:rPr>
                  </w:pPr>
                  <w:r>
                    <w:rPr>
                      <w:color w:val="auto"/>
                      <w:kern w:val="0"/>
                      <w:szCs w:val="21"/>
                      <w:lang w:bidi="ar"/>
                    </w:rPr>
                    <w:t>90%</w:t>
                  </w:r>
                </w:p>
              </w:tc>
              <w:tc>
                <w:tcPr>
                  <w:tcW w:w="503" w:type="pct"/>
                  <w:tcBorders>
                    <w:top w:val="single" w:color="auto" w:sz="4" w:space="0"/>
                    <w:left w:val="single" w:color="auto" w:sz="4" w:space="0"/>
                    <w:bottom w:val="single" w:color="auto" w:sz="4" w:space="0"/>
                    <w:right w:val="single" w:color="auto" w:sz="4" w:space="0"/>
                  </w:tcBorders>
                  <w:noWrap/>
                  <w:vAlign w:val="center"/>
                </w:tcPr>
                <w:p w14:paraId="5531BB23">
                  <w:pPr>
                    <w:widowControl/>
                    <w:jc w:val="center"/>
                    <w:textAlignment w:val="center"/>
                    <w:rPr>
                      <w:color w:val="auto"/>
                      <w:kern w:val="0"/>
                      <w:szCs w:val="21"/>
                    </w:rPr>
                  </w:pPr>
                  <w:r>
                    <w:rPr>
                      <w:rFonts w:hint="eastAsia"/>
                      <w:color w:val="auto"/>
                      <w:kern w:val="0"/>
                      <w:szCs w:val="21"/>
                      <w:lang w:val="en-US" w:eastAsia="zh-CN" w:bidi="ar"/>
                    </w:rPr>
                    <w:t>24</w:t>
                  </w:r>
                  <w:r>
                    <w:rPr>
                      <w:color w:val="auto"/>
                      <w:kern w:val="0"/>
                      <w:szCs w:val="21"/>
                      <w:lang w:bidi="ar"/>
                    </w:rPr>
                    <w:t>00</w:t>
                  </w:r>
                </w:p>
              </w:tc>
              <w:tc>
                <w:tcPr>
                  <w:tcW w:w="722" w:type="pct"/>
                  <w:tcBorders>
                    <w:top w:val="single" w:color="auto" w:sz="4" w:space="0"/>
                    <w:left w:val="single" w:color="auto" w:sz="4" w:space="0"/>
                    <w:bottom w:val="single" w:color="auto" w:sz="4" w:space="0"/>
                    <w:right w:val="single" w:color="auto" w:sz="4" w:space="0"/>
                  </w:tcBorders>
                  <w:noWrap/>
                  <w:vAlign w:val="center"/>
                </w:tcPr>
                <w:p w14:paraId="37A00318">
                  <w:pPr>
                    <w:widowControl/>
                    <w:jc w:val="center"/>
                    <w:textAlignment w:val="center"/>
                    <w:rPr>
                      <w:color w:val="auto"/>
                      <w:kern w:val="0"/>
                      <w:szCs w:val="21"/>
                    </w:rPr>
                  </w:pPr>
                  <w:r>
                    <w:rPr>
                      <w:color w:val="auto"/>
                      <w:kern w:val="0"/>
                      <w:szCs w:val="21"/>
                      <w:lang w:bidi="ar"/>
                    </w:rPr>
                    <w:t>12000</w:t>
                  </w:r>
                </w:p>
              </w:tc>
              <w:tc>
                <w:tcPr>
                  <w:tcW w:w="600" w:type="pct"/>
                  <w:tcBorders>
                    <w:top w:val="single" w:color="auto" w:sz="4" w:space="0"/>
                    <w:left w:val="single" w:color="auto" w:sz="4" w:space="0"/>
                    <w:right w:val="single" w:color="auto" w:sz="4" w:space="0"/>
                  </w:tcBorders>
                  <w:noWrap/>
                  <w:vAlign w:val="center"/>
                </w:tcPr>
                <w:p w14:paraId="49433847">
                  <w:pPr>
                    <w:widowControl/>
                    <w:jc w:val="center"/>
                    <w:textAlignment w:val="center"/>
                    <w:rPr>
                      <w:rFonts w:hint="default" w:eastAsia="宋体"/>
                      <w:color w:val="auto"/>
                      <w:szCs w:val="21"/>
                      <w:lang w:val="en-US" w:eastAsia="zh-CN"/>
                    </w:rPr>
                  </w:pPr>
                  <w:r>
                    <w:rPr>
                      <w:rFonts w:hint="eastAsia"/>
                      <w:color w:val="auto"/>
                      <w:szCs w:val="21"/>
                      <w:lang w:val="en-US" w:eastAsia="zh-CN"/>
                    </w:rPr>
                    <w:t>111.1</w:t>
                  </w:r>
                </w:p>
              </w:tc>
              <w:tc>
                <w:tcPr>
                  <w:tcW w:w="603" w:type="pct"/>
                  <w:tcBorders>
                    <w:top w:val="single" w:color="auto" w:sz="4" w:space="0"/>
                    <w:left w:val="single" w:color="auto" w:sz="4" w:space="0"/>
                    <w:right w:val="single" w:color="auto" w:sz="4" w:space="0"/>
                  </w:tcBorders>
                  <w:noWrap/>
                  <w:vAlign w:val="center"/>
                </w:tcPr>
                <w:p w14:paraId="5EC94363">
                  <w:pPr>
                    <w:widowControl/>
                    <w:jc w:val="center"/>
                    <w:textAlignment w:val="center"/>
                    <w:rPr>
                      <w:rFonts w:hint="default" w:eastAsia="宋体"/>
                      <w:color w:val="auto"/>
                      <w:szCs w:val="21"/>
                      <w:lang w:val="en-US" w:eastAsia="zh-CN"/>
                    </w:rPr>
                  </w:pPr>
                  <w:r>
                    <w:rPr>
                      <w:rFonts w:hint="eastAsia"/>
                      <w:color w:val="auto"/>
                      <w:szCs w:val="21"/>
                      <w:lang w:val="en-US" w:eastAsia="zh-CN"/>
                    </w:rPr>
                    <w:t>47281.3</w:t>
                  </w:r>
                </w:p>
              </w:tc>
            </w:tr>
            <w:tr w14:paraId="70893C91">
              <w:tblPrEx>
                <w:tblCellMar>
                  <w:top w:w="0" w:type="dxa"/>
                  <w:left w:w="108" w:type="dxa"/>
                  <w:bottom w:w="0" w:type="dxa"/>
                  <w:right w:w="108" w:type="dxa"/>
                </w:tblCellMar>
              </w:tblPrEx>
              <w:trPr>
                <w:trHeight w:val="434" w:hRule="atLeast"/>
                <w:jc w:val="center"/>
              </w:trPr>
              <w:tc>
                <w:tcPr>
                  <w:tcW w:w="5000" w:type="pct"/>
                  <w:gridSpan w:val="8"/>
                  <w:tcBorders>
                    <w:top w:val="single" w:color="auto" w:sz="4" w:space="0"/>
                    <w:left w:val="single" w:color="auto" w:sz="4" w:space="0"/>
                    <w:bottom w:val="single" w:color="auto" w:sz="4" w:space="0"/>
                    <w:right w:val="single" w:color="auto" w:sz="4" w:space="0"/>
                  </w:tcBorders>
                  <w:vAlign w:val="center"/>
                </w:tcPr>
                <w:p w14:paraId="5D6CD320">
                  <w:pPr>
                    <w:pStyle w:val="187"/>
                    <w:rPr>
                      <w:color w:val="auto"/>
                    </w:rPr>
                  </w:pPr>
                  <w:r>
                    <w:rPr>
                      <w:rFonts w:hint="eastAsia" w:ascii="宋体" w:hAnsi="宋体"/>
                      <w:color w:val="auto"/>
                    </w:rPr>
                    <w:t>注：1、参考《综合能耗计算通则》（</w:t>
                  </w:r>
                  <w:r>
                    <w:rPr>
                      <w:rFonts w:hint="eastAsia"/>
                      <w:color w:val="auto"/>
                    </w:rPr>
                    <w:t>GB/T2589-2020</w:t>
                  </w:r>
                  <w:r>
                    <w:rPr>
                      <w:rFonts w:hint="eastAsia" w:ascii="宋体" w:hAnsi="宋体"/>
                      <w:color w:val="auto"/>
                    </w:rPr>
                    <w:t>）液化石油气热值为</w:t>
                  </w:r>
                  <w:r>
                    <w:rPr>
                      <w:color w:val="auto"/>
                    </w:rPr>
                    <w:t>12000</w:t>
                  </w:r>
                  <w:r>
                    <w:rPr>
                      <w:rFonts w:hint="eastAsia"/>
                      <w:color w:val="auto"/>
                    </w:rPr>
                    <w:t>Kcal/</w:t>
                  </w:r>
                  <w:r>
                    <w:rPr>
                      <w:color w:val="auto"/>
                    </w:rPr>
                    <w:t>kg</w:t>
                  </w:r>
                </w:p>
                <w:p w14:paraId="2480E3B9">
                  <w:pPr>
                    <w:pStyle w:val="187"/>
                    <w:rPr>
                      <w:color w:val="auto"/>
                      <w:vertAlign w:val="superscript"/>
                    </w:rPr>
                  </w:pPr>
                  <w:r>
                    <w:rPr>
                      <w:rFonts w:hint="eastAsia"/>
                      <w:color w:val="auto"/>
                    </w:rPr>
                    <w:t>2、液化石油气密度取2.35kg/m</w:t>
                  </w:r>
                  <w:r>
                    <w:rPr>
                      <w:rFonts w:hint="eastAsia"/>
                      <w:color w:val="auto"/>
                      <w:vertAlign w:val="superscript"/>
                    </w:rPr>
                    <w:t>3</w:t>
                  </w:r>
                </w:p>
              </w:tc>
            </w:tr>
          </w:tbl>
          <w:p w14:paraId="08B33EA9">
            <w:pPr>
              <w:pStyle w:val="95"/>
              <w:ind w:firstLine="422"/>
              <w:rPr>
                <w:b/>
                <w:color w:val="auto"/>
                <w:sz w:val="21"/>
                <w:szCs w:val="21"/>
              </w:rPr>
            </w:pPr>
            <w:r>
              <w:rPr>
                <w:rFonts w:hint="eastAsia"/>
                <w:b/>
                <w:color w:val="auto"/>
                <w:sz w:val="21"/>
                <w:szCs w:val="21"/>
                <w:lang w:val="en-US" w:eastAsia="zh-CN"/>
              </w:rPr>
              <w:t>10</w:t>
            </w:r>
            <w:r>
              <w:rPr>
                <w:rFonts w:hint="eastAsia"/>
                <w:b/>
                <w:color w:val="auto"/>
                <w:sz w:val="21"/>
                <w:szCs w:val="21"/>
              </w:rPr>
              <w:t>、</w:t>
            </w:r>
            <w:r>
              <w:rPr>
                <w:rFonts w:hint="eastAsia"/>
                <w:b/>
                <w:color w:val="auto"/>
                <w:sz w:val="21"/>
                <w:szCs w:val="21"/>
                <w:highlight w:val="none"/>
              </w:rPr>
              <w:t>平面布局情况</w:t>
            </w:r>
          </w:p>
          <w:p w14:paraId="7F4202FA">
            <w:pPr>
              <w:pStyle w:val="157"/>
              <w:ind w:firstLine="420"/>
              <w:rPr>
                <w:rFonts w:ascii="宋体" w:hAnsi="宋体" w:cs="AdobeSongStd-Light-Acro"/>
                <w:color w:val="auto"/>
                <w:kern w:val="0"/>
                <w:sz w:val="21"/>
                <w:szCs w:val="21"/>
                <w:u w:val="none"/>
                <w:lang w:val="en-US"/>
              </w:rPr>
            </w:pPr>
            <w:r>
              <w:rPr>
                <w:rFonts w:hint="eastAsia" w:ascii="Times New Roman" w:hAnsi="Times New Roman" w:cs="AdobeSongStd-Light-Acro"/>
                <w:color w:val="auto"/>
                <w:kern w:val="0"/>
                <w:sz w:val="21"/>
                <w:szCs w:val="21"/>
                <w:u w:val="none"/>
                <w:lang w:val="en-US"/>
              </w:rPr>
              <w:t>项目</w:t>
            </w:r>
            <w:r>
              <w:rPr>
                <w:rFonts w:hint="eastAsia" w:ascii="Times New Roman" w:hAnsi="Times New Roman" w:cs="AdobeSongStd-Light-Acro"/>
                <w:color w:val="auto"/>
                <w:kern w:val="0"/>
                <w:sz w:val="21"/>
                <w:szCs w:val="21"/>
                <w:u w:val="none"/>
                <w:lang w:val="en-US" w:eastAsia="zh-CN"/>
              </w:rPr>
              <w:t>位于中山市南朗镇第一工业区龙基路南燕玻璃马赛克有限公司6#厂房(原玻璃车间) ，项目50米范围内无敏感点，最近敏感点（西亨社区）位于厂界</w:t>
            </w:r>
            <w:r>
              <w:rPr>
                <w:rFonts w:hint="eastAsia" w:cs="AdobeSongStd-Light-Acro"/>
                <w:color w:val="auto"/>
                <w:kern w:val="0"/>
                <w:sz w:val="21"/>
                <w:szCs w:val="21"/>
                <w:u w:val="none"/>
                <w:lang w:val="en-US" w:eastAsia="zh-CN"/>
              </w:rPr>
              <w:t>西</w:t>
            </w:r>
            <w:r>
              <w:rPr>
                <w:rFonts w:hint="eastAsia" w:ascii="Times New Roman" w:hAnsi="Times New Roman" w:cs="AdobeSongStd-Light-Acro"/>
                <w:color w:val="auto"/>
                <w:kern w:val="0"/>
                <w:sz w:val="21"/>
                <w:szCs w:val="21"/>
                <w:u w:val="none"/>
                <w:lang w:val="en-US" w:eastAsia="zh-CN"/>
              </w:rPr>
              <w:t>南侧约59m，项目为</w:t>
            </w:r>
            <w:r>
              <w:rPr>
                <w:rStyle w:val="45"/>
                <w:rFonts w:hint="eastAsia" w:ascii="Times New Roman" w:hAnsi="Times New Roman" w:eastAsia="宋体"/>
                <w:color w:val="auto"/>
                <w:kern w:val="0"/>
                <w:sz w:val="21"/>
                <w:lang w:val="en-US"/>
              </w:rPr>
              <w:t>C3360</w:t>
            </w:r>
            <w:r>
              <w:rPr>
                <w:rFonts w:hint="eastAsia" w:ascii="Times New Roman" w:hAnsi="Times New Roman" w:cs="AdobeSongStd-Light-Acro"/>
                <w:color w:val="auto"/>
                <w:kern w:val="0"/>
                <w:sz w:val="21"/>
                <w:szCs w:val="21"/>
                <w:u w:val="none"/>
                <w:lang w:val="en-US" w:eastAsia="zh-CN"/>
              </w:rPr>
              <w:t>金属表面处理及热处理加工</w:t>
            </w:r>
            <w:r>
              <w:rPr>
                <w:rFonts w:hint="eastAsia" w:cs="AdobeSongStd-Light-Acro"/>
                <w:color w:val="auto"/>
                <w:kern w:val="0"/>
                <w:sz w:val="21"/>
                <w:szCs w:val="21"/>
                <w:u w:val="none"/>
                <w:lang w:val="en-US" w:eastAsia="zh-CN"/>
              </w:rPr>
              <w:t>、</w:t>
            </w:r>
            <w:r>
              <w:rPr>
                <w:rFonts w:hint="eastAsia" w:cs="AdobeSongStd-Light-Acro"/>
                <w:color w:val="auto"/>
                <w:kern w:val="0"/>
                <w:sz w:val="21"/>
                <w:szCs w:val="21"/>
                <w:u w:val="none"/>
                <w:lang w:val="en-US" w:eastAsia="zh-CN"/>
              </w:rPr>
              <w:t>C3586 康复辅具制造</w:t>
            </w:r>
            <w:r>
              <w:rPr>
                <w:rFonts w:hint="eastAsia" w:ascii="Times New Roman" w:hAnsi="Times New Roman" w:cs="AdobeSongStd-Light-Acro"/>
                <w:color w:val="auto"/>
                <w:kern w:val="0"/>
                <w:sz w:val="21"/>
                <w:szCs w:val="21"/>
                <w:u w:val="none"/>
                <w:lang w:val="en-US" w:eastAsia="zh-CN"/>
              </w:rPr>
              <w:t>，高噪声设备集中位于厂区中部，距最近敏感点（西亨社区）78m，</w:t>
            </w:r>
            <w:r>
              <w:rPr>
                <w:rFonts w:hint="eastAsia" w:ascii="Times New Roman" w:hAnsi="Times New Roman" w:eastAsia="宋体" w:cs="Times New Roman"/>
                <w:color w:val="auto"/>
                <w:sz w:val="21"/>
                <w:szCs w:val="21"/>
                <w:highlight w:val="none"/>
              </w:rPr>
              <w:t>经车间墙体隔声、设置减振垫</w:t>
            </w:r>
            <w:r>
              <w:rPr>
                <w:rFonts w:hint="eastAsia" w:ascii="Times New Roman" w:hAnsi="Times New Roman" w:cs="Times New Roman"/>
                <w:color w:val="auto"/>
                <w:sz w:val="21"/>
                <w:szCs w:val="21"/>
                <w:highlight w:val="none"/>
                <w:lang w:val="en-US" w:eastAsia="zh-CN"/>
              </w:rPr>
              <w:t>等降噪措施，对周围敏感点影响较小。项目涉及</w:t>
            </w:r>
            <w:r>
              <w:rPr>
                <w:rFonts w:hint="eastAsia" w:ascii="Times New Roman" w:hAnsi="Times New Roman" w:cs="AdobeSongStd-Light-Acro"/>
                <w:color w:val="auto"/>
                <w:kern w:val="0"/>
                <w:sz w:val="21"/>
                <w:szCs w:val="21"/>
                <w:u w:val="none"/>
                <w:lang w:val="en-US"/>
              </w:rPr>
              <w:t>排气筒</w:t>
            </w:r>
            <w:r>
              <w:rPr>
                <w:rFonts w:hint="eastAsia" w:ascii="Times New Roman" w:hAnsi="Times New Roman" w:cs="AdobeSongStd-Light-Acro"/>
                <w:color w:val="auto"/>
                <w:kern w:val="0"/>
                <w:sz w:val="21"/>
                <w:szCs w:val="21"/>
                <w:u w:val="none"/>
                <w:lang w:val="en-US" w:eastAsia="zh-CN"/>
              </w:rPr>
              <w:t>G1、G2</w:t>
            </w:r>
            <w:r>
              <w:rPr>
                <w:rFonts w:hint="eastAsia" w:ascii="Times New Roman" w:hAnsi="Times New Roman" w:cs="AdobeSongStd-Light-Acro"/>
                <w:color w:val="auto"/>
                <w:kern w:val="0"/>
                <w:sz w:val="21"/>
                <w:szCs w:val="21"/>
                <w:u w:val="none"/>
                <w:lang w:val="en-US"/>
              </w:rPr>
              <w:t>建设位于厂房</w:t>
            </w:r>
            <w:r>
              <w:rPr>
                <w:rFonts w:hint="eastAsia" w:cs="AdobeSongStd-Light-Acro"/>
                <w:color w:val="auto"/>
                <w:kern w:val="0"/>
                <w:sz w:val="21"/>
                <w:szCs w:val="21"/>
                <w:u w:val="none"/>
                <w:lang w:val="en-US" w:eastAsia="zh-CN"/>
              </w:rPr>
              <w:t>东</w:t>
            </w:r>
            <w:r>
              <w:rPr>
                <w:rFonts w:hint="eastAsia" w:ascii="Times New Roman" w:hAnsi="Times New Roman" w:cs="AdobeSongStd-Light-Acro"/>
                <w:color w:val="auto"/>
                <w:kern w:val="0"/>
                <w:sz w:val="21"/>
                <w:szCs w:val="21"/>
                <w:u w:val="none"/>
                <w:lang w:val="en-US" w:eastAsia="zh-CN"/>
              </w:rPr>
              <w:t>北部</w:t>
            </w:r>
            <w:r>
              <w:rPr>
                <w:rFonts w:hint="eastAsia" w:ascii="Times New Roman" w:hAnsi="Times New Roman" w:cs="AdobeSongStd-Light-Acro"/>
                <w:color w:val="auto"/>
                <w:kern w:val="0"/>
                <w:sz w:val="21"/>
                <w:szCs w:val="21"/>
                <w:u w:val="none"/>
                <w:lang w:val="en-US"/>
              </w:rPr>
              <w:t>区域</w:t>
            </w:r>
            <w:r>
              <w:rPr>
                <w:rFonts w:hint="eastAsia" w:ascii="Times New Roman" w:hAnsi="Times New Roman" w:cs="AdobeSongStd-Light-Acro"/>
                <w:color w:val="auto"/>
                <w:kern w:val="0"/>
                <w:sz w:val="21"/>
                <w:szCs w:val="21"/>
                <w:u w:val="none"/>
                <w:lang w:val="en-US" w:eastAsia="zh-CN"/>
              </w:rPr>
              <w:t>，距最近敏感点（西亨社区）的距离分别为98m和97m</w:t>
            </w:r>
            <w:r>
              <w:rPr>
                <w:rFonts w:hint="eastAsia" w:ascii="Times New Roman" w:hAnsi="Times New Roman" w:cs="AdobeSongStd-Light-Acro"/>
                <w:color w:val="auto"/>
                <w:kern w:val="0"/>
                <w:sz w:val="21"/>
                <w:szCs w:val="21"/>
                <w:u w:val="none"/>
                <w:lang w:val="en-US"/>
              </w:rPr>
              <w:t>，</w:t>
            </w:r>
            <w:r>
              <w:rPr>
                <w:rFonts w:hint="eastAsia" w:ascii="Times New Roman" w:hAnsi="Times New Roman" w:cs="AdobeSongStd-Light-Acro"/>
                <w:color w:val="auto"/>
                <w:kern w:val="0"/>
                <w:sz w:val="21"/>
                <w:szCs w:val="21"/>
                <w:u w:val="none"/>
                <w:lang w:val="en-US" w:eastAsia="zh-CN"/>
              </w:rPr>
              <w:t>远离最近敏感点（西亨社区）一侧</w:t>
            </w:r>
            <w:r>
              <w:rPr>
                <w:rFonts w:hint="eastAsia" w:ascii="Times New Roman" w:hAnsi="Times New Roman" w:cs="AdobeSongStd-Light-Acro"/>
                <w:color w:val="auto"/>
                <w:kern w:val="0"/>
                <w:sz w:val="21"/>
                <w:szCs w:val="21"/>
                <w:u w:val="none"/>
                <w:lang w:val="en-US"/>
              </w:rPr>
              <w:t>。</w:t>
            </w:r>
            <w:r>
              <w:rPr>
                <w:rFonts w:hint="eastAsia" w:ascii="Times New Roman" w:hAnsi="Times New Roman" w:cs="AdobeSongStd-Light-Acro"/>
                <w:color w:val="auto"/>
                <w:kern w:val="0"/>
                <w:sz w:val="21"/>
                <w:szCs w:val="21"/>
                <w:u w:val="none"/>
                <w:lang w:val="en-US" w:eastAsia="zh-CN"/>
              </w:rPr>
              <w:t>因此</w:t>
            </w:r>
            <w:r>
              <w:rPr>
                <w:rFonts w:hint="eastAsia" w:ascii="Times New Roman" w:hAnsi="Times New Roman" w:cs="AdobeSongStd-Light-Acro"/>
                <w:color w:val="auto"/>
                <w:kern w:val="0"/>
                <w:sz w:val="21"/>
                <w:szCs w:val="21"/>
                <w:u w:val="none"/>
                <w:lang w:val="en-US"/>
              </w:rPr>
              <w:t>项目平面</w:t>
            </w:r>
            <w:r>
              <w:rPr>
                <w:rFonts w:ascii="Times New Roman" w:hAnsi="Times New Roman" w:cs="AdobeSongStd-Light-Acro"/>
                <w:color w:val="auto"/>
                <w:kern w:val="0"/>
                <w:sz w:val="21"/>
                <w:szCs w:val="21"/>
                <w:u w:val="none"/>
                <w:lang w:val="en-US"/>
              </w:rPr>
              <w:t>布局相对合理</w:t>
            </w:r>
            <w:r>
              <w:rPr>
                <w:rFonts w:hint="eastAsia" w:ascii="Times New Roman" w:hAnsi="Times New Roman" w:cs="AdobeSongStd-Light-Acro"/>
                <w:color w:val="auto"/>
                <w:kern w:val="0"/>
                <w:sz w:val="21"/>
                <w:szCs w:val="21"/>
                <w:u w:val="none"/>
                <w:lang w:val="en-US"/>
              </w:rPr>
              <w:t>。</w:t>
            </w:r>
          </w:p>
          <w:p w14:paraId="7DEC33DF">
            <w:pPr>
              <w:pStyle w:val="95"/>
              <w:ind w:firstLine="422"/>
              <w:rPr>
                <w:rFonts w:hint="eastAsia"/>
                <w:b/>
                <w:color w:val="auto"/>
                <w:sz w:val="21"/>
                <w:szCs w:val="21"/>
                <w:lang w:val="en-US" w:eastAsia="zh-CN"/>
              </w:rPr>
            </w:pPr>
          </w:p>
          <w:p w14:paraId="04E41358">
            <w:pPr>
              <w:pStyle w:val="95"/>
              <w:ind w:firstLine="422"/>
              <w:rPr>
                <w:b/>
                <w:color w:val="auto"/>
                <w:sz w:val="21"/>
                <w:szCs w:val="21"/>
                <w:lang w:val="en-US"/>
              </w:rPr>
            </w:pPr>
            <w:r>
              <w:rPr>
                <w:rFonts w:hint="eastAsia"/>
                <w:b/>
                <w:color w:val="auto"/>
                <w:sz w:val="21"/>
                <w:szCs w:val="21"/>
                <w:lang w:val="en-US" w:eastAsia="zh-CN"/>
              </w:rPr>
              <w:t>11</w:t>
            </w:r>
            <w:r>
              <w:rPr>
                <w:rFonts w:hint="eastAsia"/>
                <w:b/>
                <w:color w:val="auto"/>
                <w:sz w:val="21"/>
                <w:szCs w:val="21"/>
              </w:rPr>
              <w:t>、四至</w:t>
            </w:r>
            <w:r>
              <w:rPr>
                <w:rFonts w:hint="eastAsia"/>
                <w:b/>
                <w:color w:val="auto"/>
                <w:sz w:val="21"/>
                <w:szCs w:val="21"/>
                <w:lang w:val="en-US"/>
              </w:rPr>
              <w:t>情况</w:t>
            </w:r>
          </w:p>
          <w:p w14:paraId="6C01710A">
            <w:pPr>
              <w:adjustRightInd w:val="0"/>
              <w:snapToGrid w:val="0"/>
              <w:spacing w:line="360" w:lineRule="auto"/>
              <w:ind w:firstLine="420" w:firstLineChars="200"/>
              <w:rPr>
                <w:rFonts w:ascii="宋体" w:hAnsi="宋体" w:cs="AdobeSongStd-Light-Acro"/>
                <w:color w:val="auto"/>
                <w:kern w:val="0"/>
                <w:szCs w:val="21"/>
              </w:rPr>
            </w:pPr>
            <w:r>
              <w:rPr>
                <w:rFonts w:hint="eastAsia" w:ascii="宋体" w:hAnsi="宋体" w:cs="AdobeSongStd-Light-Acro"/>
                <w:color w:val="auto"/>
                <w:kern w:val="0"/>
                <w:szCs w:val="21"/>
              </w:rPr>
              <w:t>项目东北面为中山南朗镇泓力包装材料厂以及空置厂房，东南面为</w:t>
            </w:r>
            <w:r>
              <w:rPr>
                <w:rFonts w:hint="eastAsia" w:ascii="宋体" w:hAnsi="宋体" w:cs="AdobeSongStd-Light-Acro"/>
                <w:color w:val="auto"/>
                <w:kern w:val="0"/>
                <w:szCs w:val="21"/>
                <w:lang w:val="en-US" w:eastAsia="zh-CN"/>
              </w:rPr>
              <w:t>林</w:t>
            </w:r>
            <w:r>
              <w:rPr>
                <w:rFonts w:hint="eastAsia" w:ascii="宋体" w:hAnsi="宋体" w:cs="AdobeSongStd-Light-Acro"/>
                <w:color w:val="auto"/>
                <w:kern w:val="0"/>
                <w:szCs w:val="21"/>
              </w:rPr>
              <w:t>地，西南面为空置厂房，西北面是中山市山</w:t>
            </w:r>
            <w:r>
              <w:rPr>
                <w:rFonts w:hint="eastAsia" w:ascii="宋体" w:hAnsi="宋体" w:cs="AdobeSongStd-Light-Acro"/>
                <w:color w:val="auto"/>
                <w:kern w:val="0"/>
                <w:szCs w:val="21"/>
                <w:lang w:val="en-US" w:eastAsia="zh-CN"/>
              </w:rPr>
              <w:t>优耐特包装</w:t>
            </w:r>
            <w:r>
              <w:rPr>
                <w:rFonts w:hint="eastAsia" w:ascii="宋体" w:hAnsi="宋体" w:cs="AdobeSongStd-Light-Acro"/>
                <w:color w:val="auto"/>
                <w:kern w:val="0"/>
                <w:szCs w:val="21"/>
              </w:rPr>
              <w:t>有限公司。</w:t>
            </w:r>
          </w:p>
        </w:tc>
      </w:tr>
      <w:tr w14:paraId="736E7D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4" w:hRule="atLeast"/>
        </w:trPr>
        <w:tc>
          <w:tcPr>
            <w:tcW w:w="596" w:type="dxa"/>
            <w:vAlign w:val="center"/>
          </w:tcPr>
          <w:p w14:paraId="10B1E2DE">
            <w:pPr>
              <w:pStyle w:val="30"/>
              <w:adjustRightInd w:val="0"/>
              <w:snapToGrid w:val="0"/>
              <w:spacing w:before="0" w:beforeAutospacing="0" w:after="0" w:afterAutospacing="0"/>
              <w:jc w:val="center"/>
              <w:rPr>
                <w:color w:val="auto"/>
                <w:sz w:val="21"/>
                <w:szCs w:val="21"/>
              </w:rPr>
            </w:pPr>
            <w:r>
              <w:rPr>
                <w:rFonts w:hint="eastAsia" w:cs="宋体"/>
                <w:color w:val="auto"/>
                <w:sz w:val="21"/>
                <w:szCs w:val="21"/>
              </w:rPr>
              <w:t>工艺流程和产排污环节</w:t>
            </w:r>
          </w:p>
        </w:tc>
        <w:tc>
          <w:tcPr>
            <w:tcW w:w="8464" w:type="dxa"/>
          </w:tcPr>
          <w:p w14:paraId="0AB84CA1">
            <w:pPr>
              <w:adjustRightInd w:val="0"/>
              <w:snapToGrid w:val="0"/>
              <w:spacing w:line="360" w:lineRule="auto"/>
              <w:rPr>
                <w:rFonts w:ascii="宋体" w:hAnsi="宋体"/>
                <w:b/>
                <w:bCs/>
                <w:color w:val="auto"/>
                <w:szCs w:val="21"/>
              </w:rPr>
            </w:pPr>
            <w:r>
              <w:rPr>
                <w:rFonts w:hint="eastAsia" w:ascii="宋体" w:hAnsi="宋体"/>
                <w:b/>
                <w:bCs/>
                <w:color w:val="auto"/>
                <w:szCs w:val="21"/>
              </w:rPr>
              <w:t>工艺流程图</w:t>
            </w:r>
          </w:p>
          <w:p w14:paraId="7DAC7861">
            <w:pPr>
              <w:numPr>
                <w:ilvl w:val="0"/>
                <w:numId w:val="8"/>
              </w:numPr>
              <w:adjustRightInd w:val="0"/>
              <w:snapToGrid w:val="0"/>
              <w:spacing w:line="360" w:lineRule="auto"/>
              <w:rPr>
                <w:rFonts w:hint="eastAsia" w:asciiTheme="minorEastAsia" w:hAnsiTheme="minorEastAsia" w:eastAsiaTheme="minorEastAsia"/>
                <w:bCs/>
                <w:color w:val="auto"/>
                <w:szCs w:val="21"/>
              </w:rPr>
            </w:pPr>
            <w:r>
              <w:rPr>
                <w:rFonts w:hint="eastAsia" w:asciiTheme="minorEastAsia" w:hAnsiTheme="minorEastAsia" w:eastAsiaTheme="minorEastAsia"/>
                <w:bCs/>
                <w:color w:val="auto"/>
                <w:szCs w:val="21"/>
              </w:rPr>
              <w:t>工艺流程：</w:t>
            </w:r>
          </w:p>
          <w:p w14:paraId="2972D580">
            <w:pPr>
              <w:pStyle w:val="46"/>
              <w:jc w:val="left"/>
              <w:rPr>
                <w:rFonts w:hint="default" w:eastAsiaTheme="minorEastAsia"/>
                <w:b/>
                <w:bCs w:val="0"/>
                <w:color w:val="auto"/>
                <w:sz w:val="21"/>
                <w:szCs w:val="21"/>
                <w:lang w:val="en-US" w:eastAsia="zh-CN"/>
              </w:rPr>
            </w:pPr>
            <w:r>
              <w:rPr>
                <w:rFonts w:hint="eastAsia" w:asciiTheme="minorEastAsia" w:hAnsiTheme="minorEastAsia" w:eastAsiaTheme="minorEastAsia"/>
                <w:b/>
                <w:bCs w:val="0"/>
                <w:color w:val="auto"/>
                <w:sz w:val="21"/>
                <w:szCs w:val="21"/>
                <w:lang w:val="en-US" w:eastAsia="zh-CN"/>
              </w:rPr>
              <w:t>总工艺流程：</w:t>
            </w:r>
          </w:p>
          <w:p w14:paraId="17B03406">
            <w:pPr>
              <w:pStyle w:val="46"/>
              <w:numPr>
                <w:ilvl w:val="0"/>
                <w:numId w:val="0"/>
              </w:numPr>
              <w:jc w:val="center"/>
              <w:rPr>
                <w:rFonts w:hint="eastAsia" w:eastAsia="宋体"/>
                <w:color w:val="auto"/>
                <w:lang w:eastAsia="zh-CN"/>
              </w:rPr>
            </w:pPr>
            <w:r>
              <w:rPr>
                <w:rFonts w:hint="eastAsia" w:eastAsia="宋体"/>
                <w:color w:val="auto"/>
                <w:lang w:eastAsia="zh-CN"/>
              </w:rPr>
              <w:drawing>
                <wp:inline distT="0" distB="0" distL="114300" distR="114300">
                  <wp:extent cx="4449445" cy="1598930"/>
                  <wp:effectExtent l="0" t="0" r="0" b="0"/>
                  <wp:docPr id="75" name="ECB019B1-382A-4266-B25C-5B523AA43C14-4" descr="C:/Users/lenovo/AppData/Local/Temp/wps.SratR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ECB019B1-382A-4266-B25C-5B523AA43C14-4" descr="C:/Users/lenovo/AppData/Local/Temp/wps.SratRlwps"/>
                          <pic:cNvPicPr>
                            <a:picLocks noChangeAspect="1"/>
                          </pic:cNvPicPr>
                        </pic:nvPicPr>
                        <pic:blipFill>
                          <a:blip r:embed="rId11"/>
                          <a:srcRect t="6261" r="4214"/>
                          <a:stretch>
                            <a:fillRect/>
                          </a:stretch>
                        </pic:blipFill>
                        <pic:spPr>
                          <a:xfrm>
                            <a:off x="0" y="0"/>
                            <a:ext cx="4449445" cy="1598930"/>
                          </a:xfrm>
                          <a:prstGeom prst="rect">
                            <a:avLst/>
                          </a:prstGeom>
                        </pic:spPr>
                      </pic:pic>
                    </a:graphicData>
                  </a:graphic>
                </wp:inline>
              </w:drawing>
            </w:r>
          </w:p>
          <w:p w14:paraId="20D478CF">
            <w:pPr>
              <w:pStyle w:val="46"/>
              <w:spacing w:line="360" w:lineRule="auto"/>
              <w:jc w:val="both"/>
              <w:rPr>
                <w:rFonts w:hint="eastAsia" w:ascii="Times New Roman" w:hAnsi="Times New Roman"/>
                <w:color w:val="auto"/>
                <w:sz w:val="21"/>
                <w:szCs w:val="21"/>
                <w:lang w:val="en-US" w:eastAsia="zh-CN"/>
              </w:rPr>
            </w:pPr>
            <w:r>
              <w:rPr>
                <w:rFonts w:hint="eastAsia"/>
                <w:color w:val="auto"/>
                <w:sz w:val="21"/>
                <w:szCs w:val="21"/>
                <w:lang w:val="en-US" w:eastAsia="zh-CN"/>
              </w:rPr>
              <w:t>注：</w:t>
            </w:r>
            <w:r>
              <w:rPr>
                <w:rFonts w:hint="eastAsia" w:ascii="Times New Roman" w:hAnsi="Times New Roman"/>
                <w:color w:val="auto"/>
                <w:sz w:val="21"/>
                <w:szCs w:val="21"/>
                <w:lang w:val="en-US" w:eastAsia="zh-CN"/>
              </w:rPr>
              <w:t>自动线中的固化工序采用液化石油气加热，</w:t>
            </w:r>
            <w:r>
              <w:rPr>
                <w:rFonts w:hint="eastAsia" w:ascii="Times New Roman" w:hAnsi="Times New Roman" w:eastAsia="宋体" w:cs="宋体"/>
                <w:color w:val="auto"/>
                <w:sz w:val="21"/>
                <w:szCs w:val="21"/>
                <w:lang w:val="en-US" w:eastAsia="zh-CN"/>
              </w:rPr>
              <w:t>手动线</w:t>
            </w:r>
            <w:r>
              <w:rPr>
                <w:rFonts w:hint="eastAsia" w:ascii="Times New Roman" w:hAnsi="Times New Roman"/>
                <w:color w:val="auto"/>
                <w:sz w:val="21"/>
                <w:szCs w:val="21"/>
                <w:lang w:val="en-US" w:eastAsia="zh-CN"/>
              </w:rPr>
              <w:t>中的固化工序采用电能加热。手动线喷粉（喷粉柜）、固化（面包炉）年工作时间为</w:t>
            </w:r>
            <w:r>
              <w:rPr>
                <w:rFonts w:hint="eastAsia" w:ascii="Times New Roman"/>
                <w:color w:val="auto"/>
                <w:sz w:val="21"/>
                <w:szCs w:val="21"/>
                <w:lang w:val="en-US" w:eastAsia="zh-CN"/>
              </w:rPr>
              <w:t>30</w:t>
            </w:r>
            <w:r>
              <w:rPr>
                <w:rFonts w:hint="eastAsia" w:ascii="Times New Roman" w:hAnsi="Times New Roman"/>
                <w:color w:val="auto"/>
                <w:sz w:val="21"/>
                <w:szCs w:val="21"/>
                <w:lang w:val="en-US" w:eastAsia="zh-CN"/>
              </w:rPr>
              <w:t>0h</w:t>
            </w:r>
            <w:r>
              <w:rPr>
                <w:rFonts w:hint="eastAsia" w:ascii="Times New Roman" w:hAnsi="Times New Roman"/>
                <w:color w:val="auto"/>
                <w:sz w:val="21"/>
                <w:szCs w:val="21"/>
                <w:lang w:val="en-US" w:eastAsia="zh-CN"/>
              </w:rPr>
              <w:t>，自动线喷粉（喷粉房）、固化（烘干线+固化线）年工作时间为</w:t>
            </w:r>
            <w:r>
              <w:rPr>
                <w:rFonts w:hint="eastAsia" w:ascii="Times New Roman"/>
                <w:color w:val="auto"/>
                <w:sz w:val="21"/>
                <w:szCs w:val="21"/>
                <w:lang w:val="en-US" w:eastAsia="zh-CN"/>
              </w:rPr>
              <w:t>24</w:t>
            </w:r>
            <w:r>
              <w:rPr>
                <w:rFonts w:hint="eastAsia" w:ascii="Times New Roman" w:hAnsi="Times New Roman"/>
                <w:color w:val="auto"/>
                <w:sz w:val="21"/>
                <w:szCs w:val="21"/>
                <w:lang w:val="en-US" w:eastAsia="zh-CN"/>
              </w:rPr>
              <w:t>00h</w:t>
            </w:r>
            <w:r>
              <w:rPr>
                <w:rFonts w:hint="eastAsia" w:ascii="Times New Roman" w:hAnsi="Times New Roman"/>
                <w:color w:val="auto"/>
                <w:sz w:val="21"/>
                <w:szCs w:val="21"/>
                <w:lang w:val="en-US" w:eastAsia="zh-CN"/>
              </w:rPr>
              <w:t>。</w:t>
            </w:r>
          </w:p>
          <w:p w14:paraId="1EF215DF">
            <w:pPr>
              <w:spacing w:line="360" w:lineRule="auto"/>
              <w:ind w:firstLine="420" w:firstLineChars="200"/>
              <w:rPr>
                <w:rFonts w:hint="default"/>
                <w:color w:val="auto"/>
                <w:lang w:val="en-US" w:eastAsia="zh-CN"/>
              </w:rPr>
            </w:pPr>
            <w:r>
              <w:rPr>
                <w:rFonts w:hint="eastAsia"/>
                <w:color w:val="auto"/>
                <w:sz w:val="21"/>
                <w:szCs w:val="21"/>
                <w:lang w:val="en-US" w:eastAsia="zh-CN"/>
              </w:rPr>
              <w:t>手动前处理线或自动前处理线工作过程产生固废（陶化废液、除油废液、</w:t>
            </w:r>
            <w:r>
              <w:rPr>
                <w:rFonts w:hint="eastAsia"/>
                <w:color w:val="auto"/>
                <w:szCs w:val="21"/>
                <w:lang w:val="en-US" w:eastAsia="zh-CN"/>
              </w:rPr>
              <w:t>废陶化剂桶、废除油剂桶</w:t>
            </w:r>
            <w:r>
              <w:rPr>
                <w:rFonts w:hint="eastAsia"/>
                <w:color w:val="auto"/>
                <w:sz w:val="21"/>
                <w:szCs w:val="21"/>
                <w:lang w:val="en-US" w:eastAsia="zh-CN"/>
              </w:rPr>
              <w:t>）、废气（</w:t>
            </w:r>
            <w:r>
              <w:rPr>
                <w:rFonts w:hint="eastAsia"/>
                <w:color w:val="auto"/>
                <w:szCs w:val="21"/>
                <w:lang w:val="en-US" w:eastAsia="zh-CN"/>
              </w:rPr>
              <w:t>氮氧化物、二氧化硫、林格曼黑度、颗粒物</w:t>
            </w:r>
            <w:r>
              <w:rPr>
                <w:rFonts w:hint="eastAsia"/>
                <w:color w:val="auto"/>
                <w:sz w:val="21"/>
                <w:szCs w:val="21"/>
                <w:lang w:val="en-US" w:eastAsia="zh-CN"/>
              </w:rPr>
              <w:t>）、废水（清洗废水）、噪声。</w:t>
            </w:r>
          </w:p>
          <w:p w14:paraId="48B337B8">
            <w:pPr>
              <w:pStyle w:val="46"/>
              <w:jc w:val="both"/>
              <w:rPr>
                <w:color w:val="auto"/>
                <w:sz w:val="21"/>
                <w:szCs w:val="21"/>
              </w:rPr>
            </w:pPr>
            <w:r>
              <w:rPr>
                <w:rFonts w:hint="eastAsia"/>
                <w:b/>
                <w:bCs/>
                <w:color w:val="auto"/>
                <w:sz w:val="21"/>
                <w:szCs w:val="21"/>
                <w:lang w:val="en-US" w:eastAsia="zh-CN"/>
              </w:rPr>
              <w:t>手</w:t>
            </w:r>
            <w:r>
              <w:rPr>
                <w:rFonts w:hint="eastAsia"/>
                <w:b/>
                <w:bCs/>
                <w:color w:val="auto"/>
                <w:sz w:val="21"/>
                <w:szCs w:val="21"/>
              </w:rPr>
              <w:t>动前</w:t>
            </w:r>
            <w:r>
              <w:rPr>
                <w:b/>
                <w:bCs/>
                <w:color w:val="auto"/>
                <w:sz w:val="21"/>
                <w:szCs w:val="21"/>
              </w:rPr>
              <w:t>处理</w:t>
            </w:r>
            <w:r>
              <w:rPr>
                <w:rFonts w:hint="eastAsia"/>
                <w:b/>
                <w:bCs/>
                <w:color w:val="auto"/>
                <w:sz w:val="21"/>
                <w:szCs w:val="21"/>
              </w:rPr>
              <w:t>线</w:t>
            </w:r>
            <w:r>
              <w:rPr>
                <w:color w:val="auto"/>
                <w:sz w:val="21"/>
                <w:szCs w:val="21"/>
              </w:rPr>
              <w:t>：</w:t>
            </w:r>
          </w:p>
          <w:p w14:paraId="24641A45">
            <w:pPr>
              <w:pStyle w:val="48"/>
              <w:ind w:left="0" w:leftChars="0" w:firstLine="0" w:firstLineChars="0"/>
              <w:jc w:val="both"/>
              <w:rPr>
                <w:rFonts w:hint="eastAsia" w:eastAsia="宋体"/>
                <w:color w:val="auto"/>
                <w:lang w:eastAsia="zh-CN"/>
              </w:rPr>
            </w:pPr>
            <w:r>
              <w:rPr>
                <w:rFonts w:hint="eastAsia" w:eastAsia="宋体"/>
                <w:color w:val="auto"/>
                <w:lang w:eastAsia="zh-CN"/>
              </w:rPr>
              <w:drawing>
                <wp:inline distT="0" distB="0" distL="114300" distR="114300">
                  <wp:extent cx="5385435" cy="1388110"/>
                  <wp:effectExtent l="0" t="0" r="0" b="0"/>
                  <wp:docPr id="38" name="ECB019B1-382A-4266-B25C-5B523AA43C14-5"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CB019B1-382A-4266-B25C-5B523AA43C14-5" descr="wps"/>
                          <pic:cNvPicPr>
                            <a:picLocks noChangeAspect="1"/>
                          </pic:cNvPicPr>
                        </pic:nvPicPr>
                        <pic:blipFill>
                          <a:blip r:embed="rId12"/>
                          <a:srcRect l="2360" t="5780" b="5861"/>
                          <a:stretch>
                            <a:fillRect/>
                          </a:stretch>
                        </pic:blipFill>
                        <pic:spPr>
                          <a:xfrm>
                            <a:off x="0" y="0"/>
                            <a:ext cx="5385435" cy="1388110"/>
                          </a:xfrm>
                          <a:prstGeom prst="rect">
                            <a:avLst/>
                          </a:prstGeom>
                        </pic:spPr>
                      </pic:pic>
                    </a:graphicData>
                  </a:graphic>
                </wp:inline>
              </w:drawing>
            </w:r>
          </w:p>
          <w:p w14:paraId="214006A9">
            <w:pPr>
              <w:pStyle w:val="46"/>
              <w:spacing w:line="360" w:lineRule="auto"/>
              <w:jc w:val="both"/>
              <w:rPr>
                <w:rFonts w:hint="default" w:eastAsia="宋体"/>
                <w:color w:val="auto"/>
                <w:sz w:val="21"/>
                <w:szCs w:val="21"/>
                <w:lang w:val="en-US" w:eastAsia="zh-CN"/>
              </w:rPr>
            </w:pPr>
            <w:r>
              <w:rPr>
                <w:rFonts w:hint="eastAsia"/>
                <w:color w:val="auto"/>
                <w:sz w:val="21"/>
                <w:szCs w:val="21"/>
                <w:lang w:val="en-US" w:eastAsia="zh-CN"/>
              </w:rPr>
              <w:t>注：手</w:t>
            </w:r>
            <w:r>
              <w:rPr>
                <w:rFonts w:hint="eastAsia"/>
                <w:color w:val="auto"/>
                <w:sz w:val="21"/>
                <w:szCs w:val="21"/>
              </w:rPr>
              <w:t>动前</w:t>
            </w:r>
            <w:r>
              <w:rPr>
                <w:color w:val="auto"/>
                <w:sz w:val="21"/>
                <w:szCs w:val="21"/>
              </w:rPr>
              <w:t>处理</w:t>
            </w:r>
            <w:r>
              <w:rPr>
                <w:rFonts w:hint="eastAsia"/>
                <w:color w:val="auto"/>
                <w:sz w:val="21"/>
                <w:szCs w:val="21"/>
              </w:rPr>
              <w:t>线</w:t>
            </w:r>
            <w:r>
              <w:rPr>
                <w:rFonts w:hint="eastAsia"/>
                <w:color w:val="auto"/>
                <w:sz w:val="21"/>
                <w:szCs w:val="21"/>
                <w:lang w:val="en-US" w:eastAsia="zh-CN"/>
              </w:rPr>
              <w:t>年工作时间为</w:t>
            </w:r>
            <w:r>
              <w:rPr>
                <w:rFonts w:hint="eastAsia" w:ascii="Times New Roman" w:cs="Times New Roman"/>
                <w:color w:val="auto"/>
                <w:sz w:val="21"/>
                <w:szCs w:val="21"/>
                <w:lang w:val="en-US" w:eastAsia="zh-CN"/>
              </w:rPr>
              <w:t>30</w:t>
            </w:r>
            <w:r>
              <w:rPr>
                <w:rFonts w:hint="default" w:ascii="Times New Roman" w:hAnsi="Times New Roman" w:cs="Times New Roman"/>
                <w:color w:val="auto"/>
                <w:sz w:val="21"/>
                <w:szCs w:val="21"/>
                <w:lang w:val="en-US" w:eastAsia="zh-CN"/>
              </w:rPr>
              <w:t>0h</w:t>
            </w:r>
            <w:r>
              <w:rPr>
                <w:rFonts w:hint="eastAsia" w:ascii="Times New Roman" w:hAnsi="Times New Roman" w:cs="Times New Roman"/>
                <w:color w:val="auto"/>
                <w:sz w:val="21"/>
                <w:szCs w:val="21"/>
                <w:lang w:val="en-US" w:eastAsia="zh-CN"/>
              </w:rPr>
              <w:t>，人工操作航吊吊取</w:t>
            </w:r>
            <w:r>
              <w:rPr>
                <w:rFonts w:hint="eastAsia" w:ascii="Times New Roman" w:cs="Times New Roman"/>
                <w:color w:val="auto"/>
                <w:sz w:val="21"/>
                <w:szCs w:val="21"/>
                <w:lang w:val="en-US" w:eastAsia="zh-CN"/>
              </w:rPr>
              <w:t>待处理铁管</w:t>
            </w:r>
            <w:r>
              <w:rPr>
                <w:rFonts w:hint="eastAsia" w:ascii="Times New Roman" w:hAnsi="Times New Roman" w:cs="Times New Roman"/>
                <w:color w:val="auto"/>
                <w:sz w:val="21"/>
                <w:szCs w:val="21"/>
                <w:lang w:val="en-US" w:eastAsia="zh-CN"/>
              </w:rPr>
              <w:t>放入槽内浸泡</w:t>
            </w:r>
            <w:r>
              <w:rPr>
                <w:rFonts w:hint="eastAsia"/>
                <w:color w:val="auto"/>
                <w:sz w:val="21"/>
                <w:szCs w:val="21"/>
                <w:lang w:val="en-US" w:eastAsia="zh-CN"/>
              </w:rPr>
              <w:t>。</w:t>
            </w:r>
          </w:p>
          <w:p w14:paraId="76E3ABFE">
            <w:pPr>
              <w:pStyle w:val="46"/>
              <w:spacing w:line="360" w:lineRule="auto"/>
              <w:jc w:val="both"/>
              <w:rPr>
                <w:b/>
                <w:bCs/>
                <w:color w:val="auto"/>
                <w:sz w:val="21"/>
                <w:szCs w:val="21"/>
              </w:rPr>
            </w:pPr>
            <w:r>
              <w:rPr>
                <w:rFonts w:hint="eastAsia"/>
                <w:b/>
                <w:bCs/>
                <w:color w:val="auto"/>
                <w:sz w:val="21"/>
                <w:szCs w:val="21"/>
              </w:rPr>
              <w:t>自动前</w:t>
            </w:r>
            <w:r>
              <w:rPr>
                <w:b/>
                <w:bCs/>
                <w:color w:val="auto"/>
                <w:sz w:val="21"/>
                <w:szCs w:val="21"/>
              </w:rPr>
              <w:t>处理</w:t>
            </w:r>
            <w:r>
              <w:rPr>
                <w:rFonts w:hint="eastAsia"/>
                <w:b/>
                <w:bCs/>
                <w:color w:val="auto"/>
                <w:sz w:val="21"/>
                <w:szCs w:val="21"/>
              </w:rPr>
              <w:t>线</w:t>
            </w:r>
            <w:r>
              <w:rPr>
                <w:b/>
                <w:bCs/>
                <w:color w:val="auto"/>
                <w:sz w:val="21"/>
                <w:szCs w:val="21"/>
              </w:rPr>
              <w:t>：</w:t>
            </w:r>
          </w:p>
          <w:p w14:paraId="1B5EB5F3">
            <w:pPr>
              <w:pStyle w:val="95"/>
              <w:ind w:firstLine="0" w:firstLineChars="0"/>
              <w:jc w:val="center"/>
              <w:rPr>
                <w:rFonts w:hint="eastAsia" w:eastAsia="宋体"/>
                <w:b/>
                <w:color w:val="auto"/>
                <w:sz w:val="21"/>
                <w:szCs w:val="21"/>
                <w:lang w:eastAsia="zh-CN"/>
              </w:rPr>
            </w:pPr>
            <w:r>
              <w:rPr>
                <w:rFonts w:hint="eastAsia" w:eastAsia="宋体"/>
                <w:b/>
                <w:color w:val="auto"/>
                <w:sz w:val="21"/>
                <w:szCs w:val="21"/>
                <w:lang w:eastAsia="zh-CN"/>
              </w:rPr>
              <w:drawing>
                <wp:inline distT="0" distB="0" distL="114300" distR="114300">
                  <wp:extent cx="5266690" cy="1501140"/>
                  <wp:effectExtent l="0" t="0" r="0" b="0"/>
                  <wp:docPr id="41" name="ECB019B1-382A-4266-B25C-5B523AA43C14-6" descr="C:/Users/lenovo/AppData/Local/Temp/wps.ZUyip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CB019B1-382A-4266-B25C-5B523AA43C14-6" descr="C:/Users/lenovo/AppData/Local/Temp/wps.ZUyipGwps"/>
                          <pic:cNvPicPr>
                            <a:picLocks noChangeAspect="1"/>
                          </pic:cNvPicPr>
                        </pic:nvPicPr>
                        <pic:blipFill>
                          <a:blip r:embed="rId13"/>
                          <a:srcRect l="1504" t="4754" r="1286"/>
                          <a:stretch>
                            <a:fillRect/>
                          </a:stretch>
                        </pic:blipFill>
                        <pic:spPr>
                          <a:xfrm>
                            <a:off x="0" y="0"/>
                            <a:ext cx="5266690" cy="1501140"/>
                          </a:xfrm>
                          <a:prstGeom prst="rect">
                            <a:avLst/>
                          </a:prstGeom>
                        </pic:spPr>
                      </pic:pic>
                    </a:graphicData>
                  </a:graphic>
                </wp:inline>
              </w:drawing>
            </w:r>
          </w:p>
          <w:p w14:paraId="1795A01C">
            <w:pPr>
              <w:pStyle w:val="95"/>
              <w:spacing w:line="360" w:lineRule="auto"/>
              <w:ind w:firstLine="0" w:firstLineChars="0"/>
              <w:rPr>
                <w:rFonts w:hint="eastAsia" w:eastAsia="宋体"/>
                <w:b w:val="0"/>
                <w:bCs/>
                <w:color w:val="auto"/>
                <w:sz w:val="21"/>
                <w:szCs w:val="21"/>
                <w:lang w:val="en-US" w:eastAsia="zh-CN"/>
              </w:rPr>
            </w:pPr>
            <w:r>
              <w:rPr>
                <w:rFonts w:hint="eastAsia"/>
                <w:b w:val="0"/>
                <w:bCs/>
                <w:color w:val="auto"/>
                <w:sz w:val="21"/>
                <w:szCs w:val="21"/>
                <w:lang w:val="en-US" w:eastAsia="zh-CN"/>
              </w:rPr>
              <w:t>注：</w:t>
            </w:r>
            <w:r>
              <w:rPr>
                <w:rFonts w:hint="eastAsia"/>
                <w:b w:val="0"/>
                <w:bCs/>
                <w:color w:val="auto"/>
                <w:sz w:val="21"/>
                <w:szCs w:val="21"/>
              </w:rPr>
              <w:t>自动前</w:t>
            </w:r>
            <w:r>
              <w:rPr>
                <w:b w:val="0"/>
                <w:bCs/>
                <w:color w:val="auto"/>
                <w:sz w:val="21"/>
                <w:szCs w:val="21"/>
              </w:rPr>
              <w:t>处理</w:t>
            </w:r>
            <w:r>
              <w:rPr>
                <w:rFonts w:hint="eastAsia"/>
                <w:b w:val="0"/>
                <w:bCs/>
                <w:color w:val="auto"/>
                <w:sz w:val="21"/>
                <w:szCs w:val="21"/>
              </w:rPr>
              <w:t>线</w:t>
            </w:r>
            <w:r>
              <w:rPr>
                <w:rFonts w:hint="eastAsia"/>
                <w:b w:val="0"/>
                <w:bCs/>
                <w:color w:val="auto"/>
                <w:sz w:val="21"/>
                <w:szCs w:val="21"/>
                <w:lang w:val="en-US" w:eastAsia="zh-CN"/>
              </w:rPr>
              <w:t>年工作时间为</w:t>
            </w:r>
            <w:r>
              <w:rPr>
                <w:rFonts w:hint="eastAsia"/>
                <w:b w:val="0"/>
                <w:bCs/>
                <w:color w:val="auto"/>
                <w:sz w:val="21"/>
                <w:szCs w:val="21"/>
                <w:lang w:val="en-US" w:eastAsia="zh-CN"/>
              </w:rPr>
              <w:t>2400h</w:t>
            </w:r>
            <w:r>
              <w:rPr>
                <w:rFonts w:hint="eastAsia"/>
                <w:b w:val="0"/>
                <w:bCs/>
                <w:color w:val="auto"/>
                <w:sz w:val="21"/>
                <w:szCs w:val="21"/>
                <w:lang w:val="en-US" w:eastAsia="zh-CN"/>
              </w:rPr>
              <w:t>，通过人工在上挂区上挂后就不用进行人工操作，由预设好的输送速度稳定进行除油、陶化。</w:t>
            </w:r>
          </w:p>
          <w:p w14:paraId="6297A81C">
            <w:pPr>
              <w:pStyle w:val="95"/>
              <w:ind w:firstLine="0" w:firstLineChars="0"/>
              <w:rPr>
                <w:color w:val="auto"/>
                <w:szCs w:val="21"/>
              </w:rPr>
            </w:pPr>
            <w:r>
              <w:rPr>
                <w:rFonts w:hint="eastAsia"/>
                <w:b/>
                <w:color w:val="auto"/>
                <w:sz w:val="21"/>
                <w:szCs w:val="21"/>
              </w:rPr>
              <w:t>工艺说明：</w:t>
            </w:r>
          </w:p>
          <w:p w14:paraId="2F444863">
            <w:pPr>
              <w:spacing w:line="360" w:lineRule="auto"/>
              <w:ind w:firstLine="420" w:firstLineChars="200"/>
              <w:rPr>
                <w:color w:val="auto"/>
                <w:szCs w:val="21"/>
              </w:rPr>
            </w:pPr>
            <w:r>
              <w:rPr>
                <w:rFonts w:hint="eastAsia"/>
                <w:color w:val="auto"/>
                <w:szCs w:val="21"/>
              </w:rPr>
              <w:t>①</w:t>
            </w:r>
            <w:r>
              <w:rPr>
                <w:rFonts w:hint="eastAsia"/>
                <w:b/>
                <w:bCs/>
                <w:color w:val="auto"/>
                <w:szCs w:val="21"/>
              </w:rPr>
              <w:t>除油</w:t>
            </w:r>
            <w:r>
              <w:rPr>
                <w:rFonts w:hint="eastAsia"/>
                <w:color w:val="auto"/>
                <w:szCs w:val="21"/>
              </w:rPr>
              <w:t>：</w:t>
            </w:r>
            <w:r>
              <w:rPr>
                <w:rFonts w:hint="eastAsia"/>
                <w:color w:val="auto"/>
                <w:szCs w:val="21"/>
                <w:lang w:val="en-US" w:eastAsia="zh-CN"/>
              </w:rPr>
              <w:t>除油</w:t>
            </w:r>
            <w:r>
              <w:rPr>
                <w:rFonts w:hint="eastAsia"/>
                <w:color w:val="auto"/>
                <w:szCs w:val="21"/>
              </w:rPr>
              <w:t>是指利用碱溶液（即除油剂）对油脂的皂化和乳化作用，将工件表面油污去除的过程</w:t>
            </w:r>
            <w:r>
              <w:rPr>
                <w:rFonts w:hint="eastAsia"/>
                <w:color w:val="auto"/>
                <w:szCs w:val="21"/>
                <w:lang w:eastAsia="zh-CN"/>
              </w:rPr>
              <w:t>，</w:t>
            </w:r>
            <w:r>
              <w:rPr>
                <w:rFonts w:hint="eastAsia"/>
                <w:color w:val="auto"/>
                <w:szCs w:val="21"/>
                <w:lang w:val="en-US" w:eastAsia="zh-CN"/>
              </w:rPr>
              <w:t>工作温度为40℃</w:t>
            </w:r>
            <w:r>
              <w:rPr>
                <w:rFonts w:hint="eastAsia"/>
                <w:color w:val="auto"/>
                <w:szCs w:val="21"/>
              </w:rPr>
              <w:t>。</w:t>
            </w:r>
            <w:r>
              <w:rPr>
                <w:rFonts w:hint="eastAsia"/>
                <w:color w:val="auto"/>
                <w:szCs w:val="21"/>
                <w:lang w:val="en-US" w:eastAsia="zh-CN"/>
              </w:rPr>
              <w:t>除油工序添加除油剂时，</w:t>
            </w:r>
            <w:r>
              <w:rPr>
                <w:rFonts w:hint="eastAsia"/>
                <w:color w:val="auto"/>
              </w:rPr>
              <w:t>残留在桶内的除油剂采用自来水清洗，清洗</w:t>
            </w:r>
            <w:r>
              <w:rPr>
                <w:rFonts w:hint="eastAsia"/>
                <w:color w:val="auto"/>
                <w:lang w:val="en-US" w:eastAsia="zh-CN"/>
              </w:rPr>
              <w:t>包装桶的水作为母液使用</w:t>
            </w:r>
            <w:r>
              <w:rPr>
                <w:rFonts w:hint="eastAsia"/>
                <w:color w:val="auto"/>
                <w:kern w:val="0"/>
                <w:szCs w:val="21"/>
                <w:lang w:val="en-US" w:eastAsia="zh-CN"/>
              </w:rPr>
              <w:t>，废除油剂桶清洗干净后可作为一般固体废物。</w:t>
            </w:r>
            <w:r>
              <w:rPr>
                <w:rFonts w:hint="eastAsia" w:ascii="Times New Roman" w:hAnsi="Times New Roman" w:eastAsia="宋体" w:cs="Times New Roman"/>
                <w:b w:val="0"/>
                <w:bCs/>
                <w:color w:val="auto"/>
                <w:kern w:val="2"/>
                <w:sz w:val="21"/>
                <w:szCs w:val="21"/>
                <w:lang w:val="en-US" w:eastAsia="zh-CN" w:bidi="ar-SA"/>
              </w:rPr>
              <w:t>故</w:t>
            </w:r>
            <w:r>
              <w:rPr>
                <w:rFonts w:hint="eastAsia"/>
                <w:color w:val="auto"/>
                <w:szCs w:val="21"/>
                <w:lang w:val="en-US" w:eastAsia="zh-CN"/>
              </w:rPr>
              <w:t>此工序产生固废（废除油剂桶、除油废液）、噪声。</w:t>
            </w:r>
          </w:p>
          <w:p w14:paraId="64B796D9">
            <w:pPr>
              <w:spacing w:line="360" w:lineRule="auto"/>
              <w:ind w:firstLine="420" w:firstLineChars="200"/>
              <w:rPr>
                <w:color w:val="auto"/>
                <w:szCs w:val="21"/>
              </w:rPr>
            </w:pPr>
            <w:r>
              <w:rPr>
                <w:rFonts w:hint="eastAsia"/>
                <w:color w:val="auto"/>
                <w:szCs w:val="21"/>
              </w:rPr>
              <w:t>②</w:t>
            </w:r>
            <w:r>
              <w:rPr>
                <w:rFonts w:hint="eastAsia"/>
                <w:b/>
                <w:bCs/>
                <w:color w:val="auto"/>
                <w:szCs w:val="21"/>
              </w:rPr>
              <w:t>水洗</w:t>
            </w:r>
            <w:r>
              <w:rPr>
                <w:rFonts w:hint="eastAsia"/>
                <w:color w:val="auto"/>
                <w:szCs w:val="21"/>
              </w:rPr>
              <w:t>：项目</w:t>
            </w:r>
            <w:r>
              <w:rPr>
                <w:rFonts w:hint="eastAsia"/>
                <w:color w:val="auto"/>
              </w:rPr>
              <w:t>自动前</w:t>
            </w:r>
            <w:r>
              <w:rPr>
                <w:color w:val="auto"/>
              </w:rPr>
              <w:t>处理</w:t>
            </w:r>
            <w:r>
              <w:rPr>
                <w:rFonts w:hint="eastAsia"/>
                <w:color w:val="auto"/>
              </w:rPr>
              <w:t>线水洗方式为喷淋式清洗，</w:t>
            </w:r>
            <w:r>
              <w:rPr>
                <w:rFonts w:hint="eastAsia"/>
                <w:color w:val="auto"/>
                <w:szCs w:val="21"/>
              </w:rPr>
              <w:t>项目</w:t>
            </w:r>
            <w:r>
              <w:rPr>
                <w:rFonts w:hint="eastAsia"/>
                <w:color w:val="auto"/>
                <w:szCs w:val="21"/>
                <w:lang w:val="en-US" w:eastAsia="zh-CN"/>
              </w:rPr>
              <w:t>手</w:t>
            </w:r>
            <w:r>
              <w:rPr>
                <w:rFonts w:hint="eastAsia"/>
                <w:color w:val="auto"/>
                <w:szCs w:val="21"/>
              </w:rPr>
              <w:t>动前处理线水洗方式为浸泡式清洗，水洗的目的是去除表面的杂质</w:t>
            </w:r>
            <w:r>
              <w:rPr>
                <w:rFonts w:hint="eastAsia"/>
                <w:color w:val="auto"/>
                <w:szCs w:val="21"/>
                <w:lang w:eastAsia="zh-CN"/>
              </w:rPr>
              <w:t>，</w:t>
            </w:r>
            <w:r>
              <w:rPr>
                <w:rFonts w:hint="eastAsia"/>
                <w:color w:val="auto"/>
                <w:szCs w:val="21"/>
                <w:lang w:val="en-US" w:eastAsia="zh-CN"/>
              </w:rPr>
              <w:t>工作温度为20℃</w:t>
            </w:r>
            <w:r>
              <w:rPr>
                <w:rFonts w:hint="eastAsia"/>
                <w:color w:val="auto"/>
                <w:szCs w:val="21"/>
                <w:lang w:val="en-US" w:eastAsia="zh-CN"/>
              </w:rPr>
              <w:t>，此过程产生废水（清洗废水）、噪声</w:t>
            </w:r>
            <w:r>
              <w:rPr>
                <w:rFonts w:hint="eastAsia"/>
                <w:color w:val="auto"/>
                <w:szCs w:val="21"/>
              </w:rPr>
              <w:t>。</w:t>
            </w:r>
          </w:p>
          <w:p w14:paraId="4FF2F456">
            <w:pPr>
              <w:spacing w:line="360" w:lineRule="auto"/>
              <w:ind w:firstLine="420" w:firstLineChars="200"/>
              <w:rPr>
                <w:rFonts w:hint="eastAsia" w:eastAsia="宋体"/>
                <w:color w:val="auto"/>
                <w:szCs w:val="21"/>
                <w:lang w:val="en-US" w:eastAsia="zh-CN"/>
              </w:rPr>
            </w:pPr>
            <w:r>
              <w:rPr>
                <w:rFonts w:hint="eastAsia"/>
                <w:color w:val="auto"/>
                <w:szCs w:val="21"/>
              </w:rPr>
              <w:t>③</w:t>
            </w:r>
            <w:r>
              <w:rPr>
                <w:rFonts w:hint="eastAsia"/>
                <w:b/>
                <w:bCs/>
                <w:color w:val="auto"/>
                <w:szCs w:val="21"/>
                <w:lang w:val="en-US" w:eastAsia="zh-CN"/>
              </w:rPr>
              <w:t>陶化：</w:t>
            </w:r>
            <w:r>
              <w:rPr>
                <w:rFonts w:hint="eastAsia"/>
                <w:color w:val="auto"/>
                <w:szCs w:val="21"/>
              </w:rPr>
              <w:t>陶化使用陶化液可使金属工件表面形成一层致密的纳米皮膜，以增强后期涂装工艺的结合力及工件的耐腐蚀能力</w:t>
            </w:r>
            <w:r>
              <w:rPr>
                <w:rFonts w:hint="eastAsia"/>
                <w:color w:val="auto"/>
                <w:szCs w:val="21"/>
                <w:lang w:eastAsia="zh-CN"/>
              </w:rPr>
              <w:t>，</w:t>
            </w:r>
            <w:r>
              <w:rPr>
                <w:rFonts w:hint="eastAsia"/>
                <w:color w:val="auto"/>
                <w:szCs w:val="21"/>
                <w:lang w:val="en-US" w:eastAsia="zh-CN"/>
              </w:rPr>
              <w:t>工作温度为30℃</w:t>
            </w:r>
            <w:r>
              <w:rPr>
                <w:rFonts w:hint="eastAsia"/>
                <w:color w:val="auto"/>
                <w:szCs w:val="21"/>
                <w:lang w:eastAsia="zh-CN"/>
              </w:rPr>
              <w:t>。</w:t>
            </w:r>
            <w:r>
              <w:rPr>
                <w:rFonts w:hint="eastAsia"/>
                <w:color w:val="auto"/>
                <w:szCs w:val="21"/>
                <w:lang w:val="en-US" w:eastAsia="zh-CN"/>
              </w:rPr>
              <w:t>陶化工序添加陶化剂时，</w:t>
            </w:r>
            <w:r>
              <w:rPr>
                <w:rFonts w:hint="eastAsia"/>
                <w:color w:val="auto"/>
              </w:rPr>
              <w:t>残留在桶内的陶化剂采用自来水清洗，清洗</w:t>
            </w:r>
            <w:r>
              <w:rPr>
                <w:rFonts w:hint="eastAsia"/>
                <w:color w:val="auto"/>
                <w:lang w:val="en-US" w:eastAsia="zh-CN"/>
              </w:rPr>
              <w:t>包装桶的水作为母液使用</w:t>
            </w:r>
            <w:r>
              <w:rPr>
                <w:rFonts w:hint="eastAsia"/>
                <w:color w:val="auto"/>
                <w:kern w:val="0"/>
                <w:szCs w:val="21"/>
                <w:lang w:val="en-US" w:eastAsia="zh-CN"/>
              </w:rPr>
              <w:t>，废陶化剂桶清洗干净后可作为一般固体废物。</w:t>
            </w:r>
            <w:r>
              <w:rPr>
                <w:rFonts w:hint="eastAsia"/>
                <w:color w:val="auto"/>
                <w:szCs w:val="21"/>
                <w:lang w:val="en-US" w:eastAsia="zh-CN"/>
              </w:rPr>
              <w:t>故此工序产生固废（废陶化剂桶、陶化废液）、噪声。</w:t>
            </w:r>
          </w:p>
          <w:p w14:paraId="1704FB43">
            <w:pPr>
              <w:spacing w:line="360" w:lineRule="auto"/>
              <w:ind w:firstLine="420" w:firstLineChars="200"/>
              <w:rPr>
                <w:rFonts w:hint="default" w:eastAsia="宋体"/>
                <w:color w:val="auto"/>
                <w:szCs w:val="21"/>
                <w:lang w:val="en-US" w:eastAsia="zh-CN"/>
              </w:rPr>
            </w:pPr>
            <w:r>
              <w:rPr>
                <w:rFonts w:hint="eastAsia"/>
                <w:color w:val="auto"/>
                <w:szCs w:val="21"/>
              </w:rPr>
              <w:t>④</w:t>
            </w:r>
            <w:r>
              <w:rPr>
                <w:rFonts w:hint="eastAsia"/>
                <w:b/>
                <w:bCs/>
                <w:color w:val="auto"/>
                <w:szCs w:val="21"/>
                <w:lang w:val="en-US" w:eastAsia="zh-CN"/>
              </w:rPr>
              <w:t>烘干/自然晾干</w:t>
            </w:r>
            <w:r>
              <w:rPr>
                <w:rFonts w:hint="eastAsia"/>
                <w:color w:val="auto"/>
                <w:szCs w:val="21"/>
                <w:lang w:val="en-US" w:eastAsia="zh-CN"/>
              </w:rPr>
              <w:t>：自动线</w:t>
            </w:r>
            <w:r>
              <w:rPr>
                <w:rFonts w:hint="eastAsia" w:ascii="Times New Roman" w:hAnsi="Times New Roman" w:cs="Times New Roman"/>
                <w:b w:val="0"/>
                <w:bCs w:val="0"/>
                <w:color w:val="auto"/>
                <w:sz w:val="21"/>
                <w:szCs w:val="21"/>
                <w:highlight w:val="none"/>
                <w:lang w:val="en-US" w:eastAsia="zh-CN"/>
              </w:rPr>
              <w:t>五金件水洗</w:t>
            </w:r>
            <w:r>
              <w:rPr>
                <w:rFonts w:hint="eastAsia" w:cs="Times New Roman"/>
                <w:b w:val="0"/>
                <w:bCs w:val="0"/>
                <w:color w:val="auto"/>
                <w:sz w:val="21"/>
                <w:szCs w:val="21"/>
                <w:highlight w:val="none"/>
                <w:lang w:val="en-US" w:eastAsia="zh-CN"/>
              </w:rPr>
              <w:t>2处理</w:t>
            </w:r>
            <w:r>
              <w:rPr>
                <w:rFonts w:hint="default" w:ascii="Times New Roman" w:hAnsi="Times New Roman" w:cs="Times New Roman"/>
                <w:b w:val="0"/>
                <w:bCs w:val="0"/>
                <w:color w:val="auto"/>
                <w:sz w:val="21"/>
                <w:szCs w:val="21"/>
                <w:highlight w:val="none"/>
                <w:lang w:val="en-US" w:eastAsia="zh-CN"/>
              </w:rPr>
              <w:t>后采用液化石</w:t>
            </w:r>
            <w:r>
              <w:rPr>
                <w:rFonts w:hint="eastAsia" w:ascii="Times New Roman" w:hAnsi="Times New Roman" w:cs="Times New Roman"/>
                <w:b w:val="0"/>
                <w:bCs w:val="0"/>
                <w:color w:val="auto"/>
                <w:sz w:val="21"/>
                <w:szCs w:val="21"/>
                <w:highlight w:val="none"/>
                <w:lang w:val="en-US" w:eastAsia="zh-CN"/>
              </w:rPr>
              <w:t>油</w:t>
            </w:r>
            <w:r>
              <w:rPr>
                <w:rFonts w:hint="default" w:ascii="Times New Roman" w:hAnsi="Times New Roman" w:cs="Times New Roman"/>
                <w:b w:val="0"/>
                <w:bCs w:val="0"/>
                <w:color w:val="auto"/>
                <w:sz w:val="21"/>
                <w:szCs w:val="21"/>
                <w:highlight w:val="none"/>
                <w:lang w:val="en-US" w:eastAsia="zh-CN"/>
              </w:rPr>
              <w:t>气直接加热烘干</w:t>
            </w:r>
            <w:r>
              <w:rPr>
                <w:rFonts w:hint="eastAsia"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工作温度为200℃；</w:t>
            </w:r>
            <w:r>
              <w:rPr>
                <w:rFonts w:hint="eastAsia" w:cs="Times New Roman"/>
                <w:b w:val="0"/>
                <w:bCs w:val="0"/>
                <w:color w:val="auto"/>
                <w:sz w:val="21"/>
                <w:szCs w:val="21"/>
                <w:highlight w:val="none"/>
                <w:lang w:val="en-US" w:eastAsia="zh-CN"/>
              </w:rPr>
              <w:t>手动线</w:t>
            </w:r>
            <w:r>
              <w:rPr>
                <w:rFonts w:hint="eastAsia" w:ascii="Times New Roman" w:hAnsi="Times New Roman" w:cs="Times New Roman"/>
                <w:b w:val="0"/>
                <w:bCs w:val="0"/>
                <w:color w:val="auto"/>
                <w:sz w:val="21"/>
                <w:szCs w:val="21"/>
                <w:highlight w:val="none"/>
                <w:lang w:val="en-US" w:eastAsia="zh-CN"/>
              </w:rPr>
              <w:t>五金件水洗c处理</w:t>
            </w:r>
            <w:r>
              <w:rPr>
                <w:rFonts w:hint="default" w:ascii="Times New Roman" w:hAnsi="Times New Roman" w:cs="Times New Roman"/>
                <w:b w:val="0"/>
                <w:bCs w:val="0"/>
                <w:color w:val="auto"/>
                <w:sz w:val="21"/>
                <w:szCs w:val="21"/>
                <w:highlight w:val="none"/>
                <w:lang w:val="en-US" w:eastAsia="zh-CN"/>
              </w:rPr>
              <w:t>后</w:t>
            </w:r>
            <w:r>
              <w:rPr>
                <w:rFonts w:hint="eastAsia" w:ascii="Times New Roman" w:hAnsi="Times New Roman" w:cs="Times New Roman"/>
                <w:b w:val="0"/>
                <w:bCs w:val="0"/>
                <w:color w:val="auto"/>
                <w:sz w:val="21"/>
                <w:szCs w:val="21"/>
                <w:highlight w:val="none"/>
                <w:lang w:val="en-US" w:eastAsia="zh-CN"/>
              </w:rPr>
              <w:t>自然晾干</w:t>
            </w:r>
            <w:r>
              <w:rPr>
                <w:rFonts w:hint="eastAsia"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工作温度为25℃</w:t>
            </w:r>
            <w:r>
              <w:rPr>
                <w:rFonts w:hint="default" w:ascii="Times New Roman" w:hAnsi="Times New Roman" w:cs="Times New Roman"/>
                <w:b w:val="0"/>
                <w:bCs w:val="0"/>
                <w:color w:val="auto"/>
                <w:sz w:val="21"/>
                <w:szCs w:val="21"/>
                <w:highlight w:val="none"/>
                <w:lang w:val="en-US" w:eastAsia="zh-CN"/>
              </w:rPr>
              <w:t>。该工序会产生废气</w:t>
            </w:r>
            <w:r>
              <w:rPr>
                <w:rFonts w:hint="eastAsia"/>
                <w:color w:val="auto"/>
                <w:szCs w:val="21"/>
                <w:lang w:val="en-US" w:eastAsia="zh-CN"/>
              </w:rPr>
              <w:t>（氮氧化物、二氧化硫、林格曼黑度、颗粒物）</w:t>
            </w:r>
            <w:r>
              <w:rPr>
                <w:rFonts w:hint="default" w:ascii="Times New Roman" w:hAnsi="Times New Roman" w:cs="Times New Roman"/>
                <w:b w:val="0"/>
                <w:bCs w:val="0"/>
                <w:color w:val="auto"/>
                <w:sz w:val="21"/>
                <w:szCs w:val="21"/>
                <w:highlight w:val="none"/>
                <w:lang w:val="en-US" w:eastAsia="zh-CN"/>
              </w:rPr>
              <w:t>、</w:t>
            </w:r>
            <w:r>
              <w:rPr>
                <w:rFonts w:hint="eastAsia" w:ascii="Times New Roman" w:hAnsi="Times New Roman" w:cs="Times New Roman"/>
                <w:b w:val="0"/>
                <w:bCs w:val="0"/>
                <w:color w:val="auto"/>
                <w:sz w:val="21"/>
                <w:szCs w:val="21"/>
                <w:highlight w:val="none"/>
                <w:lang w:val="en-US" w:eastAsia="zh-CN"/>
              </w:rPr>
              <w:t>噪声。</w:t>
            </w:r>
          </w:p>
          <w:p w14:paraId="09509734">
            <w:pPr>
              <w:spacing w:line="360" w:lineRule="auto"/>
              <w:ind w:firstLine="422" w:firstLineChars="200"/>
              <w:rPr>
                <w:color w:val="auto"/>
                <w:szCs w:val="21"/>
              </w:rPr>
            </w:pPr>
            <w:r>
              <w:rPr>
                <w:rFonts w:hint="eastAsia"/>
                <w:b/>
                <w:bCs/>
                <w:color w:val="auto"/>
                <w:szCs w:val="21"/>
              </w:rPr>
              <w:fldChar w:fldCharType="begin"/>
            </w:r>
            <w:r>
              <w:rPr>
                <w:rFonts w:hint="eastAsia"/>
                <w:b/>
                <w:bCs/>
                <w:color w:val="auto"/>
                <w:szCs w:val="21"/>
              </w:rPr>
              <w:instrText xml:space="preserve"> = 5 \* GB3 \* MERGEFORMAT </w:instrText>
            </w:r>
            <w:r>
              <w:rPr>
                <w:rFonts w:hint="eastAsia"/>
                <w:b/>
                <w:bCs/>
                <w:color w:val="auto"/>
                <w:szCs w:val="21"/>
              </w:rPr>
              <w:fldChar w:fldCharType="separate"/>
            </w:r>
            <w:r>
              <w:rPr>
                <w:color w:val="auto"/>
              </w:rPr>
              <w:t>⑤</w:t>
            </w:r>
            <w:r>
              <w:rPr>
                <w:rFonts w:hint="eastAsia"/>
                <w:b/>
                <w:bCs/>
                <w:color w:val="auto"/>
                <w:szCs w:val="21"/>
              </w:rPr>
              <w:fldChar w:fldCharType="end"/>
            </w:r>
            <w:r>
              <w:rPr>
                <w:rFonts w:hint="eastAsia"/>
                <w:b/>
                <w:bCs/>
                <w:color w:val="auto"/>
                <w:szCs w:val="21"/>
              </w:rPr>
              <w:t>喷粉</w:t>
            </w:r>
            <w:r>
              <w:rPr>
                <w:rFonts w:hint="eastAsia"/>
                <w:color w:val="auto"/>
                <w:szCs w:val="21"/>
              </w:rPr>
              <w:t>：</w:t>
            </w:r>
            <w:r>
              <w:rPr>
                <w:rFonts w:hint="eastAsia"/>
                <w:color w:val="auto"/>
                <w:szCs w:val="21"/>
                <w:lang w:val="en-US" w:eastAsia="zh-CN"/>
              </w:rPr>
              <w:t>自动线的</w:t>
            </w:r>
            <w:r>
              <w:rPr>
                <w:rFonts w:hint="eastAsia"/>
                <w:color w:val="auto"/>
                <w:szCs w:val="21"/>
              </w:rPr>
              <w:t>工件手工挂上循环输送线后，自动进入喷粉</w:t>
            </w:r>
            <w:r>
              <w:rPr>
                <w:rFonts w:hint="eastAsia"/>
                <w:color w:val="auto"/>
                <w:szCs w:val="21"/>
                <w:lang w:val="en-US" w:eastAsia="zh-CN"/>
              </w:rPr>
              <w:t>房</w:t>
            </w:r>
            <w:r>
              <w:rPr>
                <w:rFonts w:hint="eastAsia"/>
                <w:color w:val="auto"/>
                <w:szCs w:val="21"/>
              </w:rPr>
              <w:t>，在喷粉</w:t>
            </w:r>
            <w:r>
              <w:rPr>
                <w:rFonts w:hint="eastAsia"/>
                <w:color w:val="auto"/>
                <w:szCs w:val="21"/>
                <w:lang w:val="en-US" w:eastAsia="zh-CN"/>
              </w:rPr>
              <w:t>房</w:t>
            </w:r>
            <w:r>
              <w:rPr>
                <w:rFonts w:hint="eastAsia"/>
                <w:color w:val="auto"/>
                <w:szCs w:val="21"/>
              </w:rPr>
              <w:t>里，供粉器自动、连续、均匀地将环氧树脂粉末输送到静电喷枪进行喷粉作业。喷粉过程，少量环氧树脂粉末不能附着在工件表面，经</w:t>
            </w:r>
            <w:r>
              <w:rPr>
                <w:rFonts w:hint="eastAsia"/>
                <w:b/>
                <w:bCs/>
                <w:color w:val="auto"/>
                <w:szCs w:val="21"/>
                <w:lang w:val="en-US" w:eastAsia="zh-CN"/>
              </w:rPr>
              <w:t>二级滤芯</w:t>
            </w:r>
            <w:r>
              <w:rPr>
                <w:rFonts w:hint="eastAsia"/>
                <w:b/>
                <w:bCs/>
                <w:color w:val="auto"/>
                <w:szCs w:val="21"/>
              </w:rPr>
              <w:t>回收装置</w:t>
            </w:r>
            <w:r>
              <w:rPr>
                <w:rFonts w:hint="eastAsia"/>
                <w:color w:val="auto"/>
                <w:szCs w:val="21"/>
              </w:rPr>
              <w:t>收集喷粉原料回用；喷粉后，循环输送线将工件送到固化线进行固化。</w:t>
            </w:r>
          </w:p>
          <w:p w14:paraId="763F83D8">
            <w:pPr>
              <w:spacing w:line="360" w:lineRule="auto"/>
              <w:ind w:firstLine="420" w:firstLineChars="200"/>
              <w:rPr>
                <w:rFonts w:hint="default" w:eastAsia="宋体"/>
                <w:color w:val="auto"/>
                <w:szCs w:val="21"/>
                <w:lang w:val="en-US" w:eastAsia="zh-CN"/>
              </w:rPr>
            </w:pPr>
            <w:r>
              <w:rPr>
                <w:rFonts w:hint="eastAsia"/>
                <w:color w:val="auto"/>
                <w:szCs w:val="21"/>
                <w:lang w:val="en-US" w:eastAsia="zh-CN"/>
              </w:rPr>
              <w:t>手动线的</w:t>
            </w:r>
            <w:r>
              <w:rPr>
                <w:rFonts w:hint="eastAsia"/>
                <w:color w:val="auto"/>
                <w:szCs w:val="21"/>
              </w:rPr>
              <w:t>工件手工挂在喷粉柜中，通过手动静电喷枪把环氧聚酯粉末连续、均匀地喷在工件上。喷粉过程，少量环氧聚酯粉末不能附着在工件表面，经</w:t>
            </w:r>
            <w:r>
              <w:rPr>
                <w:rFonts w:hint="eastAsia"/>
                <w:b/>
                <w:bCs/>
                <w:color w:val="auto"/>
                <w:szCs w:val="21"/>
                <w:lang w:val="en-US" w:eastAsia="zh-CN"/>
              </w:rPr>
              <w:t>二级滤芯</w:t>
            </w:r>
            <w:r>
              <w:rPr>
                <w:rFonts w:hint="eastAsia"/>
                <w:b/>
                <w:bCs/>
                <w:color w:val="auto"/>
                <w:szCs w:val="21"/>
              </w:rPr>
              <w:t>回收装置</w:t>
            </w:r>
            <w:r>
              <w:rPr>
                <w:rFonts w:hint="eastAsia"/>
                <w:color w:val="auto"/>
                <w:szCs w:val="21"/>
              </w:rPr>
              <w:t>收集喷粉原料回用。</w:t>
            </w:r>
            <w:r>
              <w:rPr>
                <w:rFonts w:hint="eastAsia"/>
                <w:color w:val="auto"/>
                <w:szCs w:val="21"/>
                <w:lang w:val="en-US" w:eastAsia="zh-CN"/>
              </w:rPr>
              <w:t>喷粉工序（含自动线、手动线）产生废气（颗粒物）、</w:t>
            </w:r>
            <w:r>
              <w:rPr>
                <w:rFonts w:hint="eastAsia"/>
                <w:color w:val="auto"/>
                <w:szCs w:val="21"/>
                <w:u w:val="none"/>
                <w:lang w:val="en-US" w:eastAsia="zh-CN"/>
              </w:rPr>
              <w:t>固废（</w:t>
            </w:r>
            <w:r>
              <w:rPr>
                <w:rFonts w:hint="eastAsia"/>
                <w:color w:val="auto"/>
                <w:szCs w:val="21"/>
                <w:u w:val="none"/>
                <w:lang w:val="en-US" w:eastAsia="zh-CN"/>
              </w:rPr>
              <w:t>废粉尘</w:t>
            </w:r>
            <w:r>
              <w:rPr>
                <w:rFonts w:hint="eastAsia"/>
                <w:color w:val="auto"/>
                <w:szCs w:val="21"/>
                <w:u w:val="none"/>
                <w:lang w:val="en-US" w:eastAsia="zh-CN"/>
              </w:rPr>
              <w:t>）、</w:t>
            </w:r>
            <w:r>
              <w:rPr>
                <w:rFonts w:hint="eastAsia"/>
                <w:color w:val="auto"/>
                <w:szCs w:val="21"/>
                <w:lang w:val="en-US" w:eastAsia="zh-CN"/>
              </w:rPr>
              <w:t>噪声。</w:t>
            </w:r>
          </w:p>
          <w:p w14:paraId="0558A90F">
            <w:pPr>
              <w:spacing w:line="360" w:lineRule="auto"/>
              <w:ind w:firstLine="422" w:firstLineChars="200"/>
              <w:rPr>
                <w:color w:val="auto"/>
                <w:szCs w:val="21"/>
              </w:rPr>
            </w:pPr>
            <w:r>
              <w:rPr>
                <w:rFonts w:hint="eastAsia"/>
                <w:b/>
                <w:bCs/>
                <w:color w:val="auto"/>
                <w:szCs w:val="21"/>
              </w:rPr>
              <w:fldChar w:fldCharType="begin"/>
            </w:r>
            <w:r>
              <w:rPr>
                <w:rFonts w:hint="eastAsia"/>
                <w:b/>
                <w:bCs/>
                <w:color w:val="auto"/>
                <w:szCs w:val="21"/>
              </w:rPr>
              <w:instrText xml:space="preserve"> = 6 \* GB3 \* MERGEFORMAT </w:instrText>
            </w:r>
            <w:r>
              <w:rPr>
                <w:rFonts w:hint="eastAsia"/>
                <w:b/>
                <w:bCs/>
                <w:color w:val="auto"/>
                <w:szCs w:val="21"/>
              </w:rPr>
              <w:fldChar w:fldCharType="separate"/>
            </w:r>
            <w:r>
              <w:rPr>
                <w:color w:val="auto"/>
              </w:rPr>
              <w:t>⑥</w:t>
            </w:r>
            <w:r>
              <w:rPr>
                <w:rFonts w:hint="eastAsia"/>
                <w:b/>
                <w:bCs/>
                <w:color w:val="auto"/>
                <w:szCs w:val="21"/>
              </w:rPr>
              <w:fldChar w:fldCharType="end"/>
            </w:r>
            <w:r>
              <w:rPr>
                <w:rFonts w:hint="eastAsia"/>
                <w:b/>
                <w:bCs/>
                <w:color w:val="auto"/>
                <w:szCs w:val="21"/>
              </w:rPr>
              <w:t>固化</w:t>
            </w:r>
            <w:r>
              <w:rPr>
                <w:rFonts w:hint="eastAsia"/>
                <w:color w:val="auto"/>
                <w:szCs w:val="21"/>
              </w:rPr>
              <w:t>：喷粉后，循环输送线将工件送到固化隧道炉或通过人工运输至面包炉，</w:t>
            </w:r>
            <w:r>
              <w:rPr>
                <w:rFonts w:hint="eastAsia"/>
                <w:color w:val="auto"/>
                <w:szCs w:val="21"/>
                <w:lang w:val="en-US" w:eastAsia="zh-CN"/>
              </w:rPr>
              <w:t>使附着在工件上的粉末固化</w:t>
            </w:r>
            <w:r>
              <w:rPr>
                <w:rFonts w:hint="eastAsia"/>
                <w:color w:val="auto"/>
                <w:szCs w:val="21"/>
                <w:lang w:eastAsia="zh-CN"/>
              </w:rPr>
              <w:t>，</w:t>
            </w:r>
            <w:r>
              <w:rPr>
                <w:rFonts w:hint="eastAsia"/>
                <w:color w:val="auto"/>
                <w:szCs w:val="21"/>
              </w:rPr>
              <w:t>环氧聚酯粉末</w:t>
            </w:r>
            <w:r>
              <w:rPr>
                <w:rFonts w:hint="eastAsia"/>
                <w:color w:val="auto"/>
                <w:szCs w:val="21"/>
                <w:lang w:val="en-US" w:eastAsia="zh-CN"/>
              </w:rPr>
              <w:t>在工件表面形成涂层</w:t>
            </w:r>
            <w:r>
              <w:rPr>
                <w:rFonts w:hint="eastAsia"/>
                <w:color w:val="auto"/>
                <w:szCs w:val="21"/>
                <w:lang w:val="en-US" w:eastAsia="zh-CN"/>
              </w:rPr>
              <w:t>。</w:t>
            </w:r>
            <w:r>
              <w:rPr>
                <w:rFonts w:hint="eastAsia" w:ascii="Times New Roman" w:hAnsi="Times New Roman"/>
                <w:color w:val="auto"/>
                <w:sz w:val="21"/>
                <w:szCs w:val="21"/>
                <w:lang w:val="en-US" w:eastAsia="zh-CN"/>
              </w:rPr>
              <w:t>自动线中的固化工序采用液化石油气加热，手动线中的固化工序采用电能加热</w:t>
            </w:r>
            <w:r>
              <w:rPr>
                <w:rFonts w:hint="eastAsia"/>
                <w:color w:val="auto"/>
                <w:szCs w:val="21"/>
              </w:rPr>
              <w:t>。项目固化隧道炉和面包炉温度一般控制在200℃，固化时间一般为15分钟。</w:t>
            </w:r>
            <w:r>
              <w:rPr>
                <w:rFonts w:hint="eastAsia"/>
                <w:color w:val="auto"/>
                <w:szCs w:val="21"/>
                <w:lang w:val="en-US" w:eastAsia="zh-CN"/>
              </w:rPr>
              <w:t>此工序产生废气（</w:t>
            </w:r>
            <w:r>
              <w:rPr>
                <w:rFonts w:hint="eastAsia"/>
                <w:color w:val="auto"/>
                <w:szCs w:val="21"/>
                <w:lang w:val="en-US" w:eastAsia="zh-CN"/>
              </w:rPr>
              <w:t>TVOC</w:t>
            </w:r>
            <w:r>
              <w:rPr>
                <w:rFonts w:hint="eastAsia"/>
                <w:color w:val="auto"/>
                <w:szCs w:val="21"/>
                <w:lang w:val="en-US" w:eastAsia="zh-CN"/>
              </w:rPr>
              <w:t>、非甲烷总烃、氮氧化物、二氧化硫、林格曼黑度、颗粒物、臭气浓度）、噪声。</w:t>
            </w:r>
          </w:p>
        </w:tc>
      </w:tr>
      <w:tr w14:paraId="39B75E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20" w:hRule="atLeast"/>
        </w:trPr>
        <w:tc>
          <w:tcPr>
            <w:tcW w:w="596" w:type="dxa"/>
            <w:vAlign w:val="center"/>
          </w:tcPr>
          <w:p w14:paraId="202982C4">
            <w:pPr>
              <w:pStyle w:val="30"/>
              <w:adjustRightInd w:val="0"/>
              <w:snapToGrid w:val="0"/>
              <w:spacing w:before="0" w:beforeAutospacing="0" w:after="0" w:afterAutospacing="0"/>
              <w:jc w:val="center"/>
              <w:rPr>
                <w:rFonts w:cs="宋体"/>
                <w:color w:val="auto"/>
                <w:sz w:val="21"/>
                <w:szCs w:val="21"/>
              </w:rPr>
            </w:pPr>
            <w:r>
              <w:rPr>
                <w:rFonts w:hint="eastAsia" w:cs="宋体"/>
                <w:bCs/>
                <w:color w:val="auto"/>
                <w:kern w:val="2"/>
                <w:sz w:val="21"/>
                <w:szCs w:val="21"/>
              </w:rPr>
              <w:t>与项目有关的原有环境污染问题</w:t>
            </w:r>
          </w:p>
        </w:tc>
        <w:tc>
          <w:tcPr>
            <w:tcW w:w="8464" w:type="dxa"/>
            <w:vAlign w:val="center"/>
          </w:tcPr>
          <w:p w14:paraId="1067547E">
            <w:pPr>
              <w:spacing w:line="360" w:lineRule="auto"/>
              <w:ind w:firstLine="420" w:firstLineChars="200"/>
              <w:rPr>
                <w:color w:val="auto"/>
                <w:szCs w:val="21"/>
              </w:rPr>
            </w:pPr>
            <w:r>
              <w:rPr>
                <w:rFonts w:hint="eastAsia"/>
                <w:color w:val="auto"/>
                <w:szCs w:val="21"/>
              </w:rPr>
              <w:t>中山市南朗镇卓登五金加工厂</w:t>
            </w:r>
            <w:r>
              <w:rPr>
                <w:color w:val="auto"/>
                <w:szCs w:val="21"/>
              </w:rPr>
              <w:t>选址于</w:t>
            </w:r>
            <w:r>
              <w:rPr>
                <w:rFonts w:hint="eastAsia"/>
                <w:color w:val="auto"/>
                <w:szCs w:val="21"/>
              </w:rPr>
              <w:t xml:space="preserve">中山市南朗镇第一工业区龙基路南燕玻璃马赛克有限公司6#厂房(原玻璃车间) </w:t>
            </w:r>
            <w:r>
              <w:rPr>
                <w:color w:val="auto"/>
                <w:szCs w:val="21"/>
              </w:rPr>
              <w:t>，</w:t>
            </w:r>
            <w:r>
              <w:rPr>
                <w:rFonts w:hint="eastAsia"/>
                <w:color w:val="auto"/>
                <w:szCs w:val="21"/>
              </w:rPr>
              <w:t>中山市南朗镇卓登五金加工厂</w:t>
            </w:r>
            <w:r>
              <w:rPr>
                <w:color w:val="auto"/>
                <w:szCs w:val="21"/>
              </w:rPr>
              <w:t>建设项目为新建项目，故不存在原有污染问题，相关的污染源排放是周围厂企所产生废水、废气、固废及噪声等。</w:t>
            </w:r>
          </w:p>
        </w:tc>
      </w:tr>
    </w:tbl>
    <w:p w14:paraId="38192079">
      <w:pPr>
        <w:pStyle w:val="31"/>
        <w:jc w:val="center"/>
        <w:rPr>
          <w:rFonts w:hint="eastAsia"/>
          <w:color w:val="auto"/>
          <w:sz w:val="30"/>
          <w:szCs w:val="30"/>
        </w:rPr>
      </w:pPr>
      <w:bookmarkStart w:id="5" w:name="_Toc72508645"/>
    </w:p>
    <w:p w14:paraId="088F5D82">
      <w:pPr>
        <w:pStyle w:val="31"/>
        <w:jc w:val="center"/>
        <w:rPr>
          <w:rFonts w:hint="eastAsia"/>
          <w:color w:val="auto"/>
          <w:sz w:val="30"/>
          <w:szCs w:val="30"/>
        </w:rPr>
      </w:pPr>
    </w:p>
    <w:p w14:paraId="6678A30C">
      <w:pPr>
        <w:pStyle w:val="31"/>
        <w:jc w:val="center"/>
        <w:rPr>
          <w:rFonts w:hint="eastAsia"/>
          <w:color w:val="auto"/>
          <w:sz w:val="30"/>
          <w:szCs w:val="30"/>
        </w:rPr>
      </w:pPr>
    </w:p>
    <w:p w14:paraId="550A862E">
      <w:pPr>
        <w:pStyle w:val="31"/>
        <w:jc w:val="center"/>
        <w:rPr>
          <w:rFonts w:hint="eastAsia"/>
          <w:color w:val="auto"/>
          <w:sz w:val="30"/>
          <w:szCs w:val="30"/>
        </w:rPr>
      </w:pPr>
    </w:p>
    <w:p w14:paraId="3F27A98B">
      <w:pPr>
        <w:pStyle w:val="31"/>
        <w:jc w:val="center"/>
        <w:rPr>
          <w:rFonts w:hint="eastAsia"/>
          <w:color w:val="auto"/>
          <w:sz w:val="30"/>
          <w:szCs w:val="30"/>
        </w:rPr>
      </w:pPr>
    </w:p>
    <w:p w14:paraId="5427DF9F">
      <w:pPr>
        <w:pStyle w:val="31"/>
        <w:jc w:val="center"/>
        <w:rPr>
          <w:rFonts w:hint="eastAsia"/>
          <w:color w:val="auto"/>
          <w:sz w:val="30"/>
          <w:szCs w:val="30"/>
        </w:rPr>
      </w:pPr>
    </w:p>
    <w:p w14:paraId="20031B2A">
      <w:pPr>
        <w:pStyle w:val="31"/>
        <w:jc w:val="center"/>
        <w:rPr>
          <w:rFonts w:hint="eastAsia"/>
          <w:color w:val="auto"/>
          <w:sz w:val="30"/>
          <w:szCs w:val="30"/>
        </w:rPr>
      </w:pPr>
    </w:p>
    <w:p w14:paraId="1E5826BA">
      <w:pPr>
        <w:pStyle w:val="31"/>
        <w:jc w:val="center"/>
        <w:rPr>
          <w:rFonts w:hint="eastAsia"/>
          <w:color w:val="auto"/>
          <w:sz w:val="30"/>
          <w:szCs w:val="30"/>
        </w:rPr>
      </w:pPr>
    </w:p>
    <w:p w14:paraId="6AE199D2">
      <w:pPr>
        <w:pStyle w:val="31"/>
        <w:jc w:val="center"/>
        <w:rPr>
          <w:rFonts w:hint="eastAsia"/>
          <w:color w:val="auto"/>
          <w:sz w:val="30"/>
          <w:szCs w:val="30"/>
        </w:rPr>
      </w:pPr>
    </w:p>
    <w:p w14:paraId="09799D2D">
      <w:pPr>
        <w:pStyle w:val="31"/>
        <w:jc w:val="center"/>
        <w:rPr>
          <w:rFonts w:hint="eastAsia"/>
          <w:color w:val="auto"/>
          <w:sz w:val="30"/>
          <w:szCs w:val="30"/>
        </w:rPr>
      </w:pPr>
    </w:p>
    <w:p w14:paraId="764F4E3D">
      <w:pPr>
        <w:pStyle w:val="31"/>
        <w:jc w:val="center"/>
        <w:rPr>
          <w:rFonts w:hint="eastAsia"/>
          <w:color w:val="auto"/>
          <w:sz w:val="30"/>
          <w:szCs w:val="30"/>
        </w:rPr>
      </w:pPr>
    </w:p>
    <w:p w14:paraId="13C43ECF">
      <w:pPr>
        <w:pStyle w:val="31"/>
        <w:jc w:val="center"/>
        <w:rPr>
          <w:rFonts w:hint="eastAsia"/>
          <w:color w:val="auto"/>
          <w:sz w:val="30"/>
          <w:szCs w:val="30"/>
        </w:rPr>
      </w:pPr>
    </w:p>
    <w:p w14:paraId="103A85A1">
      <w:pPr>
        <w:pStyle w:val="31"/>
        <w:jc w:val="center"/>
        <w:rPr>
          <w:color w:val="auto"/>
          <w:sz w:val="30"/>
          <w:szCs w:val="30"/>
        </w:rPr>
      </w:pPr>
      <w:r>
        <w:rPr>
          <w:rFonts w:hint="eastAsia"/>
          <w:color w:val="auto"/>
          <w:sz w:val="30"/>
          <w:szCs w:val="30"/>
        </w:rPr>
        <w:t>三、区域环境质量现状、环境保护目标及评价标准</w:t>
      </w:r>
      <w:bookmarkEnd w:id="5"/>
    </w:p>
    <w:tbl>
      <w:tblPr>
        <w:tblStyle w:val="35"/>
        <w:tblpPr w:leftFromText="180" w:rightFromText="180" w:vertAnchor="text" w:tblpXSpec="center" w:tblpY="1"/>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92"/>
        <w:gridCol w:w="8669"/>
      </w:tblGrid>
      <w:tr w14:paraId="67E0C0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6" w:hRule="atLeast"/>
        </w:trPr>
        <w:tc>
          <w:tcPr>
            <w:tcW w:w="392" w:type="dxa"/>
            <w:vAlign w:val="center"/>
          </w:tcPr>
          <w:p w14:paraId="4578E537">
            <w:pPr>
              <w:adjustRightInd w:val="0"/>
              <w:snapToGrid w:val="0"/>
              <w:jc w:val="center"/>
              <w:rPr>
                <w:rFonts w:ascii="宋体" w:hAnsi="宋体" w:cs="宋体"/>
                <w:color w:val="auto"/>
                <w:kern w:val="0"/>
                <w:szCs w:val="21"/>
              </w:rPr>
            </w:pPr>
            <w:r>
              <w:rPr>
                <w:rFonts w:hint="eastAsia" w:ascii="宋体" w:hAnsi="宋体" w:cs="宋体"/>
                <w:color w:val="auto"/>
                <w:kern w:val="0"/>
                <w:szCs w:val="21"/>
              </w:rPr>
              <w:t>区域环境质量现状</w:t>
            </w:r>
          </w:p>
        </w:tc>
        <w:tc>
          <w:tcPr>
            <w:tcW w:w="8669" w:type="dxa"/>
          </w:tcPr>
          <w:p w14:paraId="13EDE135">
            <w:pPr>
              <w:pStyle w:val="95"/>
              <w:ind w:firstLine="0" w:firstLineChars="0"/>
              <w:rPr>
                <w:b/>
                <w:color w:val="auto"/>
                <w:sz w:val="21"/>
                <w:szCs w:val="21"/>
              </w:rPr>
            </w:pPr>
            <w:r>
              <w:rPr>
                <w:rFonts w:hint="eastAsia"/>
                <w:b/>
                <w:color w:val="auto"/>
                <w:sz w:val="21"/>
                <w:szCs w:val="21"/>
              </w:rPr>
              <w:t>一</w:t>
            </w:r>
            <w:r>
              <w:rPr>
                <w:b/>
                <w:color w:val="auto"/>
                <w:sz w:val="21"/>
                <w:szCs w:val="21"/>
              </w:rPr>
              <w:t>、大气环境</w:t>
            </w:r>
            <w:r>
              <w:rPr>
                <w:rFonts w:hint="eastAsia"/>
                <w:b/>
                <w:color w:val="auto"/>
                <w:sz w:val="21"/>
                <w:szCs w:val="21"/>
              </w:rPr>
              <w:t>质量</w:t>
            </w:r>
            <w:r>
              <w:rPr>
                <w:b/>
                <w:color w:val="auto"/>
                <w:sz w:val="21"/>
                <w:szCs w:val="21"/>
              </w:rPr>
              <w:t>现状</w:t>
            </w:r>
          </w:p>
          <w:p w14:paraId="64E5E42C">
            <w:pPr>
              <w:pStyle w:val="95"/>
              <w:ind w:firstLine="422"/>
              <w:rPr>
                <w:b/>
                <w:color w:val="auto"/>
                <w:sz w:val="21"/>
                <w:szCs w:val="21"/>
              </w:rPr>
            </w:pPr>
            <w:r>
              <w:rPr>
                <w:rFonts w:hint="eastAsia"/>
                <w:b/>
                <w:color w:val="auto"/>
                <w:sz w:val="21"/>
                <w:szCs w:val="21"/>
              </w:rPr>
              <w:t>1、空气质量达标区判定</w:t>
            </w:r>
          </w:p>
          <w:p w14:paraId="7A84F4F6">
            <w:pPr>
              <w:pStyle w:val="176"/>
              <w:ind w:firstLine="420"/>
              <w:rPr>
                <w:color w:val="auto"/>
                <w:sz w:val="21"/>
                <w:szCs w:val="21"/>
              </w:rPr>
            </w:pPr>
            <w:r>
              <w:rPr>
                <w:rFonts w:hint="eastAsia"/>
                <w:color w:val="auto"/>
                <w:sz w:val="21"/>
                <w:szCs w:val="21"/>
              </w:rPr>
              <w:t>根据《202</w:t>
            </w:r>
            <w:r>
              <w:rPr>
                <w:rFonts w:hint="eastAsia"/>
                <w:color w:val="auto"/>
                <w:sz w:val="21"/>
                <w:szCs w:val="21"/>
                <w:lang w:val="en-US" w:eastAsia="zh-CN"/>
              </w:rPr>
              <w:t>4</w:t>
            </w:r>
            <w:r>
              <w:rPr>
                <w:rFonts w:hint="eastAsia"/>
                <w:color w:val="auto"/>
                <w:sz w:val="21"/>
                <w:szCs w:val="21"/>
              </w:rPr>
              <w:t>年中山市环境状况公报》，中山的空气质量浓度均达到《环境空气质量标准》（GB3095-2012）及2018年修改单的二级标准要求，具体见下表，项目所在区域为达标区</w:t>
            </w:r>
            <w:r>
              <w:rPr>
                <w:color w:val="auto"/>
                <w:sz w:val="21"/>
                <w:szCs w:val="21"/>
              </w:rPr>
              <w:t>。</w:t>
            </w:r>
          </w:p>
          <w:p w14:paraId="6FE6EE79">
            <w:pPr>
              <w:pStyle w:val="176"/>
              <w:ind w:firstLine="420"/>
              <w:rPr>
                <w:color w:val="auto"/>
                <w:sz w:val="21"/>
                <w:szCs w:val="21"/>
              </w:rPr>
            </w:pPr>
            <w:r>
              <w:rPr>
                <w:rFonts w:hint="eastAsia"/>
                <w:color w:val="auto"/>
                <w:sz w:val="21"/>
                <w:szCs w:val="21"/>
              </w:rPr>
              <w:t>根据《中山市2024年大气环境质量状况公报》，中山市二氧化硫、二氧化氮、可吸入颗粒物、细颗粒物的年均值及相应的日均值特定百分位数浓度值均达到《环境空气质量标准》（GB 3095-2012）及其2018年修改单的二级标准，一氧化碳日均值第95百分位数浓度值达到《环境空气质量标准》（GB 3095-2012）二级标准，臭氧日最大8小时滑动平均值的第90百分位数浓度值达到《环境空气质量标准》（GB 3095-2012）二级标准。</w:t>
            </w:r>
          </w:p>
          <w:p w14:paraId="3D9A7B48">
            <w:pPr>
              <w:pStyle w:val="9"/>
              <w:ind w:left="630" w:leftChars="0" w:firstLineChars="0"/>
              <w:rPr>
                <w:color w:val="auto"/>
                <w:szCs w:val="21"/>
              </w:rPr>
            </w:pPr>
            <w:r>
              <w:rPr>
                <w:color w:val="auto"/>
                <w:szCs w:val="21"/>
              </w:rPr>
              <w:t>区域空气质量现状评价表</w:t>
            </w:r>
          </w:p>
          <w:tbl>
            <w:tblPr>
              <w:tblStyle w:val="35"/>
              <w:tblW w:w="82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953"/>
              <w:gridCol w:w="1758"/>
              <w:gridCol w:w="1606"/>
              <w:gridCol w:w="1292"/>
              <w:gridCol w:w="877"/>
            </w:tblGrid>
            <w:tr w14:paraId="13EFD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blHeader/>
                <w:jc w:val="center"/>
              </w:trPr>
              <w:tc>
                <w:tcPr>
                  <w:tcW w:w="793" w:type="dxa"/>
                  <w:vAlign w:val="center"/>
                </w:tcPr>
                <w:p w14:paraId="6194855E">
                  <w:pPr>
                    <w:pStyle w:val="175"/>
                    <w:rPr>
                      <w:rFonts w:hAnsi="Times New Roman"/>
                      <w:b/>
                      <w:color w:val="auto"/>
                    </w:rPr>
                  </w:pPr>
                  <w:r>
                    <w:rPr>
                      <w:rFonts w:hAnsi="Times New Roman"/>
                      <w:b/>
                      <w:color w:val="auto"/>
                    </w:rPr>
                    <w:t>污染物</w:t>
                  </w:r>
                </w:p>
              </w:tc>
              <w:tc>
                <w:tcPr>
                  <w:tcW w:w="1953" w:type="dxa"/>
                  <w:vAlign w:val="center"/>
                </w:tcPr>
                <w:p w14:paraId="49A8B474">
                  <w:pPr>
                    <w:pStyle w:val="175"/>
                    <w:rPr>
                      <w:rFonts w:hAnsi="Times New Roman"/>
                      <w:b/>
                      <w:color w:val="auto"/>
                    </w:rPr>
                  </w:pPr>
                  <w:r>
                    <w:rPr>
                      <w:rFonts w:hAnsi="Times New Roman"/>
                      <w:b/>
                      <w:color w:val="auto"/>
                    </w:rPr>
                    <w:t>年评价指标</w:t>
                  </w:r>
                </w:p>
              </w:tc>
              <w:tc>
                <w:tcPr>
                  <w:tcW w:w="1758" w:type="dxa"/>
                  <w:vAlign w:val="center"/>
                </w:tcPr>
                <w:p w14:paraId="1725C279">
                  <w:pPr>
                    <w:pStyle w:val="175"/>
                    <w:rPr>
                      <w:rFonts w:hAnsi="Times New Roman"/>
                      <w:b/>
                      <w:color w:val="auto"/>
                    </w:rPr>
                  </w:pPr>
                  <w:r>
                    <w:rPr>
                      <w:rFonts w:hAnsi="Times New Roman"/>
                      <w:b/>
                      <w:color w:val="auto"/>
                    </w:rPr>
                    <w:t>现状浓度（µg/m</w:t>
                  </w:r>
                  <w:r>
                    <w:rPr>
                      <w:rFonts w:hAnsi="Times New Roman"/>
                      <w:b/>
                      <w:color w:val="auto"/>
                      <w:vertAlign w:val="superscript"/>
                    </w:rPr>
                    <w:t>3</w:t>
                  </w:r>
                  <w:r>
                    <w:rPr>
                      <w:rFonts w:hAnsi="Times New Roman"/>
                      <w:b/>
                      <w:color w:val="auto"/>
                    </w:rPr>
                    <w:t>）</w:t>
                  </w:r>
                </w:p>
              </w:tc>
              <w:tc>
                <w:tcPr>
                  <w:tcW w:w="1606" w:type="dxa"/>
                  <w:vAlign w:val="center"/>
                </w:tcPr>
                <w:p w14:paraId="45BBB776">
                  <w:pPr>
                    <w:pStyle w:val="175"/>
                    <w:rPr>
                      <w:rFonts w:hAnsi="Times New Roman"/>
                      <w:b/>
                      <w:color w:val="auto"/>
                    </w:rPr>
                  </w:pPr>
                  <w:r>
                    <w:rPr>
                      <w:rFonts w:hAnsi="Times New Roman"/>
                      <w:b/>
                      <w:color w:val="auto"/>
                    </w:rPr>
                    <w:t>标准值（µg/m</w:t>
                  </w:r>
                  <w:r>
                    <w:rPr>
                      <w:rFonts w:hAnsi="Times New Roman"/>
                      <w:b/>
                      <w:color w:val="auto"/>
                      <w:vertAlign w:val="superscript"/>
                    </w:rPr>
                    <w:t>3</w:t>
                  </w:r>
                  <w:r>
                    <w:rPr>
                      <w:rFonts w:hAnsi="Times New Roman"/>
                      <w:b/>
                      <w:color w:val="auto"/>
                    </w:rPr>
                    <w:t>）</w:t>
                  </w:r>
                </w:p>
              </w:tc>
              <w:tc>
                <w:tcPr>
                  <w:tcW w:w="1292" w:type="dxa"/>
                  <w:vAlign w:val="center"/>
                </w:tcPr>
                <w:p w14:paraId="7E9F91E3">
                  <w:pPr>
                    <w:pStyle w:val="175"/>
                    <w:rPr>
                      <w:rFonts w:hAnsi="Times New Roman"/>
                      <w:b/>
                      <w:color w:val="auto"/>
                    </w:rPr>
                  </w:pPr>
                  <w:r>
                    <w:rPr>
                      <w:rFonts w:hAnsi="Times New Roman"/>
                      <w:b/>
                      <w:color w:val="auto"/>
                    </w:rPr>
                    <w:t>占标率（%）</w:t>
                  </w:r>
                </w:p>
              </w:tc>
              <w:tc>
                <w:tcPr>
                  <w:tcW w:w="877" w:type="dxa"/>
                  <w:vAlign w:val="center"/>
                </w:tcPr>
                <w:p w14:paraId="66A31B65">
                  <w:pPr>
                    <w:pStyle w:val="175"/>
                    <w:rPr>
                      <w:rFonts w:hAnsi="Times New Roman"/>
                      <w:b/>
                      <w:color w:val="auto"/>
                    </w:rPr>
                  </w:pPr>
                  <w:r>
                    <w:rPr>
                      <w:rFonts w:hAnsi="Times New Roman"/>
                      <w:b/>
                      <w:color w:val="auto"/>
                    </w:rPr>
                    <w:t>达标情况</w:t>
                  </w:r>
                </w:p>
              </w:tc>
            </w:tr>
            <w:tr w14:paraId="337DB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Merge w:val="restart"/>
                  <w:vAlign w:val="center"/>
                </w:tcPr>
                <w:p w14:paraId="01764CCE">
                  <w:pPr>
                    <w:pStyle w:val="175"/>
                    <w:rPr>
                      <w:rFonts w:hAnsi="Times New Roman"/>
                      <w:color w:val="auto"/>
                    </w:rPr>
                  </w:pPr>
                  <w:r>
                    <w:rPr>
                      <w:rFonts w:hAnsi="Times New Roman"/>
                      <w:color w:val="auto"/>
                    </w:rPr>
                    <w:t>SO</w:t>
                  </w:r>
                  <w:r>
                    <w:rPr>
                      <w:rFonts w:hAnsi="Times New Roman"/>
                      <w:color w:val="auto"/>
                      <w:vertAlign w:val="subscript"/>
                    </w:rPr>
                    <w:t>2</w:t>
                  </w:r>
                </w:p>
              </w:tc>
              <w:tc>
                <w:tcPr>
                  <w:tcW w:w="1953" w:type="dxa"/>
                  <w:vAlign w:val="center"/>
                </w:tcPr>
                <w:p w14:paraId="007CCE64">
                  <w:pPr>
                    <w:pStyle w:val="175"/>
                    <w:ind w:firstLine="2" w:firstLineChars="0"/>
                    <w:rPr>
                      <w:rFonts w:hAnsi="Times New Roman" w:eastAsia="宋体"/>
                      <w:color w:val="auto"/>
                      <w:sz w:val="21"/>
                    </w:rPr>
                  </w:pPr>
                  <w:r>
                    <w:rPr>
                      <w:rFonts w:hAnsi="Times New Roman" w:eastAsia="宋体"/>
                      <w:color w:val="auto"/>
                      <w:sz w:val="21"/>
                      <w:szCs w:val="24"/>
                    </w:rPr>
                    <w:t>年平均质量浓度</w:t>
                  </w:r>
                </w:p>
              </w:tc>
              <w:tc>
                <w:tcPr>
                  <w:tcW w:w="1758" w:type="dxa"/>
                  <w:vAlign w:val="center"/>
                </w:tcPr>
                <w:p w14:paraId="41372D4B">
                  <w:pPr>
                    <w:pStyle w:val="70"/>
                    <w:rPr>
                      <w:rFonts w:hAnsi="Times New Roman" w:eastAsia="宋体"/>
                      <w:color w:val="auto"/>
                      <w:sz w:val="21"/>
                    </w:rPr>
                  </w:pPr>
                  <w:r>
                    <w:rPr>
                      <w:rFonts w:hint="eastAsia" w:eastAsia="宋体"/>
                      <w:color w:val="auto"/>
                      <w:sz w:val="21"/>
                      <w:szCs w:val="24"/>
                      <w:lang w:val="en-US" w:eastAsia="zh-CN"/>
                    </w:rPr>
                    <w:t>5</w:t>
                  </w:r>
                </w:p>
              </w:tc>
              <w:tc>
                <w:tcPr>
                  <w:tcW w:w="1606" w:type="dxa"/>
                  <w:vAlign w:val="center"/>
                </w:tcPr>
                <w:p w14:paraId="6B9AFA09">
                  <w:pPr>
                    <w:pStyle w:val="175"/>
                    <w:ind w:firstLine="2" w:firstLineChars="0"/>
                    <w:rPr>
                      <w:rFonts w:hAnsi="Times New Roman" w:eastAsia="宋体"/>
                      <w:color w:val="auto"/>
                      <w:sz w:val="21"/>
                    </w:rPr>
                  </w:pPr>
                  <w:r>
                    <w:rPr>
                      <w:rFonts w:hAnsi="Times New Roman" w:eastAsia="宋体"/>
                      <w:color w:val="auto"/>
                      <w:sz w:val="21"/>
                      <w:szCs w:val="24"/>
                    </w:rPr>
                    <w:t>60</w:t>
                  </w:r>
                </w:p>
              </w:tc>
              <w:tc>
                <w:tcPr>
                  <w:tcW w:w="1292" w:type="dxa"/>
                  <w:vAlign w:val="center"/>
                </w:tcPr>
                <w:p w14:paraId="457578DF">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8.33</w:t>
                  </w:r>
                </w:p>
              </w:tc>
              <w:tc>
                <w:tcPr>
                  <w:tcW w:w="877" w:type="dxa"/>
                  <w:vAlign w:val="center"/>
                </w:tcPr>
                <w:p w14:paraId="71A2EEA4">
                  <w:pPr>
                    <w:pStyle w:val="175"/>
                    <w:rPr>
                      <w:rFonts w:hAnsi="Times New Roman"/>
                      <w:color w:val="auto"/>
                    </w:rPr>
                  </w:pPr>
                  <w:r>
                    <w:rPr>
                      <w:rFonts w:hAnsi="Times New Roman"/>
                      <w:color w:val="auto"/>
                    </w:rPr>
                    <w:t>达标</w:t>
                  </w:r>
                </w:p>
              </w:tc>
            </w:tr>
            <w:tr w14:paraId="0F9BD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Merge w:val="continue"/>
                  <w:vAlign w:val="center"/>
                </w:tcPr>
                <w:p w14:paraId="11DFBC67">
                  <w:pPr>
                    <w:pStyle w:val="175"/>
                    <w:rPr>
                      <w:rFonts w:hAnsi="Times New Roman"/>
                      <w:color w:val="auto"/>
                    </w:rPr>
                  </w:pPr>
                </w:p>
              </w:tc>
              <w:tc>
                <w:tcPr>
                  <w:tcW w:w="1953" w:type="dxa"/>
                  <w:vAlign w:val="center"/>
                </w:tcPr>
                <w:p w14:paraId="1D07D74D">
                  <w:pPr>
                    <w:pStyle w:val="175"/>
                    <w:ind w:firstLine="2" w:firstLineChars="0"/>
                    <w:rPr>
                      <w:rFonts w:hAnsi="Times New Roman" w:eastAsia="宋体"/>
                      <w:color w:val="auto"/>
                      <w:sz w:val="21"/>
                    </w:rPr>
                  </w:pPr>
                  <w:r>
                    <w:rPr>
                      <w:rFonts w:hAnsi="Times New Roman" w:eastAsia="宋体"/>
                      <w:color w:val="auto"/>
                      <w:sz w:val="21"/>
                      <w:szCs w:val="24"/>
                    </w:rPr>
                    <w:t>24小时平均第98百分位数</w:t>
                  </w:r>
                </w:p>
              </w:tc>
              <w:tc>
                <w:tcPr>
                  <w:tcW w:w="1758" w:type="dxa"/>
                  <w:vAlign w:val="center"/>
                </w:tcPr>
                <w:p w14:paraId="08538EF8">
                  <w:pPr>
                    <w:pStyle w:val="70"/>
                    <w:rPr>
                      <w:rFonts w:hAnsi="Times New Roman" w:eastAsia="宋体"/>
                      <w:color w:val="auto"/>
                      <w:sz w:val="21"/>
                    </w:rPr>
                  </w:pPr>
                  <w:r>
                    <w:rPr>
                      <w:rFonts w:hint="eastAsia" w:eastAsia="宋体"/>
                      <w:color w:val="auto"/>
                      <w:sz w:val="21"/>
                      <w:szCs w:val="24"/>
                    </w:rPr>
                    <w:t>8</w:t>
                  </w:r>
                </w:p>
              </w:tc>
              <w:tc>
                <w:tcPr>
                  <w:tcW w:w="1606" w:type="dxa"/>
                  <w:vAlign w:val="center"/>
                </w:tcPr>
                <w:p w14:paraId="4A91D9A1">
                  <w:pPr>
                    <w:pStyle w:val="175"/>
                    <w:ind w:firstLine="2" w:firstLineChars="0"/>
                    <w:rPr>
                      <w:rFonts w:hAnsi="Times New Roman" w:eastAsia="宋体"/>
                      <w:color w:val="auto"/>
                      <w:sz w:val="21"/>
                    </w:rPr>
                  </w:pPr>
                  <w:r>
                    <w:rPr>
                      <w:rFonts w:hAnsi="Times New Roman" w:eastAsia="宋体"/>
                      <w:color w:val="auto"/>
                      <w:sz w:val="21"/>
                      <w:szCs w:val="24"/>
                    </w:rPr>
                    <w:t>150</w:t>
                  </w:r>
                </w:p>
              </w:tc>
              <w:tc>
                <w:tcPr>
                  <w:tcW w:w="1292" w:type="dxa"/>
                  <w:vAlign w:val="center"/>
                </w:tcPr>
                <w:p w14:paraId="01182E68">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5.33</w:t>
                  </w:r>
                </w:p>
              </w:tc>
              <w:tc>
                <w:tcPr>
                  <w:tcW w:w="877" w:type="dxa"/>
                  <w:vAlign w:val="center"/>
                </w:tcPr>
                <w:p w14:paraId="7CD66A05">
                  <w:pPr>
                    <w:pStyle w:val="175"/>
                    <w:rPr>
                      <w:rFonts w:hAnsi="Times New Roman"/>
                      <w:color w:val="auto"/>
                    </w:rPr>
                  </w:pPr>
                  <w:r>
                    <w:rPr>
                      <w:rFonts w:hAnsi="Times New Roman"/>
                      <w:color w:val="auto"/>
                    </w:rPr>
                    <w:t>达标</w:t>
                  </w:r>
                </w:p>
              </w:tc>
            </w:tr>
            <w:tr w14:paraId="31AB3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Merge w:val="restart"/>
                  <w:vAlign w:val="center"/>
                </w:tcPr>
                <w:p w14:paraId="58E0D8E9">
                  <w:pPr>
                    <w:pStyle w:val="175"/>
                    <w:rPr>
                      <w:rFonts w:hAnsi="Times New Roman"/>
                      <w:color w:val="auto"/>
                    </w:rPr>
                  </w:pPr>
                  <w:r>
                    <w:rPr>
                      <w:rFonts w:hAnsi="Times New Roman"/>
                      <w:color w:val="auto"/>
                    </w:rPr>
                    <w:t>NO</w:t>
                  </w:r>
                  <w:r>
                    <w:rPr>
                      <w:rFonts w:hAnsi="Times New Roman"/>
                      <w:color w:val="auto"/>
                      <w:vertAlign w:val="subscript"/>
                    </w:rPr>
                    <w:t>2</w:t>
                  </w:r>
                </w:p>
              </w:tc>
              <w:tc>
                <w:tcPr>
                  <w:tcW w:w="1953" w:type="dxa"/>
                  <w:vAlign w:val="center"/>
                </w:tcPr>
                <w:p w14:paraId="729104C3">
                  <w:pPr>
                    <w:pStyle w:val="175"/>
                    <w:ind w:firstLine="2" w:firstLineChars="0"/>
                    <w:rPr>
                      <w:rFonts w:hAnsi="Times New Roman" w:eastAsia="宋体"/>
                      <w:color w:val="auto"/>
                      <w:sz w:val="21"/>
                    </w:rPr>
                  </w:pPr>
                  <w:r>
                    <w:rPr>
                      <w:rFonts w:hAnsi="Times New Roman" w:eastAsia="宋体"/>
                      <w:color w:val="auto"/>
                      <w:sz w:val="21"/>
                      <w:szCs w:val="24"/>
                    </w:rPr>
                    <w:t>年平均质量浓度</w:t>
                  </w:r>
                </w:p>
              </w:tc>
              <w:tc>
                <w:tcPr>
                  <w:tcW w:w="1758" w:type="dxa"/>
                  <w:vAlign w:val="center"/>
                </w:tcPr>
                <w:p w14:paraId="3B8397F2">
                  <w:pPr>
                    <w:pStyle w:val="70"/>
                    <w:rPr>
                      <w:rFonts w:hAnsi="Times New Roman" w:eastAsia="宋体"/>
                      <w:color w:val="auto"/>
                      <w:sz w:val="21"/>
                    </w:rPr>
                  </w:pPr>
                  <w:r>
                    <w:rPr>
                      <w:rFonts w:hint="eastAsia" w:eastAsia="宋体"/>
                      <w:color w:val="auto"/>
                      <w:sz w:val="21"/>
                      <w:szCs w:val="24"/>
                      <w:lang w:val="en-US" w:eastAsia="zh-CN"/>
                    </w:rPr>
                    <w:t>22</w:t>
                  </w:r>
                </w:p>
              </w:tc>
              <w:tc>
                <w:tcPr>
                  <w:tcW w:w="1606" w:type="dxa"/>
                  <w:vAlign w:val="center"/>
                </w:tcPr>
                <w:p w14:paraId="22F8239D">
                  <w:pPr>
                    <w:pStyle w:val="175"/>
                    <w:ind w:firstLine="2" w:firstLineChars="0"/>
                    <w:rPr>
                      <w:rFonts w:hAnsi="Times New Roman" w:eastAsia="宋体"/>
                      <w:color w:val="auto"/>
                      <w:sz w:val="21"/>
                    </w:rPr>
                  </w:pPr>
                  <w:r>
                    <w:rPr>
                      <w:rFonts w:hAnsi="Times New Roman" w:eastAsia="宋体"/>
                      <w:color w:val="auto"/>
                      <w:sz w:val="21"/>
                      <w:szCs w:val="24"/>
                    </w:rPr>
                    <w:t>40</w:t>
                  </w:r>
                </w:p>
              </w:tc>
              <w:tc>
                <w:tcPr>
                  <w:tcW w:w="1292" w:type="dxa"/>
                  <w:vAlign w:val="center"/>
                </w:tcPr>
                <w:p w14:paraId="3E7DEC07">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55.00</w:t>
                  </w:r>
                </w:p>
              </w:tc>
              <w:tc>
                <w:tcPr>
                  <w:tcW w:w="877" w:type="dxa"/>
                  <w:vAlign w:val="center"/>
                </w:tcPr>
                <w:p w14:paraId="4BAC6F37">
                  <w:pPr>
                    <w:pStyle w:val="175"/>
                    <w:rPr>
                      <w:rFonts w:hAnsi="Times New Roman"/>
                      <w:color w:val="auto"/>
                    </w:rPr>
                  </w:pPr>
                  <w:r>
                    <w:rPr>
                      <w:rFonts w:hAnsi="Times New Roman"/>
                      <w:color w:val="auto"/>
                    </w:rPr>
                    <w:t>达标</w:t>
                  </w:r>
                </w:p>
              </w:tc>
            </w:tr>
            <w:tr w14:paraId="7BD09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Merge w:val="continue"/>
                  <w:vAlign w:val="center"/>
                </w:tcPr>
                <w:p w14:paraId="176C5B13">
                  <w:pPr>
                    <w:pStyle w:val="175"/>
                    <w:rPr>
                      <w:rFonts w:hAnsi="Times New Roman"/>
                      <w:color w:val="auto"/>
                    </w:rPr>
                  </w:pPr>
                </w:p>
              </w:tc>
              <w:tc>
                <w:tcPr>
                  <w:tcW w:w="1953" w:type="dxa"/>
                  <w:vAlign w:val="center"/>
                </w:tcPr>
                <w:p w14:paraId="74E759D1">
                  <w:pPr>
                    <w:pStyle w:val="175"/>
                    <w:ind w:firstLine="2" w:firstLineChars="0"/>
                    <w:rPr>
                      <w:rFonts w:hAnsi="Times New Roman" w:eastAsia="宋体"/>
                      <w:color w:val="auto"/>
                      <w:sz w:val="21"/>
                    </w:rPr>
                  </w:pPr>
                  <w:r>
                    <w:rPr>
                      <w:rFonts w:hAnsi="Times New Roman" w:eastAsia="宋体"/>
                      <w:color w:val="auto"/>
                      <w:sz w:val="21"/>
                      <w:szCs w:val="24"/>
                    </w:rPr>
                    <w:t>24小时平均第98百分位数</w:t>
                  </w:r>
                </w:p>
              </w:tc>
              <w:tc>
                <w:tcPr>
                  <w:tcW w:w="1758" w:type="dxa"/>
                  <w:vAlign w:val="center"/>
                </w:tcPr>
                <w:p w14:paraId="4A7F9753">
                  <w:pPr>
                    <w:pStyle w:val="70"/>
                    <w:rPr>
                      <w:rFonts w:hAnsi="Times New Roman" w:eastAsia="宋体"/>
                      <w:color w:val="auto"/>
                      <w:sz w:val="21"/>
                    </w:rPr>
                  </w:pPr>
                  <w:r>
                    <w:rPr>
                      <w:rFonts w:hint="eastAsia" w:eastAsia="宋体"/>
                      <w:color w:val="auto"/>
                      <w:sz w:val="21"/>
                      <w:szCs w:val="24"/>
                    </w:rPr>
                    <w:t>5</w:t>
                  </w:r>
                  <w:r>
                    <w:rPr>
                      <w:rFonts w:hint="eastAsia" w:eastAsia="宋体"/>
                      <w:color w:val="auto"/>
                      <w:sz w:val="21"/>
                      <w:szCs w:val="24"/>
                      <w:lang w:val="en-US" w:eastAsia="zh-CN"/>
                    </w:rPr>
                    <w:t>4</w:t>
                  </w:r>
                </w:p>
              </w:tc>
              <w:tc>
                <w:tcPr>
                  <w:tcW w:w="1606" w:type="dxa"/>
                  <w:vAlign w:val="center"/>
                </w:tcPr>
                <w:p w14:paraId="30F6B754">
                  <w:pPr>
                    <w:pStyle w:val="175"/>
                    <w:ind w:firstLine="2" w:firstLineChars="0"/>
                    <w:rPr>
                      <w:rFonts w:hAnsi="Times New Roman" w:eastAsia="宋体"/>
                      <w:color w:val="auto"/>
                      <w:sz w:val="21"/>
                    </w:rPr>
                  </w:pPr>
                  <w:r>
                    <w:rPr>
                      <w:rFonts w:hAnsi="Times New Roman" w:eastAsia="宋体"/>
                      <w:color w:val="auto"/>
                      <w:sz w:val="21"/>
                      <w:szCs w:val="24"/>
                    </w:rPr>
                    <w:t>80</w:t>
                  </w:r>
                </w:p>
              </w:tc>
              <w:tc>
                <w:tcPr>
                  <w:tcW w:w="1292" w:type="dxa"/>
                  <w:vAlign w:val="center"/>
                </w:tcPr>
                <w:p w14:paraId="236502DD">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67.50</w:t>
                  </w:r>
                </w:p>
              </w:tc>
              <w:tc>
                <w:tcPr>
                  <w:tcW w:w="877" w:type="dxa"/>
                  <w:vAlign w:val="center"/>
                </w:tcPr>
                <w:p w14:paraId="07F9C931">
                  <w:pPr>
                    <w:pStyle w:val="175"/>
                    <w:rPr>
                      <w:rFonts w:hAnsi="Times New Roman"/>
                      <w:color w:val="auto"/>
                    </w:rPr>
                  </w:pPr>
                  <w:r>
                    <w:rPr>
                      <w:rFonts w:hAnsi="Times New Roman"/>
                      <w:color w:val="auto"/>
                    </w:rPr>
                    <w:t>达标</w:t>
                  </w:r>
                </w:p>
              </w:tc>
            </w:tr>
            <w:tr w14:paraId="5BF03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Merge w:val="restart"/>
                  <w:vAlign w:val="center"/>
                </w:tcPr>
                <w:p w14:paraId="65C27E0D">
                  <w:pPr>
                    <w:pStyle w:val="175"/>
                    <w:rPr>
                      <w:rFonts w:hAnsi="Times New Roman"/>
                      <w:color w:val="auto"/>
                      <w:vertAlign w:val="subscript"/>
                    </w:rPr>
                  </w:pPr>
                  <w:r>
                    <w:rPr>
                      <w:rFonts w:hAnsi="Times New Roman"/>
                      <w:color w:val="auto"/>
                    </w:rPr>
                    <w:t>PM</w:t>
                  </w:r>
                  <w:r>
                    <w:rPr>
                      <w:rFonts w:hAnsi="Times New Roman"/>
                      <w:color w:val="auto"/>
                      <w:vertAlign w:val="subscript"/>
                    </w:rPr>
                    <w:t>10</w:t>
                  </w:r>
                </w:p>
              </w:tc>
              <w:tc>
                <w:tcPr>
                  <w:tcW w:w="1953" w:type="dxa"/>
                  <w:vAlign w:val="center"/>
                </w:tcPr>
                <w:p w14:paraId="3A0E5ADB">
                  <w:pPr>
                    <w:pStyle w:val="175"/>
                    <w:ind w:firstLine="2" w:firstLineChars="0"/>
                    <w:rPr>
                      <w:rFonts w:hAnsi="Times New Roman" w:eastAsia="宋体"/>
                      <w:color w:val="auto"/>
                      <w:sz w:val="21"/>
                    </w:rPr>
                  </w:pPr>
                  <w:r>
                    <w:rPr>
                      <w:rFonts w:hAnsi="Times New Roman" w:eastAsia="宋体"/>
                      <w:color w:val="auto"/>
                      <w:sz w:val="21"/>
                      <w:szCs w:val="24"/>
                    </w:rPr>
                    <w:t>年平均质量浓度</w:t>
                  </w:r>
                </w:p>
              </w:tc>
              <w:tc>
                <w:tcPr>
                  <w:tcW w:w="1758" w:type="dxa"/>
                  <w:vAlign w:val="center"/>
                </w:tcPr>
                <w:p w14:paraId="0CDE994E">
                  <w:pPr>
                    <w:pStyle w:val="70"/>
                    <w:rPr>
                      <w:rFonts w:hAnsi="Times New Roman" w:eastAsia="宋体"/>
                      <w:color w:val="auto"/>
                      <w:sz w:val="21"/>
                    </w:rPr>
                  </w:pPr>
                  <w:r>
                    <w:rPr>
                      <w:rFonts w:hint="eastAsia" w:eastAsia="宋体"/>
                      <w:color w:val="auto"/>
                      <w:sz w:val="21"/>
                      <w:szCs w:val="24"/>
                    </w:rPr>
                    <w:t>3</w:t>
                  </w:r>
                  <w:r>
                    <w:rPr>
                      <w:rFonts w:hint="eastAsia" w:eastAsia="宋体"/>
                      <w:color w:val="auto"/>
                      <w:sz w:val="21"/>
                      <w:szCs w:val="24"/>
                      <w:lang w:val="en-US" w:eastAsia="zh-CN"/>
                    </w:rPr>
                    <w:t>4</w:t>
                  </w:r>
                </w:p>
              </w:tc>
              <w:tc>
                <w:tcPr>
                  <w:tcW w:w="1606" w:type="dxa"/>
                  <w:vAlign w:val="center"/>
                </w:tcPr>
                <w:p w14:paraId="0273A207">
                  <w:pPr>
                    <w:pStyle w:val="175"/>
                    <w:ind w:firstLine="2" w:firstLineChars="0"/>
                    <w:rPr>
                      <w:rFonts w:hAnsi="Times New Roman" w:eastAsia="宋体"/>
                      <w:color w:val="auto"/>
                      <w:sz w:val="21"/>
                    </w:rPr>
                  </w:pPr>
                  <w:r>
                    <w:rPr>
                      <w:rFonts w:hAnsi="Times New Roman" w:eastAsia="宋体"/>
                      <w:color w:val="auto"/>
                      <w:sz w:val="21"/>
                      <w:szCs w:val="24"/>
                    </w:rPr>
                    <w:t>70</w:t>
                  </w:r>
                </w:p>
              </w:tc>
              <w:tc>
                <w:tcPr>
                  <w:tcW w:w="1292" w:type="dxa"/>
                  <w:vAlign w:val="center"/>
                </w:tcPr>
                <w:p w14:paraId="278EDCFD">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48.57</w:t>
                  </w:r>
                </w:p>
              </w:tc>
              <w:tc>
                <w:tcPr>
                  <w:tcW w:w="877" w:type="dxa"/>
                  <w:vAlign w:val="center"/>
                </w:tcPr>
                <w:p w14:paraId="40D1A732">
                  <w:pPr>
                    <w:pStyle w:val="175"/>
                    <w:rPr>
                      <w:rFonts w:hAnsi="Times New Roman"/>
                      <w:color w:val="auto"/>
                    </w:rPr>
                  </w:pPr>
                  <w:r>
                    <w:rPr>
                      <w:rFonts w:hAnsi="Times New Roman"/>
                      <w:color w:val="auto"/>
                    </w:rPr>
                    <w:t>达标</w:t>
                  </w:r>
                </w:p>
              </w:tc>
            </w:tr>
            <w:tr w14:paraId="32FC7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Merge w:val="continue"/>
                  <w:vAlign w:val="center"/>
                </w:tcPr>
                <w:p w14:paraId="37EA15D0">
                  <w:pPr>
                    <w:pStyle w:val="175"/>
                    <w:rPr>
                      <w:rFonts w:hAnsi="Times New Roman"/>
                      <w:color w:val="auto"/>
                    </w:rPr>
                  </w:pPr>
                </w:p>
              </w:tc>
              <w:tc>
                <w:tcPr>
                  <w:tcW w:w="1953" w:type="dxa"/>
                  <w:vAlign w:val="center"/>
                </w:tcPr>
                <w:p w14:paraId="5CFF778E">
                  <w:pPr>
                    <w:pStyle w:val="175"/>
                    <w:ind w:firstLine="2" w:firstLineChars="0"/>
                    <w:rPr>
                      <w:rFonts w:hAnsi="Times New Roman" w:eastAsia="宋体"/>
                      <w:color w:val="auto"/>
                      <w:sz w:val="21"/>
                    </w:rPr>
                  </w:pPr>
                  <w:r>
                    <w:rPr>
                      <w:rFonts w:hAnsi="Times New Roman" w:eastAsia="宋体"/>
                      <w:color w:val="auto"/>
                      <w:sz w:val="21"/>
                      <w:szCs w:val="24"/>
                    </w:rPr>
                    <w:t>24小时平均第95百分位数</w:t>
                  </w:r>
                </w:p>
              </w:tc>
              <w:tc>
                <w:tcPr>
                  <w:tcW w:w="1758" w:type="dxa"/>
                  <w:vAlign w:val="center"/>
                </w:tcPr>
                <w:p w14:paraId="6E6CE7E0">
                  <w:pPr>
                    <w:pStyle w:val="70"/>
                    <w:rPr>
                      <w:rFonts w:hAnsi="Times New Roman" w:eastAsia="宋体"/>
                      <w:color w:val="auto"/>
                      <w:sz w:val="21"/>
                    </w:rPr>
                  </w:pPr>
                  <w:r>
                    <w:rPr>
                      <w:rFonts w:hint="eastAsia" w:eastAsia="宋体"/>
                      <w:color w:val="auto"/>
                      <w:sz w:val="21"/>
                      <w:szCs w:val="24"/>
                    </w:rPr>
                    <w:t>68</w:t>
                  </w:r>
                </w:p>
              </w:tc>
              <w:tc>
                <w:tcPr>
                  <w:tcW w:w="1606" w:type="dxa"/>
                  <w:vAlign w:val="center"/>
                </w:tcPr>
                <w:p w14:paraId="200A57EE">
                  <w:pPr>
                    <w:pStyle w:val="175"/>
                    <w:ind w:firstLine="2" w:firstLineChars="0"/>
                    <w:rPr>
                      <w:rFonts w:hAnsi="Times New Roman" w:eastAsia="宋体"/>
                      <w:color w:val="auto"/>
                      <w:sz w:val="21"/>
                    </w:rPr>
                  </w:pPr>
                  <w:r>
                    <w:rPr>
                      <w:rFonts w:hAnsi="Times New Roman" w:eastAsia="宋体"/>
                      <w:color w:val="auto"/>
                      <w:sz w:val="21"/>
                      <w:szCs w:val="24"/>
                    </w:rPr>
                    <w:t>150</w:t>
                  </w:r>
                </w:p>
              </w:tc>
              <w:tc>
                <w:tcPr>
                  <w:tcW w:w="1292" w:type="dxa"/>
                  <w:vAlign w:val="center"/>
                </w:tcPr>
                <w:p w14:paraId="2D94E12D">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45.33</w:t>
                  </w:r>
                </w:p>
              </w:tc>
              <w:tc>
                <w:tcPr>
                  <w:tcW w:w="877" w:type="dxa"/>
                  <w:vAlign w:val="center"/>
                </w:tcPr>
                <w:p w14:paraId="6A8A03E7">
                  <w:pPr>
                    <w:pStyle w:val="175"/>
                    <w:rPr>
                      <w:rFonts w:hAnsi="Times New Roman"/>
                      <w:color w:val="auto"/>
                    </w:rPr>
                  </w:pPr>
                  <w:r>
                    <w:rPr>
                      <w:rFonts w:hAnsi="Times New Roman"/>
                      <w:color w:val="auto"/>
                    </w:rPr>
                    <w:t>达标</w:t>
                  </w:r>
                </w:p>
              </w:tc>
            </w:tr>
            <w:tr w14:paraId="40B10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Merge w:val="restart"/>
                  <w:vAlign w:val="center"/>
                </w:tcPr>
                <w:p w14:paraId="713A83A2">
                  <w:pPr>
                    <w:pStyle w:val="175"/>
                    <w:rPr>
                      <w:rFonts w:hAnsi="Times New Roman"/>
                      <w:color w:val="auto"/>
                      <w:vertAlign w:val="subscript"/>
                    </w:rPr>
                  </w:pPr>
                  <w:r>
                    <w:rPr>
                      <w:rFonts w:hAnsi="Times New Roman"/>
                      <w:color w:val="auto"/>
                    </w:rPr>
                    <w:t>PM</w:t>
                  </w:r>
                  <w:r>
                    <w:rPr>
                      <w:rFonts w:hAnsi="Times New Roman"/>
                      <w:color w:val="auto"/>
                      <w:vertAlign w:val="subscript"/>
                    </w:rPr>
                    <w:t>2.5</w:t>
                  </w:r>
                </w:p>
              </w:tc>
              <w:tc>
                <w:tcPr>
                  <w:tcW w:w="1953" w:type="dxa"/>
                  <w:vAlign w:val="center"/>
                </w:tcPr>
                <w:p w14:paraId="055881AE">
                  <w:pPr>
                    <w:pStyle w:val="175"/>
                    <w:ind w:firstLine="2" w:firstLineChars="0"/>
                    <w:rPr>
                      <w:rFonts w:hAnsi="Times New Roman" w:eastAsia="宋体"/>
                      <w:color w:val="auto"/>
                      <w:sz w:val="21"/>
                    </w:rPr>
                  </w:pPr>
                  <w:r>
                    <w:rPr>
                      <w:rFonts w:hAnsi="Times New Roman" w:eastAsia="宋体"/>
                      <w:color w:val="auto"/>
                      <w:sz w:val="21"/>
                      <w:szCs w:val="24"/>
                    </w:rPr>
                    <w:t>年平均质量浓度</w:t>
                  </w:r>
                </w:p>
              </w:tc>
              <w:tc>
                <w:tcPr>
                  <w:tcW w:w="1758" w:type="dxa"/>
                  <w:vAlign w:val="center"/>
                </w:tcPr>
                <w:p w14:paraId="2ACDE1BF">
                  <w:pPr>
                    <w:pStyle w:val="70"/>
                    <w:rPr>
                      <w:rFonts w:hAnsi="Times New Roman" w:eastAsia="宋体"/>
                      <w:color w:val="auto"/>
                      <w:sz w:val="21"/>
                    </w:rPr>
                  </w:pPr>
                  <w:r>
                    <w:rPr>
                      <w:rFonts w:hint="eastAsia" w:eastAsia="宋体"/>
                      <w:color w:val="auto"/>
                      <w:sz w:val="21"/>
                      <w:szCs w:val="24"/>
                      <w:lang w:val="en-US" w:eastAsia="zh-CN"/>
                    </w:rPr>
                    <w:t>20</w:t>
                  </w:r>
                </w:p>
              </w:tc>
              <w:tc>
                <w:tcPr>
                  <w:tcW w:w="1606" w:type="dxa"/>
                  <w:vAlign w:val="center"/>
                </w:tcPr>
                <w:p w14:paraId="5CCC4B52">
                  <w:pPr>
                    <w:pStyle w:val="175"/>
                    <w:ind w:firstLine="2" w:firstLineChars="0"/>
                    <w:rPr>
                      <w:rFonts w:hAnsi="Times New Roman" w:eastAsia="宋体"/>
                      <w:color w:val="auto"/>
                      <w:sz w:val="21"/>
                    </w:rPr>
                  </w:pPr>
                  <w:r>
                    <w:rPr>
                      <w:rFonts w:hAnsi="Times New Roman" w:eastAsia="宋体"/>
                      <w:color w:val="auto"/>
                      <w:sz w:val="21"/>
                      <w:szCs w:val="24"/>
                    </w:rPr>
                    <w:t>35</w:t>
                  </w:r>
                </w:p>
              </w:tc>
              <w:tc>
                <w:tcPr>
                  <w:tcW w:w="1292" w:type="dxa"/>
                  <w:vAlign w:val="center"/>
                </w:tcPr>
                <w:p w14:paraId="0DEB911C">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57.14</w:t>
                  </w:r>
                </w:p>
              </w:tc>
              <w:tc>
                <w:tcPr>
                  <w:tcW w:w="877" w:type="dxa"/>
                  <w:vAlign w:val="center"/>
                </w:tcPr>
                <w:p w14:paraId="62F62260">
                  <w:pPr>
                    <w:pStyle w:val="175"/>
                    <w:rPr>
                      <w:rFonts w:hAnsi="Times New Roman"/>
                      <w:color w:val="auto"/>
                    </w:rPr>
                  </w:pPr>
                  <w:r>
                    <w:rPr>
                      <w:rFonts w:hAnsi="Times New Roman"/>
                      <w:color w:val="auto"/>
                    </w:rPr>
                    <w:t>达标</w:t>
                  </w:r>
                </w:p>
              </w:tc>
            </w:tr>
            <w:tr w14:paraId="269E3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Merge w:val="continue"/>
                  <w:vAlign w:val="center"/>
                </w:tcPr>
                <w:p w14:paraId="5443B4F2">
                  <w:pPr>
                    <w:pStyle w:val="175"/>
                    <w:rPr>
                      <w:rFonts w:hAnsi="Times New Roman"/>
                      <w:color w:val="auto"/>
                    </w:rPr>
                  </w:pPr>
                </w:p>
              </w:tc>
              <w:tc>
                <w:tcPr>
                  <w:tcW w:w="1953" w:type="dxa"/>
                  <w:vAlign w:val="center"/>
                </w:tcPr>
                <w:p w14:paraId="7A9CE569">
                  <w:pPr>
                    <w:pStyle w:val="175"/>
                    <w:ind w:firstLine="2" w:firstLineChars="0"/>
                    <w:rPr>
                      <w:rFonts w:hAnsi="Times New Roman" w:eastAsia="宋体"/>
                      <w:color w:val="auto"/>
                      <w:sz w:val="21"/>
                      <w:vertAlign w:val="subscript"/>
                    </w:rPr>
                  </w:pPr>
                  <w:r>
                    <w:rPr>
                      <w:rFonts w:hAnsi="Times New Roman" w:eastAsia="宋体"/>
                      <w:color w:val="auto"/>
                      <w:sz w:val="21"/>
                      <w:szCs w:val="24"/>
                    </w:rPr>
                    <w:t>24小时平均第95百分位数</w:t>
                  </w:r>
                </w:p>
              </w:tc>
              <w:tc>
                <w:tcPr>
                  <w:tcW w:w="1758" w:type="dxa"/>
                  <w:vAlign w:val="center"/>
                </w:tcPr>
                <w:p w14:paraId="08CB4495">
                  <w:pPr>
                    <w:pStyle w:val="70"/>
                    <w:rPr>
                      <w:rFonts w:hAnsi="Times New Roman" w:eastAsia="宋体"/>
                      <w:color w:val="auto"/>
                      <w:sz w:val="21"/>
                    </w:rPr>
                  </w:pPr>
                  <w:r>
                    <w:rPr>
                      <w:rFonts w:hint="eastAsia" w:eastAsia="宋体"/>
                      <w:color w:val="auto"/>
                      <w:sz w:val="21"/>
                      <w:szCs w:val="24"/>
                      <w:lang w:val="en-US" w:eastAsia="zh-CN"/>
                    </w:rPr>
                    <w:t>4</w:t>
                  </w:r>
                  <w:r>
                    <w:rPr>
                      <w:rFonts w:hint="eastAsia" w:eastAsia="宋体"/>
                      <w:color w:val="auto"/>
                      <w:sz w:val="21"/>
                      <w:szCs w:val="24"/>
                    </w:rPr>
                    <w:t>6</w:t>
                  </w:r>
                </w:p>
              </w:tc>
              <w:tc>
                <w:tcPr>
                  <w:tcW w:w="1606" w:type="dxa"/>
                  <w:vAlign w:val="center"/>
                </w:tcPr>
                <w:p w14:paraId="6A9808F0">
                  <w:pPr>
                    <w:pStyle w:val="175"/>
                    <w:ind w:firstLine="2" w:firstLineChars="0"/>
                    <w:rPr>
                      <w:rFonts w:hAnsi="Times New Roman" w:eastAsia="宋体"/>
                      <w:color w:val="auto"/>
                      <w:sz w:val="21"/>
                    </w:rPr>
                  </w:pPr>
                  <w:r>
                    <w:rPr>
                      <w:rFonts w:hAnsi="Times New Roman" w:eastAsia="宋体"/>
                      <w:color w:val="auto"/>
                      <w:sz w:val="21"/>
                      <w:szCs w:val="24"/>
                    </w:rPr>
                    <w:t>75</w:t>
                  </w:r>
                </w:p>
              </w:tc>
              <w:tc>
                <w:tcPr>
                  <w:tcW w:w="1292" w:type="dxa"/>
                  <w:vAlign w:val="center"/>
                </w:tcPr>
                <w:p w14:paraId="2DC8C836">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61.33</w:t>
                  </w:r>
                </w:p>
              </w:tc>
              <w:tc>
                <w:tcPr>
                  <w:tcW w:w="877" w:type="dxa"/>
                  <w:vAlign w:val="center"/>
                </w:tcPr>
                <w:p w14:paraId="1DF53A06">
                  <w:pPr>
                    <w:pStyle w:val="175"/>
                    <w:rPr>
                      <w:rFonts w:hAnsi="Times New Roman"/>
                      <w:color w:val="auto"/>
                    </w:rPr>
                  </w:pPr>
                  <w:r>
                    <w:rPr>
                      <w:rFonts w:hAnsi="Times New Roman"/>
                      <w:color w:val="auto"/>
                    </w:rPr>
                    <w:t>达标</w:t>
                  </w:r>
                </w:p>
              </w:tc>
            </w:tr>
            <w:tr w14:paraId="4DE8E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Align w:val="center"/>
                </w:tcPr>
                <w:p w14:paraId="5CC2D127">
                  <w:pPr>
                    <w:pStyle w:val="175"/>
                    <w:rPr>
                      <w:rFonts w:hAnsi="Times New Roman"/>
                      <w:color w:val="auto"/>
                    </w:rPr>
                  </w:pPr>
                  <w:r>
                    <w:rPr>
                      <w:rFonts w:hAnsi="Times New Roman"/>
                      <w:color w:val="auto"/>
                    </w:rPr>
                    <w:t>CO</w:t>
                  </w:r>
                </w:p>
              </w:tc>
              <w:tc>
                <w:tcPr>
                  <w:tcW w:w="1953" w:type="dxa"/>
                  <w:vAlign w:val="center"/>
                </w:tcPr>
                <w:p w14:paraId="47257540">
                  <w:pPr>
                    <w:pStyle w:val="175"/>
                    <w:ind w:firstLine="2" w:firstLineChars="0"/>
                    <w:rPr>
                      <w:rFonts w:hAnsi="Times New Roman" w:eastAsia="宋体"/>
                      <w:color w:val="auto"/>
                      <w:sz w:val="21"/>
                    </w:rPr>
                  </w:pPr>
                  <w:r>
                    <w:rPr>
                      <w:rFonts w:hAnsi="Times New Roman" w:eastAsia="宋体"/>
                      <w:color w:val="auto"/>
                      <w:sz w:val="21"/>
                      <w:szCs w:val="24"/>
                    </w:rPr>
                    <w:t>24小时平均第95百分位数</w:t>
                  </w:r>
                </w:p>
              </w:tc>
              <w:tc>
                <w:tcPr>
                  <w:tcW w:w="1758" w:type="dxa"/>
                  <w:vAlign w:val="center"/>
                </w:tcPr>
                <w:p w14:paraId="311E3DE3">
                  <w:pPr>
                    <w:pStyle w:val="70"/>
                    <w:rPr>
                      <w:rFonts w:hAnsi="Times New Roman" w:eastAsia="宋体"/>
                      <w:color w:val="auto"/>
                      <w:sz w:val="21"/>
                    </w:rPr>
                  </w:pPr>
                  <w:r>
                    <w:rPr>
                      <w:rFonts w:hint="eastAsia" w:eastAsia="宋体"/>
                      <w:color w:val="auto"/>
                      <w:sz w:val="21"/>
                      <w:szCs w:val="24"/>
                      <w:lang w:val="en-US" w:eastAsia="zh-CN"/>
                    </w:rPr>
                    <w:t>8</w:t>
                  </w:r>
                  <w:r>
                    <w:rPr>
                      <w:rFonts w:hint="eastAsia" w:eastAsia="宋体"/>
                      <w:color w:val="auto"/>
                      <w:sz w:val="21"/>
                      <w:szCs w:val="24"/>
                    </w:rPr>
                    <w:t>00</w:t>
                  </w:r>
                </w:p>
              </w:tc>
              <w:tc>
                <w:tcPr>
                  <w:tcW w:w="1606" w:type="dxa"/>
                  <w:vAlign w:val="center"/>
                </w:tcPr>
                <w:p w14:paraId="660679CD">
                  <w:pPr>
                    <w:pStyle w:val="175"/>
                    <w:ind w:firstLine="2" w:firstLineChars="0"/>
                    <w:rPr>
                      <w:rFonts w:hAnsi="Times New Roman" w:eastAsia="宋体"/>
                      <w:color w:val="auto"/>
                      <w:sz w:val="21"/>
                    </w:rPr>
                  </w:pPr>
                  <w:r>
                    <w:rPr>
                      <w:rFonts w:hAnsi="Times New Roman" w:eastAsia="宋体"/>
                      <w:color w:val="auto"/>
                      <w:sz w:val="21"/>
                      <w:szCs w:val="24"/>
                    </w:rPr>
                    <w:t>4000</w:t>
                  </w:r>
                </w:p>
              </w:tc>
              <w:tc>
                <w:tcPr>
                  <w:tcW w:w="1292" w:type="dxa"/>
                  <w:vAlign w:val="center"/>
                </w:tcPr>
                <w:p w14:paraId="328280E7">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20.00</w:t>
                  </w:r>
                </w:p>
              </w:tc>
              <w:tc>
                <w:tcPr>
                  <w:tcW w:w="877" w:type="dxa"/>
                  <w:vAlign w:val="center"/>
                </w:tcPr>
                <w:p w14:paraId="3CAB8F5A">
                  <w:pPr>
                    <w:pStyle w:val="175"/>
                    <w:rPr>
                      <w:rFonts w:hAnsi="Times New Roman"/>
                      <w:color w:val="auto"/>
                    </w:rPr>
                  </w:pPr>
                  <w:r>
                    <w:rPr>
                      <w:rFonts w:hAnsi="Times New Roman"/>
                      <w:color w:val="auto"/>
                    </w:rPr>
                    <w:t>达标</w:t>
                  </w:r>
                </w:p>
              </w:tc>
            </w:tr>
            <w:tr w14:paraId="7C6E2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3" w:type="dxa"/>
                  <w:vAlign w:val="center"/>
                </w:tcPr>
                <w:p w14:paraId="21F05DE6">
                  <w:pPr>
                    <w:pStyle w:val="175"/>
                    <w:rPr>
                      <w:rFonts w:hAnsi="Times New Roman"/>
                      <w:color w:val="auto"/>
                    </w:rPr>
                  </w:pPr>
                  <w:r>
                    <w:rPr>
                      <w:rFonts w:hAnsi="Times New Roman"/>
                      <w:color w:val="auto"/>
                    </w:rPr>
                    <w:t>O</w:t>
                  </w:r>
                  <w:r>
                    <w:rPr>
                      <w:rFonts w:hAnsi="Times New Roman"/>
                      <w:color w:val="auto"/>
                      <w:vertAlign w:val="subscript"/>
                    </w:rPr>
                    <w:t>3</w:t>
                  </w:r>
                </w:p>
              </w:tc>
              <w:tc>
                <w:tcPr>
                  <w:tcW w:w="1953" w:type="dxa"/>
                  <w:vAlign w:val="center"/>
                </w:tcPr>
                <w:p w14:paraId="03A04FF0">
                  <w:pPr>
                    <w:pStyle w:val="175"/>
                    <w:ind w:firstLine="2" w:firstLineChars="0"/>
                    <w:rPr>
                      <w:rFonts w:hAnsi="Times New Roman" w:eastAsia="宋体"/>
                      <w:color w:val="auto"/>
                      <w:sz w:val="21"/>
                    </w:rPr>
                  </w:pPr>
                  <w:r>
                    <w:rPr>
                      <w:rFonts w:hAnsi="Times New Roman" w:eastAsia="宋体"/>
                      <w:color w:val="auto"/>
                      <w:sz w:val="21"/>
                      <w:szCs w:val="24"/>
                    </w:rPr>
                    <w:t>日最大8h滑动平均值第90百分位数</w:t>
                  </w:r>
                </w:p>
              </w:tc>
              <w:tc>
                <w:tcPr>
                  <w:tcW w:w="1758" w:type="dxa"/>
                  <w:vAlign w:val="center"/>
                </w:tcPr>
                <w:p w14:paraId="307B8A29">
                  <w:pPr>
                    <w:pStyle w:val="70"/>
                    <w:rPr>
                      <w:rFonts w:hAnsi="Times New Roman" w:eastAsia="宋体"/>
                      <w:color w:val="auto"/>
                      <w:sz w:val="21"/>
                    </w:rPr>
                  </w:pPr>
                  <w:r>
                    <w:rPr>
                      <w:rFonts w:hint="eastAsia" w:eastAsia="宋体"/>
                      <w:color w:val="auto"/>
                      <w:sz w:val="21"/>
                      <w:szCs w:val="24"/>
                    </w:rPr>
                    <w:t>1</w:t>
                  </w:r>
                  <w:r>
                    <w:rPr>
                      <w:rFonts w:hint="eastAsia" w:eastAsia="宋体"/>
                      <w:color w:val="auto"/>
                      <w:sz w:val="21"/>
                      <w:szCs w:val="24"/>
                      <w:lang w:val="en-US" w:eastAsia="zh-CN"/>
                    </w:rPr>
                    <w:t>5</w:t>
                  </w:r>
                  <w:r>
                    <w:rPr>
                      <w:rFonts w:hint="eastAsia" w:eastAsia="宋体"/>
                      <w:color w:val="auto"/>
                      <w:sz w:val="21"/>
                      <w:szCs w:val="24"/>
                    </w:rPr>
                    <w:t>1</w:t>
                  </w:r>
                </w:p>
              </w:tc>
              <w:tc>
                <w:tcPr>
                  <w:tcW w:w="1606" w:type="dxa"/>
                  <w:vAlign w:val="center"/>
                </w:tcPr>
                <w:p w14:paraId="1F6C6D84">
                  <w:pPr>
                    <w:pStyle w:val="175"/>
                    <w:ind w:firstLine="2" w:firstLineChars="0"/>
                    <w:rPr>
                      <w:rFonts w:hAnsi="Times New Roman" w:eastAsia="宋体"/>
                      <w:color w:val="auto"/>
                      <w:sz w:val="21"/>
                    </w:rPr>
                  </w:pPr>
                  <w:r>
                    <w:rPr>
                      <w:rFonts w:hAnsi="Times New Roman" w:eastAsia="宋体"/>
                      <w:color w:val="auto"/>
                      <w:sz w:val="21"/>
                      <w:szCs w:val="24"/>
                    </w:rPr>
                    <w:t>160</w:t>
                  </w:r>
                </w:p>
              </w:tc>
              <w:tc>
                <w:tcPr>
                  <w:tcW w:w="1292" w:type="dxa"/>
                  <w:vAlign w:val="center"/>
                </w:tcPr>
                <w:p w14:paraId="77ADAE01">
                  <w:pPr>
                    <w:keepNext w:val="0"/>
                    <w:keepLines w:val="0"/>
                    <w:widowControl/>
                    <w:suppressLineNumbers w:val="0"/>
                    <w:jc w:val="center"/>
                    <w:textAlignment w:val="center"/>
                    <w:rPr>
                      <w:rFonts w:hAnsi="Times New Roman" w:eastAsia="宋体"/>
                      <w:color w:val="auto"/>
                      <w:sz w:val="21"/>
                    </w:rPr>
                  </w:pPr>
                  <w:r>
                    <w:rPr>
                      <w:rFonts w:hint="default" w:ascii="Times New Roman" w:hAnsi="Times New Roman" w:eastAsia="宋体" w:cs="Times New Roman"/>
                      <w:i w:val="0"/>
                      <w:iCs w:val="0"/>
                      <w:color w:val="auto"/>
                      <w:kern w:val="0"/>
                      <w:sz w:val="21"/>
                      <w:szCs w:val="24"/>
                      <w:u w:val="none"/>
                      <w:lang w:val="en-US" w:eastAsia="zh-CN" w:bidi="ar"/>
                    </w:rPr>
                    <w:t>94.38</w:t>
                  </w:r>
                </w:p>
              </w:tc>
              <w:tc>
                <w:tcPr>
                  <w:tcW w:w="877" w:type="dxa"/>
                  <w:vAlign w:val="center"/>
                </w:tcPr>
                <w:p w14:paraId="46F5BC37">
                  <w:pPr>
                    <w:pStyle w:val="175"/>
                    <w:rPr>
                      <w:rFonts w:hAnsi="Times New Roman"/>
                      <w:color w:val="auto"/>
                    </w:rPr>
                  </w:pPr>
                  <w:r>
                    <w:rPr>
                      <w:rFonts w:hAnsi="Times New Roman"/>
                      <w:color w:val="auto"/>
                    </w:rPr>
                    <w:t>达标</w:t>
                  </w:r>
                </w:p>
              </w:tc>
            </w:tr>
          </w:tbl>
          <w:p w14:paraId="224DB8C3">
            <w:pPr>
              <w:pStyle w:val="95"/>
              <w:ind w:firstLine="422"/>
              <w:rPr>
                <w:b/>
                <w:color w:val="auto"/>
                <w:sz w:val="21"/>
                <w:szCs w:val="21"/>
              </w:rPr>
            </w:pPr>
            <w:r>
              <w:rPr>
                <w:b/>
                <w:color w:val="auto"/>
                <w:sz w:val="21"/>
                <w:szCs w:val="21"/>
              </w:rPr>
              <w:t>2</w:t>
            </w:r>
            <w:r>
              <w:rPr>
                <w:rFonts w:hint="eastAsia"/>
                <w:b/>
                <w:color w:val="auto"/>
                <w:sz w:val="21"/>
                <w:szCs w:val="21"/>
              </w:rPr>
              <w:t>、基本污染物环境质量现状</w:t>
            </w:r>
          </w:p>
          <w:p w14:paraId="7D3A520A">
            <w:pPr>
              <w:spacing w:line="360" w:lineRule="auto"/>
              <w:ind w:firstLine="420" w:firstLineChars="200"/>
              <w:rPr>
                <w:color w:val="auto"/>
                <w:szCs w:val="21"/>
              </w:rPr>
            </w:pPr>
            <w:r>
              <w:rPr>
                <w:rFonts w:hint="eastAsia"/>
                <w:color w:val="auto"/>
                <w:szCs w:val="21"/>
              </w:rPr>
              <w:t>本项目位于环境空气二类功能区，SO</w:t>
            </w:r>
            <w:r>
              <w:rPr>
                <w:rFonts w:hint="eastAsia"/>
                <w:color w:val="auto"/>
                <w:szCs w:val="21"/>
                <w:vertAlign w:val="subscript"/>
              </w:rPr>
              <w:t>2</w:t>
            </w:r>
            <w:r>
              <w:rPr>
                <w:rFonts w:hint="eastAsia"/>
                <w:color w:val="auto"/>
                <w:szCs w:val="21"/>
              </w:rPr>
              <w:t>、NO</w:t>
            </w:r>
            <w:r>
              <w:rPr>
                <w:rFonts w:hint="eastAsia"/>
                <w:color w:val="auto"/>
                <w:szCs w:val="21"/>
                <w:vertAlign w:val="subscript"/>
              </w:rPr>
              <w:t>2</w:t>
            </w:r>
            <w:r>
              <w:rPr>
                <w:rFonts w:hint="eastAsia"/>
                <w:color w:val="auto"/>
                <w:szCs w:val="21"/>
              </w:rPr>
              <w:t>、PM</w:t>
            </w:r>
            <w:r>
              <w:rPr>
                <w:rFonts w:hint="eastAsia"/>
                <w:color w:val="auto"/>
                <w:szCs w:val="21"/>
                <w:vertAlign w:val="subscript"/>
              </w:rPr>
              <w:t>10</w:t>
            </w:r>
            <w:r>
              <w:rPr>
                <w:rFonts w:hint="eastAsia"/>
                <w:color w:val="auto"/>
                <w:szCs w:val="21"/>
              </w:rPr>
              <w:t>、PM</w:t>
            </w:r>
            <w:r>
              <w:rPr>
                <w:rFonts w:hint="eastAsia"/>
                <w:color w:val="auto"/>
                <w:szCs w:val="21"/>
                <w:vertAlign w:val="subscript"/>
              </w:rPr>
              <w:t>2.5</w:t>
            </w:r>
            <w:r>
              <w:rPr>
                <w:rFonts w:hint="eastAsia"/>
                <w:color w:val="auto"/>
                <w:szCs w:val="21"/>
              </w:rPr>
              <w:t>、CO、O</w:t>
            </w:r>
            <w:r>
              <w:rPr>
                <w:rFonts w:hint="eastAsia"/>
                <w:color w:val="auto"/>
                <w:szCs w:val="21"/>
                <w:vertAlign w:val="subscript"/>
              </w:rPr>
              <w:t>3</w:t>
            </w:r>
            <w:r>
              <w:rPr>
                <w:rFonts w:hint="eastAsia"/>
                <w:color w:val="auto"/>
                <w:szCs w:val="21"/>
              </w:rPr>
              <w:t>执行《环境空气质量标准》（GB3095-2012）及2018年修改单的二级标准要求。采用南朗空气质量监测站点的监测数据，根据《中山市202</w:t>
            </w:r>
            <w:r>
              <w:rPr>
                <w:rFonts w:hint="eastAsia"/>
                <w:color w:val="auto"/>
                <w:szCs w:val="21"/>
                <w:lang w:val="en-US" w:eastAsia="zh-CN"/>
              </w:rPr>
              <w:t>4</w:t>
            </w:r>
            <w:r>
              <w:rPr>
                <w:rFonts w:hint="eastAsia"/>
                <w:color w:val="auto"/>
                <w:szCs w:val="21"/>
              </w:rPr>
              <w:t>年环境空气质量监测站点数据（南朗站）》，SO</w:t>
            </w:r>
            <w:r>
              <w:rPr>
                <w:rFonts w:hint="eastAsia"/>
                <w:color w:val="auto"/>
                <w:szCs w:val="21"/>
                <w:vertAlign w:val="subscript"/>
              </w:rPr>
              <w:t>2</w:t>
            </w:r>
            <w:r>
              <w:rPr>
                <w:rFonts w:hint="eastAsia"/>
                <w:color w:val="auto"/>
                <w:szCs w:val="21"/>
              </w:rPr>
              <w:t>、NO</w:t>
            </w:r>
            <w:r>
              <w:rPr>
                <w:rFonts w:hint="eastAsia"/>
                <w:color w:val="auto"/>
                <w:szCs w:val="21"/>
                <w:vertAlign w:val="subscript"/>
              </w:rPr>
              <w:t>2</w:t>
            </w:r>
            <w:r>
              <w:rPr>
                <w:rFonts w:hint="eastAsia"/>
                <w:color w:val="auto"/>
                <w:szCs w:val="21"/>
              </w:rPr>
              <w:t>、PM</w:t>
            </w:r>
            <w:r>
              <w:rPr>
                <w:rFonts w:hint="eastAsia"/>
                <w:color w:val="auto"/>
                <w:szCs w:val="21"/>
                <w:vertAlign w:val="subscript"/>
              </w:rPr>
              <w:t>10</w:t>
            </w:r>
            <w:r>
              <w:rPr>
                <w:rFonts w:hint="eastAsia"/>
                <w:color w:val="auto"/>
                <w:szCs w:val="21"/>
              </w:rPr>
              <w:t>、PM</w:t>
            </w:r>
            <w:r>
              <w:rPr>
                <w:rFonts w:hint="eastAsia"/>
                <w:color w:val="auto"/>
                <w:szCs w:val="21"/>
                <w:vertAlign w:val="subscript"/>
              </w:rPr>
              <w:t>2.5</w:t>
            </w:r>
            <w:r>
              <w:rPr>
                <w:rFonts w:hint="eastAsia"/>
                <w:color w:val="auto"/>
                <w:szCs w:val="21"/>
              </w:rPr>
              <w:t>、CO、O</w:t>
            </w:r>
            <w:r>
              <w:rPr>
                <w:rFonts w:hint="eastAsia"/>
                <w:color w:val="auto"/>
                <w:szCs w:val="21"/>
                <w:vertAlign w:val="subscript"/>
              </w:rPr>
              <w:t>3</w:t>
            </w:r>
            <w:r>
              <w:rPr>
                <w:rFonts w:hint="eastAsia"/>
                <w:color w:val="auto"/>
                <w:szCs w:val="21"/>
              </w:rPr>
              <w:t>的监测结果见下表。</w:t>
            </w:r>
          </w:p>
          <w:p w14:paraId="23D0643F">
            <w:pPr>
              <w:pStyle w:val="9"/>
              <w:ind w:left="630" w:leftChars="0" w:firstLineChars="0"/>
              <w:rPr>
                <w:color w:val="auto"/>
                <w:szCs w:val="21"/>
              </w:rPr>
            </w:pPr>
            <w:r>
              <w:rPr>
                <w:rFonts w:hint="eastAsia"/>
                <w:color w:val="auto"/>
                <w:szCs w:val="21"/>
              </w:rPr>
              <w:t>基本污染物环境质量现状</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411"/>
              <w:gridCol w:w="512"/>
              <w:gridCol w:w="697"/>
              <w:gridCol w:w="1594"/>
              <w:gridCol w:w="905"/>
              <w:gridCol w:w="1167"/>
              <w:gridCol w:w="966"/>
              <w:gridCol w:w="812"/>
              <w:gridCol w:w="713"/>
            </w:tblGrid>
            <w:tr w14:paraId="44807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restart"/>
                  <w:tcBorders>
                    <w:top w:val="single" w:color="auto" w:sz="4" w:space="0"/>
                    <w:left w:val="single" w:color="auto" w:sz="4" w:space="0"/>
                    <w:right w:val="single" w:color="auto" w:sz="4" w:space="0"/>
                  </w:tcBorders>
                  <w:vAlign w:val="center"/>
                </w:tcPr>
                <w:p w14:paraId="7D555A0A">
                  <w:pPr>
                    <w:snapToGrid w:val="0"/>
                    <w:spacing w:line="0" w:lineRule="atLeast"/>
                    <w:jc w:val="center"/>
                    <w:rPr>
                      <w:b/>
                      <w:bCs/>
                      <w:color w:val="auto"/>
                      <w:szCs w:val="21"/>
                    </w:rPr>
                  </w:pPr>
                  <w:r>
                    <w:rPr>
                      <w:b/>
                      <w:bCs/>
                      <w:color w:val="auto"/>
                      <w:szCs w:val="21"/>
                    </w:rPr>
                    <w:t>点位名称</w:t>
                  </w:r>
                </w:p>
              </w:tc>
              <w:tc>
                <w:tcPr>
                  <w:tcW w:w="546" w:type="pct"/>
                  <w:gridSpan w:val="2"/>
                  <w:tcBorders>
                    <w:top w:val="single" w:color="auto" w:sz="4" w:space="0"/>
                    <w:left w:val="single" w:color="auto" w:sz="4" w:space="0"/>
                    <w:bottom w:val="single" w:color="auto" w:sz="4" w:space="0"/>
                    <w:right w:val="single" w:color="auto" w:sz="4" w:space="0"/>
                  </w:tcBorders>
                  <w:vAlign w:val="center"/>
                </w:tcPr>
                <w:p w14:paraId="26E8F285">
                  <w:pPr>
                    <w:snapToGrid w:val="0"/>
                    <w:spacing w:line="0" w:lineRule="atLeast"/>
                    <w:jc w:val="center"/>
                    <w:rPr>
                      <w:b/>
                      <w:bCs/>
                      <w:color w:val="auto"/>
                      <w:szCs w:val="21"/>
                    </w:rPr>
                  </w:pPr>
                  <w:r>
                    <w:rPr>
                      <w:b/>
                      <w:bCs/>
                      <w:color w:val="auto"/>
                      <w:szCs w:val="21"/>
                    </w:rPr>
                    <w:t>监测点坐标/m</w:t>
                  </w:r>
                </w:p>
              </w:tc>
              <w:tc>
                <w:tcPr>
                  <w:tcW w:w="413" w:type="pct"/>
                  <w:vMerge w:val="restart"/>
                  <w:tcBorders>
                    <w:top w:val="single" w:color="auto" w:sz="4" w:space="0"/>
                    <w:left w:val="single" w:color="auto" w:sz="4" w:space="0"/>
                    <w:right w:val="single" w:color="auto" w:sz="4" w:space="0"/>
                  </w:tcBorders>
                  <w:vAlign w:val="center"/>
                </w:tcPr>
                <w:p w14:paraId="4F0B25EF">
                  <w:pPr>
                    <w:snapToGrid w:val="0"/>
                    <w:spacing w:line="0" w:lineRule="atLeast"/>
                    <w:jc w:val="center"/>
                    <w:rPr>
                      <w:b/>
                      <w:bCs/>
                      <w:color w:val="auto"/>
                      <w:szCs w:val="21"/>
                    </w:rPr>
                  </w:pPr>
                  <w:r>
                    <w:rPr>
                      <w:b/>
                      <w:bCs/>
                      <w:color w:val="auto"/>
                      <w:szCs w:val="21"/>
                    </w:rPr>
                    <w:t>污染物</w:t>
                  </w:r>
                </w:p>
              </w:tc>
              <w:tc>
                <w:tcPr>
                  <w:tcW w:w="943" w:type="pct"/>
                  <w:vMerge w:val="restart"/>
                  <w:tcBorders>
                    <w:top w:val="single" w:color="auto" w:sz="4" w:space="0"/>
                    <w:left w:val="single" w:color="auto" w:sz="4" w:space="0"/>
                    <w:right w:val="single" w:color="auto" w:sz="4" w:space="0"/>
                  </w:tcBorders>
                  <w:vAlign w:val="center"/>
                </w:tcPr>
                <w:p w14:paraId="1FFBA225">
                  <w:pPr>
                    <w:snapToGrid w:val="0"/>
                    <w:spacing w:line="0" w:lineRule="atLeast"/>
                    <w:jc w:val="center"/>
                    <w:rPr>
                      <w:b/>
                      <w:bCs/>
                      <w:color w:val="auto"/>
                      <w:szCs w:val="21"/>
                    </w:rPr>
                  </w:pPr>
                  <w:r>
                    <w:rPr>
                      <w:b/>
                      <w:bCs/>
                      <w:color w:val="auto"/>
                      <w:szCs w:val="21"/>
                    </w:rPr>
                    <w:t>年评价指标</w:t>
                  </w:r>
                </w:p>
              </w:tc>
              <w:tc>
                <w:tcPr>
                  <w:tcW w:w="535" w:type="pct"/>
                  <w:vMerge w:val="restart"/>
                  <w:tcBorders>
                    <w:top w:val="single" w:color="auto" w:sz="4" w:space="0"/>
                    <w:left w:val="single" w:color="auto" w:sz="4" w:space="0"/>
                    <w:right w:val="single" w:color="auto" w:sz="4" w:space="0"/>
                  </w:tcBorders>
                  <w:vAlign w:val="center"/>
                </w:tcPr>
                <w:p w14:paraId="3F1BDDAF">
                  <w:pPr>
                    <w:snapToGrid w:val="0"/>
                    <w:spacing w:line="0" w:lineRule="atLeast"/>
                    <w:jc w:val="center"/>
                    <w:rPr>
                      <w:b/>
                      <w:bCs/>
                      <w:color w:val="auto"/>
                      <w:szCs w:val="21"/>
                    </w:rPr>
                  </w:pPr>
                  <w:r>
                    <w:rPr>
                      <w:b/>
                      <w:bCs/>
                      <w:color w:val="auto"/>
                      <w:szCs w:val="21"/>
                    </w:rPr>
                    <w:t>评价标准µg/m</w:t>
                  </w:r>
                  <w:r>
                    <w:rPr>
                      <w:b/>
                      <w:bCs/>
                      <w:color w:val="auto"/>
                      <w:szCs w:val="21"/>
                      <w:vertAlign w:val="superscript"/>
                    </w:rPr>
                    <w:t>3</w:t>
                  </w:r>
                </w:p>
              </w:tc>
              <w:tc>
                <w:tcPr>
                  <w:tcW w:w="690" w:type="pct"/>
                  <w:vMerge w:val="restart"/>
                  <w:tcBorders>
                    <w:top w:val="single" w:color="auto" w:sz="4" w:space="0"/>
                    <w:left w:val="single" w:color="auto" w:sz="4" w:space="0"/>
                    <w:right w:val="single" w:color="auto" w:sz="4" w:space="0"/>
                  </w:tcBorders>
                  <w:vAlign w:val="center"/>
                </w:tcPr>
                <w:p w14:paraId="1271D82C">
                  <w:pPr>
                    <w:snapToGrid w:val="0"/>
                    <w:spacing w:line="0" w:lineRule="atLeast"/>
                    <w:jc w:val="center"/>
                    <w:rPr>
                      <w:b/>
                      <w:bCs/>
                      <w:color w:val="auto"/>
                      <w:szCs w:val="21"/>
                    </w:rPr>
                  </w:pPr>
                  <w:r>
                    <w:rPr>
                      <w:b/>
                      <w:bCs/>
                      <w:color w:val="auto"/>
                      <w:szCs w:val="21"/>
                    </w:rPr>
                    <w:t>现状浓度（µg/m</w:t>
                  </w:r>
                  <w:r>
                    <w:rPr>
                      <w:b/>
                      <w:bCs/>
                      <w:color w:val="auto"/>
                      <w:szCs w:val="21"/>
                      <w:vertAlign w:val="superscript"/>
                    </w:rPr>
                    <w:t>3</w:t>
                  </w:r>
                  <w:r>
                    <w:rPr>
                      <w:b/>
                      <w:bCs/>
                      <w:color w:val="auto"/>
                      <w:szCs w:val="21"/>
                    </w:rPr>
                    <w:t>）</w:t>
                  </w:r>
                </w:p>
              </w:tc>
              <w:tc>
                <w:tcPr>
                  <w:tcW w:w="571" w:type="pct"/>
                  <w:vMerge w:val="restart"/>
                  <w:tcBorders>
                    <w:top w:val="single" w:color="auto" w:sz="4" w:space="0"/>
                    <w:left w:val="single" w:color="auto" w:sz="4" w:space="0"/>
                    <w:right w:val="single" w:color="auto" w:sz="4" w:space="0"/>
                  </w:tcBorders>
                  <w:vAlign w:val="center"/>
                </w:tcPr>
                <w:p w14:paraId="3BCDAAB3">
                  <w:pPr>
                    <w:snapToGrid w:val="0"/>
                    <w:spacing w:line="0" w:lineRule="atLeast"/>
                    <w:jc w:val="center"/>
                    <w:rPr>
                      <w:b/>
                      <w:bCs/>
                      <w:color w:val="auto"/>
                      <w:szCs w:val="21"/>
                    </w:rPr>
                  </w:pPr>
                  <w:r>
                    <w:rPr>
                      <w:b/>
                      <w:bCs/>
                      <w:color w:val="auto"/>
                      <w:szCs w:val="21"/>
                    </w:rPr>
                    <w:t>最大浓度占标率%</w:t>
                  </w:r>
                </w:p>
              </w:tc>
              <w:tc>
                <w:tcPr>
                  <w:tcW w:w="481" w:type="pct"/>
                  <w:vMerge w:val="restart"/>
                  <w:tcBorders>
                    <w:top w:val="single" w:color="auto" w:sz="4" w:space="0"/>
                    <w:left w:val="single" w:color="auto" w:sz="4" w:space="0"/>
                    <w:right w:val="single" w:color="auto" w:sz="4" w:space="0"/>
                  </w:tcBorders>
                  <w:vAlign w:val="center"/>
                </w:tcPr>
                <w:p w14:paraId="617F5711">
                  <w:pPr>
                    <w:snapToGrid w:val="0"/>
                    <w:spacing w:line="0" w:lineRule="atLeast"/>
                    <w:jc w:val="center"/>
                    <w:rPr>
                      <w:b/>
                      <w:bCs/>
                      <w:color w:val="auto"/>
                      <w:szCs w:val="21"/>
                    </w:rPr>
                  </w:pPr>
                  <w:r>
                    <w:rPr>
                      <w:b/>
                      <w:bCs/>
                      <w:color w:val="auto"/>
                      <w:szCs w:val="21"/>
                    </w:rPr>
                    <w:t>超标频率%</w:t>
                  </w:r>
                </w:p>
              </w:tc>
              <w:tc>
                <w:tcPr>
                  <w:tcW w:w="422" w:type="pct"/>
                  <w:vMerge w:val="restart"/>
                  <w:tcBorders>
                    <w:top w:val="single" w:color="auto" w:sz="4" w:space="0"/>
                    <w:left w:val="single" w:color="auto" w:sz="4" w:space="0"/>
                    <w:right w:val="single" w:color="auto" w:sz="4" w:space="0"/>
                  </w:tcBorders>
                  <w:vAlign w:val="center"/>
                </w:tcPr>
                <w:p w14:paraId="1656FE26">
                  <w:pPr>
                    <w:snapToGrid w:val="0"/>
                    <w:spacing w:line="0" w:lineRule="atLeast"/>
                    <w:jc w:val="center"/>
                    <w:rPr>
                      <w:b/>
                      <w:bCs/>
                      <w:color w:val="auto"/>
                      <w:szCs w:val="21"/>
                    </w:rPr>
                  </w:pPr>
                  <w:r>
                    <w:rPr>
                      <w:b/>
                      <w:bCs/>
                      <w:color w:val="auto"/>
                      <w:szCs w:val="21"/>
                    </w:rPr>
                    <w:t>达标情况</w:t>
                  </w:r>
                </w:p>
              </w:tc>
            </w:tr>
            <w:tr w14:paraId="0D7D8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bottom w:val="single" w:color="auto" w:sz="4" w:space="0"/>
                    <w:right w:val="single" w:color="auto" w:sz="4" w:space="0"/>
                  </w:tcBorders>
                  <w:vAlign w:val="center"/>
                </w:tcPr>
                <w:p w14:paraId="09FEAA51">
                  <w:pPr>
                    <w:snapToGrid w:val="0"/>
                    <w:spacing w:line="0" w:lineRule="atLeast"/>
                    <w:jc w:val="center"/>
                    <w:rPr>
                      <w:b/>
                      <w:bCs/>
                      <w:color w:val="auto"/>
                      <w:szCs w:val="21"/>
                    </w:rPr>
                  </w:pPr>
                </w:p>
              </w:tc>
              <w:tc>
                <w:tcPr>
                  <w:tcW w:w="243" w:type="pct"/>
                  <w:tcBorders>
                    <w:top w:val="single" w:color="auto" w:sz="4" w:space="0"/>
                    <w:left w:val="single" w:color="auto" w:sz="4" w:space="0"/>
                    <w:bottom w:val="single" w:color="auto" w:sz="4" w:space="0"/>
                    <w:right w:val="single" w:color="auto" w:sz="4" w:space="0"/>
                  </w:tcBorders>
                  <w:vAlign w:val="center"/>
                </w:tcPr>
                <w:p w14:paraId="7397A9E8">
                  <w:pPr>
                    <w:snapToGrid w:val="0"/>
                    <w:spacing w:line="0" w:lineRule="atLeast"/>
                    <w:jc w:val="center"/>
                    <w:rPr>
                      <w:b/>
                      <w:bCs/>
                      <w:color w:val="auto"/>
                      <w:szCs w:val="21"/>
                    </w:rPr>
                  </w:pPr>
                  <w:r>
                    <w:rPr>
                      <w:b/>
                      <w:bCs/>
                      <w:color w:val="auto"/>
                      <w:szCs w:val="21"/>
                    </w:rPr>
                    <w:t>X</w:t>
                  </w:r>
                </w:p>
              </w:tc>
              <w:tc>
                <w:tcPr>
                  <w:tcW w:w="303" w:type="pct"/>
                  <w:tcBorders>
                    <w:top w:val="single" w:color="auto" w:sz="4" w:space="0"/>
                    <w:left w:val="single" w:color="auto" w:sz="4" w:space="0"/>
                    <w:bottom w:val="single" w:color="auto" w:sz="4" w:space="0"/>
                    <w:right w:val="single" w:color="auto" w:sz="4" w:space="0"/>
                  </w:tcBorders>
                  <w:vAlign w:val="center"/>
                </w:tcPr>
                <w:p w14:paraId="24D8225A">
                  <w:pPr>
                    <w:snapToGrid w:val="0"/>
                    <w:spacing w:line="0" w:lineRule="atLeast"/>
                    <w:jc w:val="center"/>
                    <w:rPr>
                      <w:b/>
                      <w:bCs/>
                      <w:color w:val="auto"/>
                      <w:szCs w:val="21"/>
                    </w:rPr>
                  </w:pPr>
                  <w:r>
                    <w:rPr>
                      <w:b/>
                      <w:bCs/>
                      <w:color w:val="auto"/>
                      <w:szCs w:val="21"/>
                    </w:rPr>
                    <w:t>Y</w:t>
                  </w:r>
                </w:p>
              </w:tc>
              <w:tc>
                <w:tcPr>
                  <w:tcW w:w="413" w:type="pct"/>
                  <w:vMerge w:val="continue"/>
                  <w:tcBorders>
                    <w:left w:val="single" w:color="auto" w:sz="4" w:space="0"/>
                    <w:bottom w:val="single" w:color="auto" w:sz="4" w:space="0"/>
                    <w:right w:val="single" w:color="auto" w:sz="4" w:space="0"/>
                  </w:tcBorders>
                  <w:vAlign w:val="center"/>
                </w:tcPr>
                <w:p w14:paraId="74ED600C">
                  <w:pPr>
                    <w:snapToGrid w:val="0"/>
                    <w:spacing w:line="0" w:lineRule="atLeast"/>
                    <w:jc w:val="center"/>
                    <w:rPr>
                      <w:b/>
                      <w:bCs/>
                      <w:color w:val="auto"/>
                      <w:szCs w:val="21"/>
                    </w:rPr>
                  </w:pPr>
                </w:p>
              </w:tc>
              <w:tc>
                <w:tcPr>
                  <w:tcW w:w="943" w:type="pct"/>
                  <w:vMerge w:val="continue"/>
                  <w:tcBorders>
                    <w:left w:val="single" w:color="auto" w:sz="4" w:space="0"/>
                    <w:bottom w:val="single" w:color="auto" w:sz="4" w:space="0"/>
                    <w:right w:val="single" w:color="auto" w:sz="4" w:space="0"/>
                  </w:tcBorders>
                  <w:vAlign w:val="center"/>
                </w:tcPr>
                <w:p w14:paraId="2E944444">
                  <w:pPr>
                    <w:snapToGrid w:val="0"/>
                    <w:spacing w:line="0" w:lineRule="atLeast"/>
                    <w:jc w:val="center"/>
                    <w:rPr>
                      <w:b/>
                      <w:bCs/>
                      <w:color w:val="auto"/>
                      <w:szCs w:val="21"/>
                    </w:rPr>
                  </w:pPr>
                </w:p>
              </w:tc>
              <w:tc>
                <w:tcPr>
                  <w:tcW w:w="535" w:type="pct"/>
                  <w:vMerge w:val="continue"/>
                  <w:tcBorders>
                    <w:left w:val="single" w:color="auto" w:sz="4" w:space="0"/>
                    <w:bottom w:val="single" w:color="auto" w:sz="4" w:space="0"/>
                    <w:right w:val="single" w:color="auto" w:sz="4" w:space="0"/>
                  </w:tcBorders>
                  <w:vAlign w:val="center"/>
                </w:tcPr>
                <w:p w14:paraId="5736BCC7">
                  <w:pPr>
                    <w:snapToGrid w:val="0"/>
                    <w:spacing w:line="0" w:lineRule="atLeast"/>
                    <w:jc w:val="center"/>
                    <w:rPr>
                      <w:b/>
                      <w:bCs/>
                      <w:color w:val="auto"/>
                      <w:szCs w:val="21"/>
                    </w:rPr>
                  </w:pPr>
                </w:p>
              </w:tc>
              <w:tc>
                <w:tcPr>
                  <w:tcW w:w="690" w:type="pct"/>
                  <w:vMerge w:val="continue"/>
                  <w:tcBorders>
                    <w:left w:val="single" w:color="auto" w:sz="4" w:space="0"/>
                    <w:bottom w:val="single" w:color="auto" w:sz="4" w:space="0"/>
                    <w:right w:val="single" w:color="auto" w:sz="4" w:space="0"/>
                  </w:tcBorders>
                  <w:vAlign w:val="center"/>
                </w:tcPr>
                <w:p w14:paraId="6A9B85BF">
                  <w:pPr>
                    <w:snapToGrid w:val="0"/>
                    <w:spacing w:line="0" w:lineRule="atLeast"/>
                    <w:jc w:val="center"/>
                    <w:rPr>
                      <w:b/>
                      <w:bCs/>
                      <w:color w:val="auto"/>
                      <w:szCs w:val="21"/>
                    </w:rPr>
                  </w:pPr>
                </w:p>
              </w:tc>
              <w:tc>
                <w:tcPr>
                  <w:tcW w:w="571" w:type="pct"/>
                  <w:vMerge w:val="continue"/>
                  <w:tcBorders>
                    <w:left w:val="single" w:color="auto" w:sz="4" w:space="0"/>
                    <w:bottom w:val="single" w:color="auto" w:sz="4" w:space="0"/>
                    <w:right w:val="single" w:color="auto" w:sz="4" w:space="0"/>
                  </w:tcBorders>
                  <w:vAlign w:val="center"/>
                </w:tcPr>
                <w:p w14:paraId="4DFE795F">
                  <w:pPr>
                    <w:snapToGrid w:val="0"/>
                    <w:spacing w:line="0" w:lineRule="atLeast"/>
                    <w:jc w:val="center"/>
                    <w:rPr>
                      <w:b/>
                      <w:bCs/>
                      <w:color w:val="auto"/>
                      <w:szCs w:val="21"/>
                    </w:rPr>
                  </w:pPr>
                </w:p>
              </w:tc>
              <w:tc>
                <w:tcPr>
                  <w:tcW w:w="481" w:type="pct"/>
                  <w:vMerge w:val="continue"/>
                  <w:tcBorders>
                    <w:left w:val="single" w:color="auto" w:sz="4" w:space="0"/>
                    <w:bottom w:val="single" w:color="auto" w:sz="4" w:space="0"/>
                    <w:right w:val="single" w:color="auto" w:sz="4" w:space="0"/>
                  </w:tcBorders>
                  <w:vAlign w:val="center"/>
                </w:tcPr>
                <w:p w14:paraId="3F0404E1">
                  <w:pPr>
                    <w:snapToGrid w:val="0"/>
                    <w:spacing w:line="0" w:lineRule="atLeast"/>
                    <w:jc w:val="center"/>
                    <w:rPr>
                      <w:b/>
                      <w:bCs/>
                      <w:color w:val="auto"/>
                      <w:szCs w:val="21"/>
                    </w:rPr>
                  </w:pPr>
                </w:p>
              </w:tc>
              <w:tc>
                <w:tcPr>
                  <w:tcW w:w="422" w:type="pct"/>
                  <w:vMerge w:val="continue"/>
                  <w:tcBorders>
                    <w:left w:val="single" w:color="auto" w:sz="4" w:space="0"/>
                    <w:bottom w:val="single" w:color="auto" w:sz="4" w:space="0"/>
                    <w:right w:val="single" w:color="auto" w:sz="4" w:space="0"/>
                  </w:tcBorders>
                  <w:vAlign w:val="center"/>
                </w:tcPr>
                <w:p w14:paraId="5EB0BED8">
                  <w:pPr>
                    <w:snapToGrid w:val="0"/>
                    <w:spacing w:line="0" w:lineRule="atLeast"/>
                    <w:jc w:val="center"/>
                    <w:rPr>
                      <w:b/>
                      <w:bCs/>
                      <w:color w:val="auto"/>
                      <w:szCs w:val="21"/>
                    </w:rPr>
                  </w:pPr>
                </w:p>
              </w:tc>
            </w:tr>
            <w:tr w14:paraId="6C000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6" w:type="dxa"/>
                  <w:vMerge w:val="restart"/>
                  <w:tcBorders>
                    <w:top w:val="single" w:color="auto" w:sz="4" w:space="0"/>
                    <w:left w:val="single" w:color="auto" w:sz="4" w:space="0"/>
                    <w:right w:val="single" w:color="auto" w:sz="4" w:space="0"/>
                  </w:tcBorders>
                  <w:vAlign w:val="center"/>
                </w:tcPr>
                <w:p w14:paraId="126A503B">
                  <w:pPr>
                    <w:jc w:val="center"/>
                    <w:rPr>
                      <w:color w:val="auto"/>
                      <w:szCs w:val="21"/>
                    </w:rPr>
                  </w:pPr>
                  <w:r>
                    <w:rPr>
                      <w:rFonts w:hint="eastAsia"/>
                      <w:bCs/>
                      <w:color w:val="auto"/>
                      <w:szCs w:val="21"/>
                    </w:rPr>
                    <w:t>南朗站</w:t>
                  </w:r>
                </w:p>
              </w:tc>
              <w:tc>
                <w:tcPr>
                  <w:tcW w:w="546" w:type="pct"/>
                  <w:gridSpan w:val="2"/>
                  <w:vMerge w:val="restart"/>
                  <w:tcBorders>
                    <w:top w:val="single" w:color="auto" w:sz="4" w:space="0"/>
                    <w:left w:val="single" w:color="auto" w:sz="4" w:space="0"/>
                    <w:right w:val="single" w:color="auto" w:sz="4" w:space="0"/>
                  </w:tcBorders>
                  <w:vAlign w:val="center"/>
                </w:tcPr>
                <w:p w14:paraId="6A6D4840">
                  <w:pPr>
                    <w:jc w:val="center"/>
                    <w:rPr>
                      <w:color w:val="auto"/>
                      <w:szCs w:val="21"/>
                    </w:rPr>
                  </w:pPr>
                  <w:r>
                    <w:rPr>
                      <w:rFonts w:hint="eastAsia"/>
                      <w:bCs/>
                      <w:color w:val="auto"/>
                      <w:szCs w:val="21"/>
                    </w:rPr>
                    <w:t>南朗站</w:t>
                  </w:r>
                </w:p>
              </w:tc>
              <w:tc>
                <w:tcPr>
                  <w:tcW w:w="413" w:type="pct"/>
                  <w:vMerge w:val="restart"/>
                  <w:tcBorders>
                    <w:top w:val="single" w:color="auto" w:sz="4" w:space="0"/>
                    <w:left w:val="single" w:color="auto" w:sz="4" w:space="0"/>
                    <w:right w:val="single" w:color="auto" w:sz="4" w:space="0"/>
                  </w:tcBorders>
                  <w:vAlign w:val="center"/>
                </w:tcPr>
                <w:p w14:paraId="3877A15C">
                  <w:pPr>
                    <w:jc w:val="center"/>
                    <w:rPr>
                      <w:color w:val="auto"/>
                      <w:szCs w:val="21"/>
                    </w:rPr>
                  </w:pPr>
                  <w:r>
                    <w:rPr>
                      <w:color w:val="auto"/>
                      <w:szCs w:val="21"/>
                    </w:rPr>
                    <w:t>SO</w:t>
                  </w:r>
                  <w:r>
                    <w:rPr>
                      <w:color w:val="auto"/>
                      <w:szCs w:val="21"/>
                      <w:vertAlign w:val="subscript"/>
                    </w:rPr>
                    <w:t>2</w:t>
                  </w:r>
                </w:p>
              </w:tc>
              <w:tc>
                <w:tcPr>
                  <w:tcW w:w="943" w:type="pct"/>
                  <w:tcBorders>
                    <w:top w:val="single" w:color="auto" w:sz="4" w:space="0"/>
                    <w:left w:val="single" w:color="auto" w:sz="4" w:space="0"/>
                    <w:right w:val="single" w:color="auto" w:sz="4" w:space="0"/>
                  </w:tcBorders>
                  <w:vAlign w:val="center"/>
                </w:tcPr>
                <w:p w14:paraId="73657509">
                  <w:pPr>
                    <w:jc w:val="center"/>
                    <w:rPr>
                      <w:color w:val="auto"/>
                      <w:szCs w:val="21"/>
                    </w:rPr>
                  </w:pPr>
                  <w:r>
                    <w:rPr>
                      <w:color w:val="auto"/>
                      <w:szCs w:val="21"/>
                    </w:rPr>
                    <w:t>24小时平均第98百分位数</w:t>
                  </w:r>
                </w:p>
              </w:tc>
              <w:tc>
                <w:tcPr>
                  <w:tcW w:w="535" w:type="pct"/>
                  <w:tcBorders>
                    <w:top w:val="single" w:color="auto" w:sz="4" w:space="0"/>
                    <w:left w:val="single" w:color="auto" w:sz="4" w:space="0"/>
                    <w:bottom w:val="single" w:color="auto" w:sz="4" w:space="0"/>
                    <w:right w:val="single" w:color="auto" w:sz="4" w:space="0"/>
                  </w:tcBorders>
                  <w:vAlign w:val="center"/>
                </w:tcPr>
                <w:p w14:paraId="32B17B12">
                  <w:pPr>
                    <w:snapToGrid w:val="0"/>
                    <w:spacing w:line="0" w:lineRule="atLeast"/>
                    <w:jc w:val="center"/>
                    <w:rPr>
                      <w:color w:val="auto"/>
                      <w:szCs w:val="21"/>
                    </w:rPr>
                  </w:pPr>
                  <w:r>
                    <w:rPr>
                      <w:color w:val="auto"/>
                      <w:szCs w:val="21"/>
                    </w:rPr>
                    <w:t>150</w:t>
                  </w:r>
                </w:p>
              </w:tc>
              <w:tc>
                <w:tcPr>
                  <w:tcW w:w="690" w:type="pct"/>
                  <w:tcBorders>
                    <w:top w:val="single" w:color="auto" w:sz="4" w:space="0"/>
                    <w:left w:val="single" w:color="auto" w:sz="4" w:space="0"/>
                    <w:bottom w:val="single" w:color="auto" w:sz="4" w:space="0"/>
                    <w:right w:val="single" w:color="auto" w:sz="4" w:space="0"/>
                  </w:tcBorders>
                  <w:vAlign w:val="center"/>
                </w:tcPr>
                <w:p w14:paraId="1A93F361">
                  <w:pPr>
                    <w:pStyle w:val="175"/>
                    <w:rPr>
                      <w:rFonts w:hint="default" w:hAnsi="Times New Roman" w:eastAsia="宋体"/>
                      <w:color w:val="auto"/>
                      <w:lang w:val="en-US" w:eastAsia="zh-CN"/>
                    </w:rPr>
                  </w:pPr>
                  <w:r>
                    <w:rPr>
                      <w:rFonts w:hint="eastAsia" w:hAnsi="Times New Roman"/>
                      <w:color w:val="auto"/>
                      <w:lang w:val="en-US" w:eastAsia="zh-CN"/>
                    </w:rPr>
                    <w:t>10</w:t>
                  </w:r>
                </w:p>
              </w:tc>
              <w:tc>
                <w:tcPr>
                  <w:tcW w:w="571" w:type="pct"/>
                  <w:tcBorders>
                    <w:top w:val="single" w:color="auto" w:sz="4" w:space="0"/>
                    <w:left w:val="single" w:color="auto" w:sz="4" w:space="0"/>
                    <w:bottom w:val="single" w:color="auto" w:sz="4" w:space="0"/>
                    <w:right w:val="single" w:color="auto" w:sz="4" w:space="0"/>
                  </w:tcBorders>
                  <w:vAlign w:val="center"/>
                </w:tcPr>
                <w:p w14:paraId="2C2517D7">
                  <w:pPr>
                    <w:snapToGrid w:val="0"/>
                    <w:spacing w:line="0" w:lineRule="atLeast"/>
                    <w:jc w:val="center"/>
                    <w:rPr>
                      <w:rFonts w:hint="default" w:eastAsia="宋体"/>
                      <w:color w:val="auto"/>
                      <w:szCs w:val="21"/>
                      <w:lang w:val="en-US" w:eastAsia="zh-CN"/>
                    </w:rPr>
                  </w:pPr>
                  <w:r>
                    <w:rPr>
                      <w:rFonts w:hint="eastAsia"/>
                      <w:color w:val="auto"/>
                      <w:szCs w:val="21"/>
                    </w:rPr>
                    <w:t>7</w:t>
                  </w:r>
                  <w:r>
                    <w:rPr>
                      <w:rFonts w:hint="eastAsia"/>
                      <w:color w:val="auto"/>
                      <w:szCs w:val="21"/>
                      <w:lang w:eastAsia="zh-CN"/>
                    </w:rPr>
                    <w:t>.</w:t>
                  </w:r>
                  <w:r>
                    <w:rPr>
                      <w:rFonts w:hint="eastAsia"/>
                      <w:color w:val="auto"/>
                      <w:szCs w:val="21"/>
                      <w:lang w:val="en-US" w:eastAsia="zh-CN"/>
                    </w:rPr>
                    <w:t>3</w:t>
                  </w:r>
                </w:p>
              </w:tc>
              <w:tc>
                <w:tcPr>
                  <w:tcW w:w="481" w:type="pct"/>
                  <w:tcBorders>
                    <w:top w:val="single" w:color="auto" w:sz="4" w:space="0"/>
                    <w:left w:val="single" w:color="auto" w:sz="4" w:space="0"/>
                    <w:right w:val="single" w:color="auto" w:sz="4" w:space="0"/>
                  </w:tcBorders>
                  <w:vAlign w:val="center"/>
                </w:tcPr>
                <w:p w14:paraId="63B26C97">
                  <w:pPr>
                    <w:snapToGrid w:val="0"/>
                    <w:spacing w:line="0" w:lineRule="atLeast"/>
                    <w:jc w:val="center"/>
                    <w:rPr>
                      <w:color w:val="auto"/>
                      <w:szCs w:val="21"/>
                    </w:rPr>
                  </w:pPr>
                  <w:r>
                    <w:rPr>
                      <w:rFonts w:hint="eastAsia"/>
                      <w:color w:val="auto"/>
                      <w:szCs w:val="21"/>
                    </w:rPr>
                    <w:t>0.0</w:t>
                  </w:r>
                </w:p>
              </w:tc>
              <w:tc>
                <w:tcPr>
                  <w:tcW w:w="422" w:type="pct"/>
                  <w:tcBorders>
                    <w:top w:val="single" w:color="auto" w:sz="4" w:space="0"/>
                    <w:left w:val="single" w:color="auto" w:sz="4" w:space="0"/>
                    <w:bottom w:val="single" w:color="auto" w:sz="4" w:space="0"/>
                    <w:right w:val="single" w:color="auto" w:sz="4" w:space="0"/>
                  </w:tcBorders>
                  <w:vAlign w:val="center"/>
                </w:tcPr>
                <w:p w14:paraId="204CB250">
                  <w:pPr>
                    <w:jc w:val="center"/>
                    <w:rPr>
                      <w:color w:val="auto"/>
                      <w:szCs w:val="21"/>
                    </w:rPr>
                  </w:pPr>
                  <w:r>
                    <w:rPr>
                      <w:color w:val="auto"/>
                      <w:szCs w:val="21"/>
                    </w:rPr>
                    <w:t>达标</w:t>
                  </w:r>
                </w:p>
              </w:tc>
            </w:tr>
            <w:tr w14:paraId="45C15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69A001AC">
                  <w:pPr>
                    <w:snapToGrid w:val="0"/>
                    <w:spacing w:line="0" w:lineRule="atLeast"/>
                    <w:jc w:val="center"/>
                    <w:rPr>
                      <w:color w:val="auto"/>
                      <w:szCs w:val="21"/>
                    </w:rPr>
                  </w:pPr>
                </w:p>
              </w:tc>
              <w:tc>
                <w:tcPr>
                  <w:tcW w:w="546" w:type="pct"/>
                  <w:gridSpan w:val="2"/>
                  <w:vMerge w:val="continue"/>
                  <w:tcBorders>
                    <w:left w:val="single" w:color="auto" w:sz="4" w:space="0"/>
                    <w:right w:val="single" w:color="auto" w:sz="4" w:space="0"/>
                  </w:tcBorders>
                  <w:vAlign w:val="center"/>
                </w:tcPr>
                <w:p w14:paraId="02DEADA7">
                  <w:pPr>
                    <w:pStyle w:val="175"/>
                    <w:rPr>
                      <w:rFonts w:hAnsi="Times New Roman"/>
                      <w:color w:val="auto"/>
                    </w:rPr>
                  </w:pPr>
                </w:p>
              </w:tc>
              <w:tc>
                <w:tcPr>
                  <w:tcW w:w="413" w:type="pct"/>
                  <w:vMerge w:val="continue"/>
                  <w:tcBorders>
                    <w:left w:val="single" w:color="auto" w:sz="4" w:space="0"/>
                    <w:right w:val="single" w:color="auto" w:sz="4" w:space="0"/>
                  </w:tcBorders>
                  <w:vAlign w:val="center"/>
                </w:tcPr>
                <w:p w14:paraId="28A06732">
                  <w:pPr>
                    <w:pStyle w:val="175"/>
                    <w:rPr>
                      <w:rFonts w:hAnsi="Times New Roman"/>
                      <w:color w:val="auto"/>
                    </w:rPr>
                  </w:pPr>
                </w:p>
              </w:tc>
              <w:tc>
                <w:tcPr>
                  <w:tcW w:w="943" w:type="pct"/>
                  <w:tcBorders>
                    <w:left w:val="single" w:color="auto" w:sz="4" w:space="0"/>
                    <w:right w:val="single" w:color="auto" w:sz="4" w:space="0"/>
                  </w:tcBorders>
                  <w:vAlign w:val="center"/>
                </w:tcPr>
                <w:p w14:paraId="7E703547">
                  <w:pPr>
                    <w:jc w:val="center"/>
                    <w:rPr>
                      <w:color w:val="auto"/>
                      <w:szCs w:val="21"/>
                    </w:rPr>
                  </w:pPr>
                  <w:r>
                    <w:rPr>
                      <w:color w:val="auto"/>
                      <w:szCs w:val="21"/>
                    </w:rPr>
                    <w:t>年平均</w:t>
                  </w:r>
                </w:p>
              </w:tc>
              <w:tc>
                <w:tcPr>
                  <w:tcW w:w="535" w:type="pct"/>
                  <w:tcBorders>
                    <w:top w:val="single" w:color="auto" w:sz="4" w:space="0"/>
                    <w:left w:val="single" w:color="auto" w:sz="4" w:space="0"/>
                    <w:bottom w:val="single" w:color="auto" w:sz="4" w:space="0"/>
                    <w:right w:val="single" w:color="auto" w:sz="4" w:space="0"/>
                  </w:tcBorders>
                  <w:vAlign w:val="center"/>
                </w:tcPr>
                <w:p w14:paraId="6243EC89">
                  <w:pPr>
                    <w:snapToGrid w:val="0"/>
                    <w:spacing w:line="0" w:lineRule="atLeast"/>
                    <w:jc w:val="center"/>
                    <w:rPr>
                      <w:color w:val="auto"/>
                      <w:szCs w:val="21"/>
                    </w:rPr>
                  </w:pPr>
                  <w:r>
                    <w:rPr>
                      <w:color w:val="auto"/>
                      <w:szCs w:val="21"/>
                    </w:rPr>
                    <w:t>60</w:t>
                  </w:r>
                </w:p>
              </w:tc>
              <w:tc>
                <w:tcPr>
                  <w:tcW w:w="690" w:type="pct"/>
                  <w:tcBorders>
                    <w:top w:val="single" w:color="auto" w:sz="4" w:space="0"/>
                    <w:left w:val="single" w:color="auto" w:sz="4" w:space="0"/>
                    <w:bottom w:val="single" w:color="auto" w:sz="4" w:space="0"/>
                    <w:right w:val="single" w:color="auto" w:sz="4" w:space="0"/>
                  </w:tcBorders>
                  <w:vAlign w:val="center"/>
                </w:tcPr>
                <w:p w14:paraId="53F9F841">
                  <w:pPr>
                    <w:pStyle w:val="175"/>
                    <w:rPr>
                      <w:rFonts w:hint="eastAsia" w:hAnsi="Times New Roman" w:eastAsia="宋体"/>
                      <w:color w:val="auto"/>
                      <w:lang w:eastAsia="zh-CN"/>
                    </w:rPr>
                  </w:pPr>
                  <w:r>
                    <w:rPr>
                      <w:rFonts w:hint="eastAsia" w:hAnsi="Times New Roman"/>
                      <w:color w:val="auto"/>
                      <w:lang w:val="en-US" w:eastAsia="zh-CN"/>
                    </w:rPr>
                    <w:t>7</w:t>
                  </w:r>
                </w:p>
              </w:tc>
              <w:tc>
                <w:tcPr>
                  <w:tcW w:w="571" w:type="pct"/>
                  <w:tcBorders>
                    <w:top w:val="single" w:color="auto" w:sz="4" w:space="0"/>
                    <w:left w:val="single" w:color="auto" w:sz="4" w:space="0"/>
                    <w:bottom w:val="single" w:color="auto" w:sz="4" w:space="0"/>
                    <w:right w:val="single" w:color="auto" w:sz="4" w:space="0"/>
                  </w:tcBorders>
                  <w:vAlign w:val="center"/>
                </w:tcPr>
                <w:p w14:paraId="39C8A5BB">
                  <w:pPr>
                    <w:snapToGrid w:val="0"/>
                    <w:spacing w:line="0" w:lineRule="atLeast"/>
                    <w:jc w:val="center"/>
                    <w:rPr>
                      <w:color w:val="auto"/>
                      <w:szCs w:val="21"/>
                    </w:rPr>
                  </w:pPr>
                  <w:r>
                    <w:rPr>
                      <w:rFonts w:hint="eastAsia"/>
                      <w:color w:val="auto"/>
                      <w:szCs w:val="21"/>
                    </w:rPr>
                    <w:t>/</w:t>
                  </w:r>
                </w:p>
              </w:tc>
              <w:tc>
                <w:tcPr>
                  <w:tcW w:w="481" w:type="pct"/>
                  <w:tcBorders>
                    <w:left w:val="single" w:color="auto" w:sz="4" w:space="0"/>
                    <w:bottom w:val="single" w:color="auto" w:sz="4" w:space="0"/>
                    <w:right w:val="single" w:color="auto" w:sz="4" w:space="0"/>
                  </w:tcBorders>
                  <w:vAlign w:val="center"/>
                </w:tcPr>
                <w:p w14:paraId="1CEBE5FD">
                  <w:pPr>
                    <w:snapToGrid w:val="0"/>
                    <w:spacing w:line="0" w:lineRule="atLeast"/>
                    <w:jc w:val="center"/>
                    <w:rPr>
                      <w:b/>
                      <w:color w:val="auto"/>
                      <w:szCs w:val="21"/>
                    </w:rPr>
                  </w:pPr>
                  <w:r>
                    <w:rPr>
                      <w:rFonts w:hint="eastAsia"/>
                      <w:b/>
                      <w:color w:val="auto"/>
                      <w:szCs w:val="21"/>
                    </w:rPr>
                    <w:t>/</w:t>
                  </w:r>
                </w:p>
              </w:tc>
              <w:tc>
                <w:tcPr>
                  <w:tcW w:w="422" w:type="pct"/>
                  <w:tcBorders>
                    <w:top w:val="single" w:color="auto" w:sz="4" w:space="0"/>
                    <w:left w:val="single" w:color="auto" w:sz="4" w:space="0"/>
                    <w:bottom w:val="single" w:color="auto" w:sz="4" w:space="0"/>
                    <w:right w:val="single" w:color="auto" w:sz="4" w:space="0"/>
                  </w:tcBorders>
                  <w:vAlign w:val="center"/>
                </w:tcPr>
                <w:p w14:paraId="2E4FF541">
                  <w:pPr>
                    <w:jc w:val="center"/>
                    <w:rPr>
                      <w:color w:val="auto"/>
                      <w:szCs w:val="21"/>
                    </w:rPr>
                  </w:pPr>
                  <w:r>
                    <w:rPr>
                      <w:color w:val="auto"/>
                      <w:szCs w:val="21"/>
                    </w:rPr>
                    <w:t>达标</w:t>
                  </w:r>
                </w:p>
              </w:tc>
            </w:tr>
            <w:tr w14:paraId="07F4B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7CCEC195">
                  <w:pPr>
                    <w:snapToGrid w:val="0"/>
                    <w:spacing w:line="0" w:lineRule="atLeast"/>
                    <w:jc w:val="center"/>
                    <w:rPr>
                      <w:color w:val="auto"/>
                      <w:szCs w:val="21"/>
                    </w:rPr>
                  </w:pPr>
                </w:p>
              </w:tc>
              <w:tc>
                <w:tcPr>
                  <w:tcW w:w="923" w:type="dxa"/>
                  <w:gridSpan w:val="2"/>
                  <w:vMerge w:val="restart"/>
                  <w:tcBorders>
                    <w:left w:val="single" w:color="auto" w:sz="4" w:space="0"/>
                    <w:right w:val="single" w:color="auto" w:sz="4" w:space="0"/>
                  </w:tcBorders>
                  <w:vAlign w:val="center"/>
                </w:tcPr>
                <w:p w14:paraId="084B3C04">
                  <w:pPr>
                    <w:jc w:val="center"/>
                    <w:rPr>
                      <w:color w:val="auto"/>
                      <w:szCs w:val="21"/>
                    </w:rPr>
                  </w:pPr>
                  <w:r>
                    <w:rPr>
                      <w:rFonts w:hint="eastAsia"/>
                      <w:bCs/>
                      <w:color w:val="auto"/>
                      <w:szCs w:val="21"/>
                    </w:rPr>
                    <w:t>南朗站</w:t>
                  </w:r>
                </w:p>
              </w:tc>
              <w:tc>
                <w:tcPr>
                  <w:tcW w:w="413" w:type="pct"/>
                  <w:vMerge w:val="restart"/>
                  <w:tcBorders>
                    <w:left w:val="single" w:color="auto" w:sz="4" w:space="0"/>
                    <w:right w:val="single" w:color="auto" w:sz="4" w:space="0"/>
                  </w:tcBorders>
                  <w:vAlign w:val="center"/>
                </w:tcPr>
                <w:p w14:paraId="757CAE0F">
                  <w:pPr>
                    <w:jc w:val="center"/>
                    <w:rPr>
                      <w:color w:val="auto"/>
                      <w:szCs w:val="21"/>
                    </w:rPr>
                  </w:pPr>
                  <w:r>
                    <w:rPr>
                      <w:color w:val="auto"/>
                      <w:szCs w:val="21"/>
                    </w:rPr>
                    <w:t>NO</w:t>
                  </w:r>
                  <w:r>
                    <w:rPr>
                      <w:color w:val="auto"/>
                      <w:szCs w:val="21"/>
                      <w:vertAlign w:val="subscript"/>
                    </w:rPr>
                    <w:t>2</w:t>
                  </w:r>
                </w:p>
              </w:tc>
              <w:tc>
                <w:tcPr>
                  <w:tcW w:w="943" w:type="pct"/>
                  <w:tcBorders>
                    <w:left w:val="single" w:color="auto" w:sz="4" w:space="0"/>
                    <w:right w:val="single" w:color="auto" w:sz="4" w:space="0"/>
                  </w:tcBorders>
                  <w:vAlign w:val="center"/>
                </w:tcPr>
                <w:p w14:paraId="0793778E">
                  <w:pPr>
                    <w:jc w:val="center"/>
                    <w:rPr>
                      <w:color w:val="auto"/>
                      <w:szCs w:val="21"/>
                    </w:rPr>
                  </w:pPr>
                  <w:r>
                    <w:rPr>
                      <w:color w:val="auto"/>
                      <w:szCs w:val="21"/>
                    </w:rPr>
                    <w:t>24小时平均第98百分位数</w:t>
                  </w:r>
                </w:p>
              </w:tc>
              <w:tc>
                <w:tcPr>
                  <w:tcW w:w="535" w:type="pct"/>
                  <w:tcBorders>
                    <w:top w:val="single" w:color="auto" w:sz="4" w:space="0"/>
                    <w:left w:val="single" w:color="auto" w:sz="4" w:space="0"/>
                    <w:bottom w:val="single" w:color="auto" w:sz="4" w:space="0"/>
                    <w:right w:val="single" w:color="auto" w:sz="4" w:space="0"/>
                  </w:tcBorders>
                  <w:vAlign w:val="center"/>
                </w:tcPr>
                <w:p w14:paraId="351A752F">
                  <w:pPr>
                    <w:snapToGrid w:val="0"/>
                    <w:spacing w:line="0" w:lineRule="atLeast"/>
                    <w:jc w:val="center"/>
                    <w:rPr>
                      <w:color w:val="auto"/>
                      <w:szCs w:val="21"/>
                    </w:rPr>
                  </w:pPr>
                  <w:r>
                    <w:rPr>
                      <w:color w:val="auto"/>
                      <w:szCs w:val="21"/>
                    </w:rPr>
                    <w:t>80</w:t>
                  </w:r>
                </w:p>
              </w:tc>
              <w:tc>
                <w:tcPr>
                  <w:tcW w:w="690" w:type="pct"/>
                  <w:tcBorders>
                    <w:top w:val="single" w:color="auto" w:sz="4" w:space="0"/>
                    <w:left w:val="single" w:color="auto" w:sz="4" w:space="0"/>
                    <w:bottom w:val="single" w:color="auto" w:sz="4" w:space="0"/>
                    <w:right w:val="single" w:color="auto" w:sz="4" w:space="0"/>
                  </w:tcBorders>
                  <w:vAlign w:val="center"/>
                </w:tcPr>
                <w:p w14:paraId="3EF9B586">
                  <w:pPr>
                    <w:pStyle w:val="175"/>
                    <w:rPr>
                      <w:rFonts w:hAnsi="Times New Roman"/>
                      <w:color w:val="auto"/>
                    </w:rPr>
                  </w:pPr>
                  <w:r>
                    <w:rPr>
                      <w:rFonts w:hint="eastAsia" w:hAnsi="Times New Roman"/>
                      <w:color w:val="auto"/>
                      <w:lang w:val="en-US" w:eastAsia="zh-CN"/>
                    </w:rPr>
                    <w:t>5</w:t>
                  </w:r>
                  <w:r>
                    <w:rPr>
                      <w:rFonts w:hint="eastAsia" w:hAnsi="Times New Roman"/>
                      <w:color w:val="auto"/>
                    </w:rPr>
                    <w:t>2</w:t>
                  </w:r>
                </w:p>
              </w:tc>
              <w:tc>
                <w:tcPr>
                  <w:tcW w:w="571" w:type="pct"/>
                  <w:tcBorders>
                    <w:top w:val="single" w:color="auto" w:sz="4" w:space="0"/>
                    <w:left w:val="single" w:color="auto" w:sz="4" w:space="0"/>
                    <w:bottom w:val="single" w:color="auto" w:sz="4" w:space="0"/>
                    <w:right w:val="single" w:color="auto" w:sz="4" w:space="0"/>
                  </w:tcBorders>
                  <w:vAlign w:val="center"/>
                </w:tcPr>
                <w:p w14:paraId="79D235C1">
                  <w:pPr>
                    <w:snapToGrid w:val="0"/>
                    <w:spacing w:line="0" w:lineRule="atLeast"/>
                    <w:jc w:val="center"/>
                    <w:rPr>
                      <w:rFonts w:hint="default" w:eastAsia="宋体"/>
                      <w:color w:val="auto"/>
                      <w:szCs w:val="21"/>
                      <w:lang w:val="en-US" w:eastAsia="zh-CN"/>
                    </w:rPr>
                  </w:pPr>
                  <w:r>
                    <w:rPr>
                      <w:rFonts w:hint="eastAsia"/>
                      <w:color w:val="auto"/>
                      <w:szCs w:val="21"/>
                      <w:lang w:val="en-US" w:eastAsia="zh-CN"/>
                    </w:rPr>
                    <w:t>78.8</w:t>
                  </w:r>
                </w:p>
              </w:tc>
              <w:tc>
                <w:tcPr>
                  <w:tcW w:w="481" w:type="pct"/>
                  <w:tcBorders>
                    <w:top w:val="single" w:color="auto" w:sz="4" w:space="0"/>
                    <w:left w:val="single" w:color="auto" w:sz="4" w:space="0"/>
                    <w:right w:val="single" w:color="auto" w:sz="4" w:space="0"/>
                  </w:tcBorders>
                  <w:vAlign w:val="center"/>
                </w:tcPr>
                <w:p w14:paraId="5FAE7BF0">
                  <w:pPr>
                    <w:snapToGrid w:val="0"/>
                    <w:spacing w:line="0" w:lineRule="atLeast"/>
                    <w:jc w:val="center"/>
                    <w:rPr>
                      <w:rFonts w:hint="eastAsia" w:eastAsia="宋体"/>
                      <w:color w:val="auto"/>
                      <w:szCs w:val="21"/>
                      <w:lang w:eastAsia="zh-CN"/>
                    </w:rPr>
                  </w:pPr>
                  <w:r>
                    <w:rPr>
                      <w:rFonts w:hint="eastAsia"/>
                      <w:color w:val="auto"/>
                      <w:szCs w:val="21"/>
                    </w:rPr>
                    <w:t>0.</w:t>
                  </w:r>
                  <w:r>
                    <w:rPr>
                      <w:rFonts w:hint="eastAsia"/>
                      <w:color w:val="auto"/>
                      <w:szCs w:val="21"/>
                      <w:lang w:val="en-US" w:eastAsia="zh-CN"/>
                    </w:rPr>
                    <w:t>0</w:t>
                  </w:r>
                </w:p>
              </w:tc>
              <w:tc>
                <w:tcPr>
                  <w:tcW w:w="422" w:type="pct"/>
                  <w:tcBorders>
                    <w:top w:val="single" w:color="auto" w:sz="4" w:space="0"/>
                    <w:left w:val="single" w:color="auto" w:sz="4" w:space="0"/>
                    <w:right w:val="single" w:color="auto" w:sz="4" w:space="0"/>
                  </w:tcBorders>
                  <w:vAlign w:val="center"/>
                </w:tcPr>
                <w:p w14:paraId="6D959A80">
                  <w:pPr>
                    <w:jc w:val="center"/>
                    <w:rPr>
                      <w:color w:val="auto"/>
                      <w:szCs w:val="21"/>
                    </w:rPr>
                  </w:pPr>
                  <w:r>
                    <w:rPr>
                      <w:color w:val="auto"/>
                      <w:szCs w:val="21"/>
                    </w:rPr>
                    <w:t>达标</w:t>
                  </w:r>
                </w:p>
              </w:tc>
            </w:tr>
            <w:tr w14:paraId="48F92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56B4B6D6">
                  <w:pPr>
                    <w:snapToGrid w:val="0"/>
                    <w:spacing w:line="0" w:lineRule="atLeast"/>
                    <w:jc w:val="center"/>
                    <w:rPr>
                      <w:color w:val="auto"/>
                      <w:szCs w:val="21"/>
                    </w:rPr>
                  </w:pPr>
                </w:p>
              </w:tc>
              <w:tc>
                <w:tcPr>
                  <w:tcW w:w="546" w:type="pct"/>
                  <w:gridSpan w:val="2"/>
                  <w:vMerge w:val="continue"/>
                  <w:tcBorders>
                    <w:left w:val="single" w:color="auto" w:sz="4" w:space="0"/>
                    <w:right w:val="single" w:color="auto" w:sz="4" w:space="0"/>
                  </w:tcBorders>
                  <w:vAlign w:val="center"/>
                </w:tcPr>
                <w:p w14:paraId="7C1567CC">
                  <w:pPr>
                    <w:pStyle w:val="175"/>
                    <w:rPr>
                      <w:rFonts w:hAnsi="Times New Roman"/>
                      <w:color w:val="auto"/>
                    </w:rPr>
                  </w:pPr>
                </w:p>
              </w:tc>
              <w:tc>
                <w:tcPr>
                  <w:tcW w:w="413" w:type="pct"/>
                  <w:vMerge w:val="continue"/>
                  <w:tcBorders>
                    <w:left w:val="single" w:color="auto" w:sz="4" w:space="0"/>
                    <w:right w:val="single" w:color="auto" w:sz="4" w:space="0"/>
                  </w:tcBorders>
                  <w:vAlign w:val="center"/>
                </w:tcPr>
                <w:p w14:paraId="1F02CA3C">
                  <w:pPr>
                    <w:pStyle w:val="175"/>
                    <w:rPr>
                      <w:rFonts w:hAnsi="Times New Roman"/>
                      <w:color w:val="auto"/>
                    </w:rPr>
                  </w:pPr>
                </w:p>
              </w:tc>
              <w:tc>
                <w:tcPr>
                  <w:tcW w:w="943" w:type="pct"/>
                  <w:tcBorders>
                    <w:left w:val="single" w:color="auto" w:sz="4" w:space="0"/>
                    <w:right w:val="single" w:color="auto" w:sz="4" w:space="0"/>
                  </w:tcBorders>
                  <w:vAlign w:val="center"/>
                </w:tcPr>
                <w:p w14:paraId="7BB7239B">
                  <w:pPr>
                    <w:jc w:val="center"/>
                    <w:rPr>
                      <w:color w:val="auto"/>
                      <w:szCs w:val="21"/>
                    </w:rPr>
                  </w:pPr>
                  <w:r>
                    <w:rPr>
                      <w:color w:val="auto"/>
                      <w:szCs w:val="21"/>
                    </w:rPr>
                    <w:t>年平均</w:t>
                  </w:r>
                </w:p>
              </w:tc>
              <w:tc>
                <w:tcPr>
                  <w:tcW w:w="535" w:type="pct"/>
                  <w:tcBorders>
                    <w:top w:val="single" w:color="auto" w:sz="4" w:space="0"/>
                    <w:left w:val="single" w:color="auto" w:sz="4" w:space="0"/>
                    <w:bottom w:val="single" w:color="auto" w:sz="4" w:space="0"/>
                    <w:right w:val="single" w:color="auto" w:sz="4" w:space="0"/>
                  </w:tcBorders>
                  <w:vAlign w:val="center"/>
                </w:tcPr>
                <w:p w14:paraId="23CA2965">
                  <w:pPr>
                    <w:snapToGrid w:val="0"/>
                    <w:spacing w:line="0" w:lineRule="atLeast"/>
                    <w:jc w:val="center"/>
                    <w:rPr>
                      <w:color w:val="auto"/>
                      <w:szCs w:val="21"/>
                    </w:rPr>
                  </w:pPr>
                  <w:r>
                    <w:rPr>
                      <w:color w:val="auto"/>
                      <w:szCs w:val="21"/>
                    </w:rPr>
                    <w:t>40</w:t>
                  </w:r>
                </w:p>
              </w:tc>
              <w:tc>
                <w:tcPr>
                  <w:tcW w:w="690" w:type="pct"/>
                  <w:tcBorders>
                    <w:top w:val="single" w:color="auto" w:sz="4" w:space="0"/>
                    <w:left w:val="single" w:color="auto" w:sz="4" w:space="0"/>
                    <w:bottom w:val="single" w:color="auto" w:sz="4" w:space="0"/>
                    <w:right w:val="single" w:color="auto" w:sz="4" w:space="0"/>
                  </w:tcBorders>
                  <w:vAlign w:val="center"/>
                </w:tcPr>
                <w:p w14:paraId="0578C1C5">
                  <w:pPr>
                    <w:pStyle w:val="175"/>
                    <w:rPr>
                      <w:rFonts w:hint="eastAsia" w:hAnsi="Times New Roman" w:eastAsia="宋体"/>
                      <w:color w:val="auto"/>
                      <w:lang w:eastAsia="zh-CN"/>
                    </w:rPr>
                  </w:pPr>
                  <w:r>
                    <w:rPr>
                      <w:rFonts w:hint="eastAsia" w:hAnsi="Times New Roman"/>
                      <w:color w:val="auto"/>
                    </w:rPr>
                    <w:t>2</w:t>
                  </w:r>
                  <w:r>
                    <w:rPr>
                      <w:rFonts w:hint="eastAsia" w:hAnsi="Times New Roman"/>
                      <w:color w:val="auto"/>
                      <w:lang w:val="en-US" w:eastAsia="zh-CN"/>
                    </w:rPr>
                    <w:t>1</w:t>
                  </w:r>
                </w:p>
              </w:tc>
              <w:tc>
                <w:tcPr>
                  <w:tcW w:w="571" w:type="pct"/>
                  <w:tcBorders>
                    <w:top w:val="single" w:color="auto" w:sz="4" w:space="0"/>
                    <w:left w:val="single" w:color="auto" w:sz="4" w:space="0"/>
                    <w:bottom w:val="single" w:color="auto" w:sz="4" w:space="0"/>
                    <w:right w:val="single" w:color="auto" w:sz="4" w:space="0"/>
                  </w:tcBorders>
                  <w:vAlign w:val="center"/>
                </w:tcPr>
                <w:p w14:paraId="63EA2157">
                  <w:pPr>
                    <w:snapToGrid w:val="0"/>
                    <w:spacing w:line="0" w:lineRule="atLeast"/>
                    <w:jc w:val="center"/>
                    <w:rPr>
                      <w:color w:val="auto"/>
                      <w:szCs w:val="21"/>
                    </w:rPr>
                  </w:pPr>
                  <w:r>
                    <w:rPr>
                      <w:rFonts w:hint="eastAsia"/>
                      <w:color w:val="auto"/>
                      <w:szCs w:val="21"/>
                    </w:rPr>
                    <w:t>/</w:t>
                  </w:r>
                </w:p>
              </w:tc>
              <w:tc>
                <w:tcPr>
                  <w:tcW w:w="481" w:type="pct"/>
                  <w:tcBorders>
                    <w:left w:val="single" w:color="auto" w:sz="4" w:space="0"/>
                    <w:bottom w:val="single" w:color="auto" w:sz="4" w:space="0"/>
                    <w:right w:val="single" w:color="auto" w:sz="4" w:space="0"/>
                  </w:tcBorders>
                  <w:vAlign w:val="center"/>
                </w:tcPr>
                <w:p w14:paraId="26C46592">
                  <w:pPr>
                    <w:snapToGrid w:val="0"/>
                    <w:spacing w:line="0" w:lineRule="atLeast"/>
                    <w:jc w:val="center"/>
                    <w:rPr>
                      <w:color w:val="auto"/>
                      <w:szCs w:val="21"/>
                    </w:rPr>
                  </w:pPr>
                  <w:r>
                    <w:rPr>
                      <w:rFonts w:hint="eastAsia"/>
                      <w:color w:val="auto"/>
                      <w:szCs w:val="21"/>
                    </w:rPr>
                    <w:t>/</w:t>
                  </w:r>
                </w:p>
              </w:tc>
              <w:tc>
                <w:tcPr>
                  <w:tcW w:w="422" w:type="pct"/>
                  <w:tcBorders>
                    <w:left w:val="single" w:color="auto" w:sz="4" w:space="0"/>
                    <w:bottom w:val="single" w:color="auto" w:sz="4" w:space="0"/>
                    <w:right w:val="single" w:color="auto" w:sz="4" w:space="0"/>
                  </w:tcBorders>
                  <w:vAlign w:val="center"/>
                </w:tcPr>
                <w:p w14:paraId="4CF71FD1">
                  <w:pPr>
                    <w:jc w:val="center"/>
                    <w:rPr>
                      <w:color w:val="auto"/>
                      <w:szCs w:val="21"/>
                    </w:rPr>
                  </w:pPr>
                  <w:r>
                    <w:rPr>
                      <w:color w:val="auto"/>
                      <w:szCs w:val="21"/>
                    </w:rPr>
                    <w:t>达标</w:t>
                  </w:r>
                </w:p>
              </w:tc>
            </w:tr>
            <w:tr w14:paraId="29D47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3F9505E3">
                  <w:pPr>
                    <w:snapToGrid w:val="0"/>
                    <w:spacing w:line="0" w:lineRule="atLeast"/>
                    <w:jc w:val="center"/>
                    <w:rPr>
                      <w:color w:val="auto"/>
                      <w:szCs w:val="21"/>
                    </w:rPr>
                  </w:pPr>
                </w:p>
              </w:tc>
              <w:tc>
                <w:tcPr>
                  <w:tcW w:w="923" w:type="dxa"/>
                  <w:gridSpan w:val="2"/>
                  <w:vMerge w:val="restart"/>
                  <w:tcBorders>
                    <w:left w:val="single" w:color="auto" w:sz="4" w:space="0"/>
                    <w:right w:val="single" w:color="auto" w:sz="4" w:space="0"/>
                  </w:tcBorders>
                  <w:vAlign w:val="center"/>
                </w:tcPr>
                <w:p w14:paraId="09AA10CC">
                  <w:pPr>
                    <w:jc w:val="center"/>
                    <w:rPr>
                      <w:color w:val="auto"/>
                      <w:szCs w:val="21"/>
                    </w:rPr>
                  </w:pPr>
                  <w:r>
                    <w:rPr>
                      <w:rFonts w:hint="eastAsia"/>
                      <w:bCs/>
                      <w:color w:val="auto"/>
                      <w:szCs w:val="21"/>
                    </w:rPr>
                    <w:t>南朗站</w:t>
                  </w:r>
                </w:p>
              </w:tc>
              <w:tc>
                <w:tcPr>
                  <w:tcW w:w="413" w:type="pct"/>
                  <w:vMerge w:val="restart"/>
                  <w:tcBorders>
                    <w:left w:val="single" w:color="auto" w:sz="4" w:space="0"/>
                    <w:right w:val="single" w:color="auto" w:sz="4" w:space="0"/>
                  </w:tcBorders>
                  <w:vAlign w:val="center"/>
                </w:tcPr>
                <w:p w14:paraId="2E961DD9">
                  <w:pPr>
                    <w:jc w:val="center"/>
                    <w:rPr>
                      <w:color w:val="auto"/>
                      <w:szCs w:val="21"/>
                      <w:vertAlign w:val="subscript"/>
                    </w:rPr>
                  </w:pPr>
                  <w:r>
                    <w:rPr>
                      <w:color w:val="auto"/>
                      <w:szCs w:val="21"/>
                    </w:rPr>
                    <w:t>PM</w:t>
                  </w:r>
                  <w:r>
                    <w:rPr>
                      <w:color w:val="auto"/>
                      <w:szCs w:val="21"/>
                      <w:vertAlign w:val="subscript"/>
                    </w:rPr>
                    <w:t>10</w:t>
                  </w:r>
                </w:p>
              </w:tc>
              <w:tc>
                <w:tcPr>
                  <w:tcW w:w="943" w:type="pct"/>
                  <w:tcBorders>
                    <w:left w:val="single" w:color="auto" w:sz="4" w:space="0"/>
                    <w:right w:val="single" w:color="auto" w:sz="4" w:space="0"/>
                  </w:tcBorders>
                  <w:vAlign w:val="center"/>
                </w:tcPr>
                <w:p w14:paraId="61E82D30">
                  <w:pPr>
                    <w:jc w:val="center"/>
                    <w:rPr>
                      <w:color w:val="auto"/>
                      <w:szCs w:val="21"/>
                    </w:rPr>
                  </w:pPr>
                  <w:r>
                    <w:rPr>
                      <w:color w:val="auto"/>
                      <w:szCs w:val="21"/>
                    </w:rPr>
                    <w:t>24小时平均第95百分位数</w:t>
                  </w:r>
                </w:p>
              </w:tc>
              <w:tc>
                <w:tcPr>
                  <w:tcW w:w="535" w:type="pct"/>
                  <w:tcBorders>
                    <w:top w:val="single" w:color="auto" w:sz="4" w:space="0"/>
                    <w:left w:val="single" w:color="auto" w:sz="4" w:space="0"/>
                    <w:right w:val="single" w:color="auto" w:sz="4" w:space="0"/>
                  </w:tcBorders>
                  <w:vAlign w:val="center"/>
                </w:tcPr>
                <w:p w14:paraId="7B8DE7FC">
                  <w:pPr>
                    <w:snapToGrid w:val="0"/>
                    <w:spacing w:line="0" w:lineRule="atLeast"/>
                    <w:jc w:val="center"/>
                    <w:rPr>
                      <w:color w:val="auto"/>
                      <w:szCs w:val="21"/>
                    </w:rPr>
                  </w:pPr>
                  <w:r>
                    <w:rPr>
                      <w:color w:val="auto"/>
                      <w:szCs w:val="21"/>
                    </w:rPr>
                    <w:t>150</w:t>
                  </w:r>
                </w:p>
              </w:tc>
              <w:tc>
                <w:tcPr>
                  <w:tcW w:w="690" w:type="pct"/>
                  <w:tcBorders>
                    <w:top w:val="single" w:color="auto" w:sz="4" w:space="0"/>
                    <w:left w:val="single" w:color="auto" w:sz="4" w:space="0"/>
                    <w:right w:val="single" w:color="auto" w:sz="4" w:space="0"/>
                  </w:tcBorders>
                  <w:vAlign w:val="center"/>
                </w:tcPr>
                <w:p w14:paraId="4F3472F6">
                  <w:pPr>
                    <w:pStyle w:val="175"/>
                    <w:rPr>
                      <w:rFonts w:hint="default" w:hAnsi="Times New Roman" w:eastAsia="宋体"/>
                      <w:color w:val="auto"/>
                      <w:lang w:val="en-US" w:eastAsia="zh-CN"/>
                    </w:rPr>
                  </w:pPr>
                  <w:r>
                    <w:rPr>
                      <w:rFonts w:hint="eastAsia" w:hAnsi="Times New Roman"/>
                      <w:color w:val="auto"/>
                      <w:lang w:val="en-US" w:eastAsia="zh-CN"/>
                    </w:rPr>
                    <w:t>71</w:t>
                  </w:r>
                </w:p>
              </w:tc>
              <w:tc>
                <w:tcPr>
                  <w:tcW w:w="571" w:type="pct"/>
                  <w:tcBorders>
                    <w:top w:val="single" w:color="auto" w:sz="4" w:space="0"/>
                    <w:left w:val="single" w:color="auto" w:sz="4" w:space="0"/>
                    <w:right w:val="single" w:color="auto" w:sz="4" w:space="0"/>
                  </w:tcBorders>
                  <w:vAlign w:val="center"/>
                </w:tcPr>
                <w:p w14:paraId="3F5794B6">
                  <w:pPr>
                    <w:snapToGrid w:val="0"/>
                    <w:spacing w:line="0" w:lineRule="atLeast"/>
                    <w:jc w:val="center"/>
                    <w:rPr>
                      <w:rFonts w:hint="default" w:eastAsia="宋体"/>
                      <w:color w:val="auto"/>
                      <w:szCs w:val="21"/>
                      <w:lang w:val="en-US" w:eastAsia="zh-CN"/>
                    </w:rPr>
                  </w:pPr>
                  <w:r>
                    <w:rPr>
                      <w:rFonts w:hint="eastAsia"/>
                      <w:color w:val="auto"/>
                      <w:szCs w:val="21"/>
                      <w:lang w:val="en-US" w:eastAsia="zh-CN"/>
                    </w:rPr>
                    <w:t>67.3</w:t>
                  </w:r>
                </w:p>
              </w:tc>
              <w:tc>
                <w:tcPr>
                  <w:tcW w:w="481" w:type="pct"/>
                  <w:tcBorders>
                    <w:top w:val="single" w:color="auto" w:sz="4" w:space="0"/>
                    <w:left w:val="single" w:color="auto" w:sz="4" w:space="0"/>
                    <w:right w:val="single" w:color="auto" w:sz="4" w:space="0"/>
                  </w:tcBorders>
                  <w:vAlign w:val="center"/>
                </w:tcPr>
                <w:p w14:paraId="4A9478EC">
                  <w:pPr>
                    <w:snapToGrid w:val="0"/>
                    <w:spacing w:line="0" w:lineRule="atLeast"/>
                    <w:jc w:val="center"/>
                    <w:rPr>
                      <w:color w:val="auto"/>
                      <w:szCs w:val="21"/>
                    </w:rPr>
                  </w:pPr>
                  <w:r>
                    <w:rPr>
                      <w:rFonts w:hint="eastAsia"/>
                      <w:color w:val="auto"/>
                      <w:szCs w:val="21"/>
                    </w:rPr>
                    <w:t>0.0</w:t>
                  </w:r>
                </w:p>
              </w:tc>
              <w:tc>
                <w:tcPr>
                  <w:tcW w:w="422" w:type="pct"/>
                  <w:tcBorders>
                    <w:top w:val="single" w:color="auto" w:sz="4" w:space="0"/>
                    <w:left w:val="single" w:color="auto" w:sz="4" w:space="0"/>
                    <w:right w:val="single" w:color="auto" w:sz="4" w:space="0"/>
                  </w:tcBorders>
                  <w:vAlign w:val="center"/>
                </w:tcPr>
                <w:p w14:paraId="253B7D82">
                  <w:pPr>
                    <w:jc w:val="center"/>
                    <w:rPr>
                      <w:color w:val="auto"/>
                      <w:szCs w:val="21"/>
                    </w:rPr>
                  </w:pPr>
                  <w:r>
                    <w:rPr>
                      <w:color w:val="auto"/>
                      <w:szCs w:val="21"/>
                    </w:rPr>
                    <w:t>达标</w:t>
                  </w:r>
                </w:p>
              </w:tc>
            </w:tr>
            <w:tr w14:paraId="04BB3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1487444D">
                  <w:pPr>
                    <w:snapToGrid w:val="0"/>
                    <w:spacing w:line="0" w:lineRule="atLeast"/>
                    <w:jc w:val="center"/>
                    <w:rPr>
                      <w:color w:val="auto"/>
                      <w:szCs w:val="21"/>
                    </w:rPr>
                  </w:pPr>
                </w:p>
              </w:tc>
              <w:tc>
                <w:tcPr>
                  <w:tcW w:w="546" w:type="pct"/>
                  <w:gridSpan w:val="2"/>
                  <w:vMerge w:val="continue"/>
                  <w:tcBorders>
                    <w:left w:val="single" w:color="auto" w:sz="4" w:space="0"/>
                    <w:right w:val="single" w:color="auto" w:sz="4" w:space="0"/>
                  </w:tcBorders>
                  <w:vAlign w:val="center"/>
                </w:tcPr>
                <w:p w14:paraId="1EC5A254">
                  <w:pPr>
                    <w:pStyle w:val="175"/>
                    <w:rPr>
                      <w:rFonts w:hAnsi="Times New Roman"/>
                      <w:color w:val="auto"/>
                    </w:rPr>
                  </w:pPr>
                </w:p>
              </w:tc>
              <w:tc>
                <w:tcPr>
                  <w:tcW w:w="413" w:type="pct"/>
                  <w:vMerge w:val="continue"/>
                  <w:tcBorders>
                    <w:left w:val="single" w:color="auto" w:sz="4" w:space="0"/>
                    <w:right w:val="single" w:color="auto" w:sz="4" w:space="0"/>
                  </w:tcBorders>
                  <w:vAlign w:val="center"/>
                </w:tcPr>
                <w:p w14:paraId="591A2F1A">
                  <w:pPr>
                    <w:jc w:val="center"/>
                    <w:rPr>
                      <w:color w:val="auto"/>
                      <w:szCs w:val="21"/>
                    </w:rPr>
                  </w:pPr>
                </w:p>
              </w:tc>
              <w:tc>
                <w:tcPr>
                  <w:tcW w:w="943" w:type="pct"/>
                  <w:tcBorders>
                    <w:left w:val="single" w:color="auto" w:sz="4" w:space="0"/>
                    <w:right w:val="single" w:color="auto" w:sz="4" w:space="0"/>
                  </w:tcBorders>
                  <w:vAlign w:val="center"/>
                </w:tcPr>
                <w:p w14:paraId="77D5CA68">
                  <w:pPr>
                    <w:jc w:val="center"/>
                    <w:rPr>
                      <w:color w:val="auto"/>
                      <w:szCs w:val="21"/>
                    </w:rPr>
                  </w:pPr>
                  <w:r>
                    <w:rPr>
                      <w:color w:val="auto"/>
                      <w:szCs w:val="21"/>
                    </w:rPr>
                    <w:t>年平均</w:t>
                  </w:r>
                </w:p>
              </w:tc>
              <w:tc>
                <w:tcPr>
                  <w:tcW w:w="535" w:type="pct"/>
                  <w:tcBorders>
                    <w:top w:val="single" w:color="auto" w:sz="4" w:space="0"/>
                    <w:left w:val="single" w:color="auto" w:sz="4" w:space="0"/>
                    <w:right w:val="single" w:color="auto" w:sz="4" w:space="0"/>
                  </w:tcBorders>
                  <w:vAlign w:val="center"/>
                </w:tcPr>
                <w:p w14:paraId="24FAB5DF">
                  <w:pPr>
                    <w:snapToGrid w:val="0"/>
                    <w:spacing w:line="0" w:lineRule="atLeast"/>
                    <w:jc w:val="center"/>
                    <w:rPr>
                      <w:color w:val="auto"/>
                      <w:szCs w:val="21"/>
                    </w:rPr>
                  </w:pPr>
                  <w:r>
                    <w:rPr>
                      <w:color w:val="auto"/>
                      <w:szCs w:val="21"/>
                    </w:rPr>
                    <w:t>70</w:t>
                  </w:r>
                </w:p>
              </w:tc>
              <w:tc>
                <w:tcPr>
                  <w:tcW w:w="690" w:type="pct"/>
                  <w:tcBorders>
                    <w:top w:val="single" w:color="auto" w:sz="4" w:space="0"/>
                    <w:left w:val="single" w:color="auto" w:sz="4" w:space="0"/>
                    <w:right w:val="single" w:color="auto" w:sz="4" w:space="0"/>
                  </w:tcBorders>
                  <w:vAlign w:val="center"/>
                </w:tcPr>
                <w:p w14:paraId="496DF7C1">
                  <w:pPr>
                    <w:pStyle w:val="175"/>
                    <w:rPr>
                      <w:rFonts w:hint="eastAsia" w:hAnsi="Times New Roman" w:eastAsia="宋体"/>
                      <w:color w:val="auto"/>
                      <w:lang w:eastAsia="zh-CN"/>
                    </w:rPr>
                  </w:pPr>
                  <w:r>
                    <w:rPr>
                      <w:rFonts w:hint="eastAsia" w:hAnsi="Times New Roman"/>
                      <w:color w:val="auto"/>
                    </w:rPr>
                    <w:t>3</w:t>
                  </w:r>
                  <w:r>
                    <w:rPr>
                      <w:rFonts w:hint="eastAsia" w:hAnsi="Times New Roman"/>
                      <w:color w:val="auto"/>
                      <w:lang w:val="en-US" w:eastAsia="zh-CN"/>
                    </w:rPr>
                    <w:t>5</w:t>
                  </w:r>
                </w:p>
              </w:tc>
              <w:tc>
                <w:tcPr>
                  <w:tcW w:w="571" w:type="pct"/>
                  <w:tcBorders>
                    <w:top w:val="single" w:color="auto" w:sz="4" w:space="0"/>
                    <w:left w:val="single" w:color="auto" w:sz="4" w:space="0"/>
                    <w:right w:val="single" w:color="auto" w:sz="4" w:space="0"/>
                  </w:tcBorders>
                  <w:vAlign w:val="center"/>
                </w:tcPr>
                <w:p w14:paraId="38234B12">
                  <w:pPr>
                    <w:snapToGrid w:val="0"/>
                    <w:spacing w:line="0" w:lineRule="atLeast"/>
                    <w:jc w:val="center"/>
                    <w:rPr>
                      <w:color w:val="auto"/>
                      <w:szCs w:val="21"/>
                    </w:rPr>
                  </w:pPr>
                  <w:r>
                    <w:rPr>
                      <w:rFonts w:hint="eastAsia"/>
                      <w:color w:val="auto"/>
                      <w:szCs w:val="21"/>
                    </w:rPr>
                    <w:t>/</w:t>
                  </w:r>
                </w:p>
              </w:tc>
              <w:tc>
                <w:tcPr>
                  <w:tcW w:w="481" w:type="pct"/>
                  <w:tcBorders>
                    <w:left w:val="single" w:color="auto" w:sz="4" w:space="0"/>
                    <w:right w:val="single" w:color="auto" w:sz="4" w:space="0"/>
                  </w:tcBorders>
                  <w:vAlign w:val="center"/>
                </w:tcPr>
                <w:p w14:paraId="4D63E268">
                  <w:pPr>
                    <w:snapToGrid w:val="0"/>
                    <w:spacing w:line="0" w:lineRule="atLeast"/>
                    <w:jc w:val="center"/>
                    <w:rPr>
                      <w:color w:val="auto"/>
                      <w:szCs w:val="21"/>
                    </w:rPr>
                  </w:pPr>
                  <w:r>
                    <w:rPr>
                      <w:rFonts w:hint="eastAsia"/>
                      <w:color w:val="auto"/>
                      <w:szCs w:val="21"/>
                    </w:rPr>
                    <w:t>/</w:t>
                  </w:r>
                </w:p>
              </w:tc>
              <w:tc>
                <w:tcPr>
                  <w:tcW w:w="422" w:type="pct"/>
                  <w:tcBorders>
                    <w:top w:val="single" w:color="auto" w:sz="4" w:space="0"/>
                    <w:left w:val="single" w:color="auto" w:sz="4" w:space="0"/>
                    <w:right w:val="single" w:color="auto" w:sz="4" w:space="0"/>
                  </w:tcBorders>
                  <w:vAlign w:val="center"/>
                </w:tcPr>
                <w:p w14:paraId="69B90E54">
                  <w:pPr>
                    <w:jc w:val="center"/>
                    <w:rPr>
                      <w:color w:val="auto"/>
                      <w:szCs w:val="21"/>
                    </w:rPr>
                  </w:pPr>
                  <w:r>
                    <w:rPr>
                      <w:color w:val="auto"/>
                      <w:szCs w:val="21"/>
                    </w:rPr>
                    <w:t>达标</w:t>
                  </w:r>
                </w:p>
              </w:tc>
            </w:tr>
            <w:tr w14:paraId="73A05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781BF05B">
                  <w:pPr>
                    <w:snapToGrid w:val="0"/>
                    <w:spacing w:line="0" w:lineRule="atLeast"/>
                    <w:jc w:val="center"/>
                    <w:rPr>
                      <w:color w:val="auto"/>
                      <w:szCs w:val="21"/>
                    </w:rPr>
                  </w:pPr>
                </w:p>
              </w:tc>
              <w:tc>
                <w:tcPr>
                  <w:tcW w:w="923" w:type="dxa"/>
                  <w:gridSpan w:val="2"/>
                  <w:vMerge w:val="restart"/>
                  <w:tcBorders>
                    <w:left w:val="single" w:color="auto" w:sz="4" w:space="0"/>
                    <w:right w:val="single" w:color="auto" w:sz="4" w:space="0"/>
                  </w:tcBorders>
                  <w:vAlign w:val="center"/>
                </w:tcPr>
                <w:p w14:paraId="7562AF9B">
                  <w:pPr>
                    <w:jc w:val="center"/>
                    <w:rPr>
                      <w:color w:val="auto"/>
                      <w:szCs w:val="21"/>
                    </w:rPr>
                  </w:pPr>
                  <w:r>
                    <w:rPr>
                      <w:rFonts w:hint="eastAsia"/>
                      <w:bCs/>
                      <w:color w:val="auto"/>
                      <w:szCs w:val="21"/>
                    </w:rPr>
                    <w:t>南朗站</w:t>
                  </w:r>
                </w:p>
              </w:tc>
              <w:tc>
                <w:tcPr>
                  <w:tcW w:w="413" w:type="pct"/>
                  <w:vMerge w:val="restart"/>
                  <w:tcBorders>
                    <w:left w:val="single" w:color="auto" w:sz="4" w:space="0"/>
                    <w:right w:val="single" w:color="auto" w:sz="4" w:space="0"/>
                  </w:tcBorders>
                  <w:vAlign w:val="center"/>
                </w:tcPr>
                <w:p w14:paraId="62733F1B">
                  <w:pPr>
                    <w:jc w:val="center"/>
                    <w:rPr>
                      <w:color w:val="auto"/>
                      <w:szCs w:val="21"/>
                    </w:rPr>
                  </w:pPr>
                  <w:r>
                    <w:rPr>
                      <w:color w:val="auto"/>
                      <w:szCs w:val="21"/>
                    </w:rPr>
                    <w:t>PM</w:t>
                  </w:r>
                  <w:r>
                    <w:rPr>
                      <w:color w:val="auto"/>
                      <w:szCs w:val="21"/>
                      <w:vertAlign w:val="subscript"/>
                    </w:rPr>
                    <w:t>2.5</w:t>
                  </w:r>
                </w:p>
              </w:tc>
              <w:tc>
                <w:tcPr>
                  <w:tcW w:w="943" w:type="pct"/>
                  <w:tcBorders>
                    <w:left w:val="single" w:color="auto" w:sz="4" w:space="0"/>
                    <w:right w:val="single" w:color="auto" w:sz="4" w:space="0"/>
                  </w:tcBorders>
                  <w:vAlign w:val="center"/>
                </w:tcPr>
                <w:p w14:paraId="0E69725E">
                  <w:pPr>
                    <w:jc w:val="center"/>
                    <w:rPr>
                      <w:color w:val="auto"/>
                      <w:szCs w:val="21"/>
                    </w:rPr>
                  </w:pPr>
                  <w:r>
                    <w:rPr>
                      <w:color w:val="auto"/>
                      <w:szCs w:val="21"/>
                    </w:rPr>
                    <w:t>24小时平均第95百分位数</w:t>
                  </w:r>
                </w:p>
              </w:tc>
              <w:tc>
                <w:tcPr>
                  <w:tcW w:w="535" w:type="pct"/>
                  <w:tcBorders>
                    <w:top w:val="single" w:color="auto" w:sz="4" w:space="0"/>
                    <w:left w:val="single" w:color="auto" w:sz="4" w:space="0"/>
                    <w:right w:val="single" w:color="auto" w:sz="4" w:space="0"/>
                  </w:tcBorders>
                  <w:vAlign w:val="center"/>
                </w:tcPr>
                <w:p w14:paraId="3729609A">
                  <w:pPr>
                    <w:snapToGrid w:val="0"/>
                    <w:spacing w:line="0" w:lineRule="atLeast"/>
                    <w:jc w:val="center"/>
                    <w:rPr>
                      <w:color w:val="auto"/>
                      <w:szCs w:val="21"/>
                    </w:rPr>
                  </w:pPr>
                  <w:r>
                    <w:rPr>
                      <w:color w:val="auto"/>
                      <w:szCs w:val="21"/>
                    </w:rPr>
                    <w:t>75</w:t>
                  </w:r>
                </w:p>
              </w:tc>
              <w:tc>
                <w:tcPr>
                  <w:tcW w:w="690" w:type="pct"/>
                  <w:tcBorders>
                    <w:top w:val="single" w:color="auto" w:sz="4" w:space="0"/>
                    <w:left w:val="single" w:color="auto" w:sz="4" w:space="0"/>
                    <w:right w:val="single" w:color="auto" w:sz="4" w:space="0"/>
                  </w:tcBorders>
                  <w:vAlign w:val="center"/>
                </w:tcPr>
                <w:p w14:paraId="01A8FD5A">
                  <w:pPr>
                    <w:pStyle w:val="175"/>
                    <w:rPr>
                      <w:rFonts w:hint="default" w:hAnsi="Times New Roman" w:eastAsia="宋体"/>
                      <w:color w:val="auto"/>
                      <w:lang w:val="en-US" w:eastAsia="zh-CN"/>
                    </w:rPr>
                  </w:pPr>
                  <w:r>
                    <w:rPr>
                      <w:rFonts w:hint="eastAsia" w:hAnsi="Times New Roman"/>
                      <w:color w:val="auto"/>
                      <w:lang w:val="en-US" w:eastAsia="zh-CN"/>
                    </w:rPr>
                    <w:t>44</w:t>
                  </w:r>
                </w:p>
              </w:tc>
              <w:tc>
                <w:tcPr>
                  <w:tcW w:w="571" w:type="pct"/>
                  <w:tcBorders>
                    <w:top w:val="single" w:color="auto" w:sz="4" w:space="0"/>
                    <w:left w:val="single" w:color="auto" w:sz="4" w:space="0"/>
                    <w:right w:val="single" w:color="auto" w:sz="4" w:space="0"/>
                  </w:tcBorders>
                  <w:vAlign w:val="center"/>
                </w:tcPr>
                <w:p w14:paraId="48681BE4">
                  <w:pPr>
                    <w:snapToGrid w:val="0"/>
                    <w:spacing w:line="0" w:lineRule="atLeast"/>
                    <w:jc w:val="center"/>
                    <w:rPr>
                      <w:rFonts w:hint="default" w:eastAsia="宋体"/>
                      <w:color w:val="auto"/>
                      <w:szCs w:val="21"/>
                      <w:lang w:val="en-US" w:eastAsia="zh-CN"/>
                    </w:rPr>
                  </w:pPr>
                  <w:r>
                    <w:rPr>
                      <w:rFonts w:hint="eastAsia"/>
                      <w:color w:val="auto"/>
                      <w:szCs w:val="21"/>
                      <w:lang w:val="en-US" w:eastAsia="zh-CN"/>
                    </w:rPr>
                    <w:t>90.7</w:t>
                  </w:r>
                </w:p>
              </w:tc>
              <w:tc>
                <w:tcPr>
                  <w:tcW w:w="481" w:type="pct"/>
                  <w:tcBorders>
                    <w:top w:val="single" w:color="auto" w:sz="4" w:space="0"/>
                    <w:left w:val="single" w:color="auto" w:sz="4" w:space="0"/>
                    <w:right w:val="single" w:color="auto" w:sz="4" w:space="0"/>
                  </w:tcBorders>
                  <w:vAlign w:val="center"/>
                </w:tcPr>
                <w:p w14:paraId="73F0C3DE">
                  <w:pPr>
                    <w:snapToGrid w:val="0"/>
                    <w:spacing w:line="0" w:lineRule="atLeast"/>
                    <w:jc w:val="center"/>
                    <w:rPr>
                      <w:color w:val="auto"/>
                      <w:szCs w:val="21"/>
                    </w:rPr>
                  </w:pPr>
                  <w:r>
                    <w:rPr>
                      <w:rFonts w:hint="eastAsia"/>
                      <w:color w:val="auto"/>
                      <w:szCs w:val="21"/>
                    </w:rPr>
                    <w:t>0.0</w:t>
                  </w:r>
                </w:p>
              </w:tc>
              <w:tc>
                <w:tcPr>
                  <w:tcW w:w="422" w:type="pct"/>
                  <w:tcBorders>
                    <w:top w:val="single" w:color="auto" w:sz="4" w:space="0"/>
                    <w:left w:val="single" w:color="auto" w:sz="4" w:space="0"/>
                    <w:right w:val="single" w:color="auto" w:sz="4" w:space="0"/>
                  </w:tcBorders>
                  <w:vAlign w:val="center"/>
                </w:tcPr>
                <w:p w14:paraId="795E2907">
                  <w:pPr>
                    <w:jc w:val="center"/>
                    <w:rPr>
                      <w:color w:val="auto"/>
                      <w:szCs w:val="21"/>
                    </w:rPr>
                  </w:pPr>
                  <w:r>
                    <w:rPr>
                      <w:color w:val="auto"/>
                      <w:szCs w:val="21"/>
                    </w:rPr>
                    <w:t>达标</w:t>
                  </w:r>
                </w:p>
              </w:tc>
            </w:tr>
            <w:tr w14:paraId="4D28D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7CF31EF8">
                  <w:pPr>
                    <w:snapToGrid w:val="0"/>
                    <w:spacing w:line="0" w:lineRule="atLeast"/>
                    <w:jc w:val="center"/>
                    <w:rPr>
                      <w:color w:val="auto"/>
                      <w:szCs w:val="21"/>
                    </w:rPr>
                  </w:pPr>
                </w:p>
              </w:tc>
              <w:tc>
                <w:tcPr>
                  <w:tcW w:w="546" w:type="pct"/>
                  <w:gridSpan w:val="2"/>
                  <w:vMerge w:val="continue"/>
                  <w:tcBorders>
                    <w:left w:val="single" w:color="auto" w:sz="4" w:space="0"/>
                    <w:right w:val="single" w:color="auto" w:sz="4" w:space="0"/>
                  </w:tcBorders>
                  <w:vAlign w:val="center"/>
                </w:tcPr>
                <w:p w14:paraId="51957D0E">
                  <w:pPr>
                    <w:pStyle w:val="175"/>
                    <w:rPr>
                      <w:rFonts w:hAnsi="Times New Roman"/>
                      <w:color w:val="auto"/>
                    </w:rPr>
                  </w:pPr>
                </w:p>
              </w:tc>
              <w:tc>
                <w:tcPr>
                  <w:tcW w:w="413" w:type="pct"/>
                  <w:vMerge w:val="continue"/>
                  <w:tcBorders>
                    <w:left w:val="single" w:color="auto" w:sz="4" w:space="0"/>
                    <w:right w:val="single" w:color="auto" w:sz="4" w:space="0"/>
                  </w:tcBorders>
                  <w:vAlign w:val="center"/>
                </w:tcPr>
                <w:p w14:paraId="44A7C8AE">
                  <w:pPr>
                    <w:jc w:val="center"/>
                    <w:rPr>
                      <w:color w:val="auto"/>
                      <w:szCs w:val="21"/>
                    </w:rPr>
                  </w:pPr>
                </w:p>
              </w:tc>
              <w:tc>
                <w:tcPr>
                  <w:tcW w:w="943" w:type="pct"/>
                  <w:tcBorders>
                    <w:left w:val="single" w:color="auto" w:sz="4" w:space="0"/>
                    <w:right w:val="single" w:color="auto" w:sz="4" w:space="0"/>
                  </w:tcBorders>
                  <w:vAlign w:val="center"/>
                </w:tcPr>
                <w:p w14:paraId="529E1AEF">
                  <w:pPr>
                    <w:jc w:val="center"/>
                    <w:rPr>
                      <w:color w:val="auto"/>
                      <w:szCs w:val="21"/>
                    </w:rPr>
                  </w:pPr>
                  <w:r>
                    <w:rPr>
                      <w:color w:val="auto"/>
                      <w:szCs w:val="21"/>
                    </w:rPr>
                    <w:t>年平均</w:t>
                  </w:r>
                </w:p>
              </w:tc>
              <w:tc>
                <w:tcPr>
                  <w:tcW w:w="535" w:type="pct"/>
                  <w:tcBorders>
                    <w:top w:val="single" w:color="auto" w:sz="4" w:space="0"/>
                    <w:left w:val="single" w:color="auto" w:sz="4" w:space="0"/>
                    <w:right w:val="single" w:color="auto" w:sz="4" w:space="0"/>
                  </w:tcBorders>
                  <w:vAlign w:val="center"/>
                </w:tcPr>
                <w:p w14:paraId="4811F793">
                  <w:pPr>
                    <w:snapToGrid w:val="0"/>
                    <w:spacing w:line="0" w:lineRule="atLeast"/>
                    <w:jc w:val="center"/>
                    <w:rPr>
                      <w:color w:val="auto"/>
                      <w:szCs w:val="21"/>
                    </w:rPr>
                  </w:pPr>
                  <w:r>
                    <w:rPr>
                      <w:color w:val="auto"/>
                      <w:szCs w:val="21"/>
                    </w:rPr>
                    <w:t>33</w:t>
                  </w:r>
                </w:p>
              </w:tc>
              <w:tc>
                <w:tcPr>
                  <w:tcW w:w="690" w:type="pct"/>
                  <w:tcBorders>
                    <w:top w:val="single" w:color="auto" w:sz="4" w:space="0"/>
                    <w:left w:val="single" w:color="auto" w:sz="4" w:space="0"/>
                    <w:right w:val="single" w:color="auto" w:sz="4" w:space="0"/>
                  </w:tcBorders>
                  <w:vAlign w:val="center"/>
                </w:tcPr>
                <w:p w14:paraId="200F3D22">
                  <w:pPr>
                    <w:pStyle w:val="175"/>
                    <w:rPr>
                      <w:rFonts w:hint="default" w:hAnsi="Times New Roman" w:eastAsia="宋体"/>
                      <w:color w:val="auto"/>
                      <w:lang w:val="en-US" w:eastAsia="zh-CN"/>
                    </w:rPr>
                  </w:pPr>
                  <w:r>
                    <w:rPr>
                      <w:rFonts w:hint="eastAsia" w:hAnsi="Times New Roman"/>
                      <w:color w:val="auto"/>
                      <w:lang w:val="en-US" w:eastAsia="zh-CN"/>
                    </w:rPr>
                    <w:t>20</w:t>
                  </w:r>
                </w:p>
              </w:tc>
              <w:tc>
                <w:tcPr>
                  <w:tcW w:w="953" w:type="dxa"/>
                  <w:tcBorders>
                    <w:top w:val="single" w:color="auto" w:sz="4" w:space="0"/>
                    <w:left w:val="single" w:color="auto" w:sz="4" w:space="0"/>
                    <w:right w:val="single" w:color="auto" w:sz="4" w:space="0"/>
                  </w:tcBorders>
                  <w:vAlign w:val="center"/>
                </w:tcPr>
                <w:p w14:paraId="48E8D903">
                  <w:pPr>
                    <w:snapToGrid w:val="0"/>
                    <w:spacing w:line="0" w:lineRule="atLeast"/>
                    <w:jc w:val="center"/>
                    <w:rPr>
                      <w:color w:val="auto"/>
                      <w:szCs w:val="21"/>
                    </w:rPr>
                  </w:pPr>
                  <w:r>
                    <w:rPr>
                      <w:rFonts w:hint="eastAsia"/>
                      <w:color w:val="auto"/>
                      <w:szCs w:val="21"/>
                    </w:rPr>
                    <w:t>/</w:t>
                  </w:r>
                </w:p>
              </w:tc>
              <w:tc>
                <w:tcPr>
                  <w:tcW w:w="803" w:type="dxa"/>
                  <w:tcBorders>
                    <w:left w:val="single" w:color="auto" w:sz="4" w:space="0"/>
                    <w:right w:val="single" w:color="auto" w:sz="4" w:space="0"/>
                  </w:tcBorders>
                  <w:vAlign w:val="center"/>
                </w:tcPr>
                <w:p w14:paraId="64AED490">
                  <w:pPr>
                    <w:snapToGrid w:val="0"/>
                    <w:spacing w:line="0" w:lineRule="atLeast"/>
                    <w:jc w:val="center"/>
                    <w:rPr>
                      <w:color w:val="auto"/>
                      <w:szCs w:val="21"/>
                    </w:rPr>
                  </w:pPr>
                  <w:r>
                    <w:rPr>
                      <w:rFonts w:hint="eastAsia"/>
                      <w:color w:val="auto"/>
                      <w:szCs w:val="21"/>
                    </w:rPr>
                    <w:t>/</w:t>
                  </w:r>
                </w:p>
              </w:tc>
              <w:tc>
                <w:tcPr>
                  <w:tcW w:w="704" w:type="dxa"/>
                  <w:tcBorders>
                    <w:top w:val="single" w:color="auto" w:sz="4" w:space="0"/>
                    <w:left w:val="single" w:color="auto" w:sz="4" w:space="0"/>
                    <w:right w:val="single" w:color="auto" w:sz="4" w:space="0"/>
                  </w:tcBorders>
                  <w:vAlign w:val="center"/>
                </w:tcPr>
                <w:p w14:paraId="0AA9079F">
                  <w:pPr>
                    <w:jc w:val="center"/>
                    <w:rPr>
                      <w:color w:val="auto"/>
                      <w:szCs w:val="21"/>
                    </w:rPr>
                  </w:pPr>
                  <w:r>
                    <w:rPr>
                      <w:color w:val="auto"/>
                      <w:szCs w:val="21"/>
                    </w:rPr>
                    <w:t>达标</w:t>
                  </w:r>
                </w:p>
              </w:tc>
            </w:tr>
            <w:tr w14:paraId="4C729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5A2EF182">
                  <w:pPr>
                    <w:snapToGrid w:val="0"/>
                    <w:spacing w:line="0" w:lineRule="atLeast"/>
                    <w:jc w:val="center"/>
                    <w:rPr>
                      <w:color w:val="auto"/>
                      <w:szCs w:val="21"/>
                    </w:rPr>
                  </w:pPr>
                </w:p>
              </w:tc>
              <w:tc>
                <w:tcPr>
                  <w:tcW w:w="923" w:type="dxa"/>
                  <w:gridSpan w:val="2"/>
                  <w:tcBorders>
                    <w:left w:val="single" w:color="auto" w:sz="4" w:space="0"/>
                    <w:right w:val="single" w:color="auto" w:sz="4" w:space="0"/>
                  </w:tcBorders>
                  <w:vAlign w:val="center"/>
                </w:tcPr>
                <w:p w14:paraId="103BC078">
                  <w:pPr>
                    <w:jc w:val="center"/>
                    <w:rPr>
                      <w:color w:val="auto"/>
                      <w:szCs w:val="21"/>
                    </w:rPr>
                  </w:pPr>
                  <w:r>
                    <w:rPr>
                      <w:rFonts w:hint="eastAsia"/>
                      <w:bCs/>
                      <w:color w:val="auto"/>
                      <w:szCs w:val="21"/>
                    </w:rPr>
                    <w:t>南朗站</w:t>
                  </w:r>
                </w:p>
              </w:tc>
              <w:tc>
                <w:tcPr>
                  <w:tcW w:w="413" w:type="pct"/>
                  <w:tcBorders>
                    <w:left w:val="single" w:color="auto" w:sz="4" w:space="0"/>
                    <w:right w:val="single" w:color="auto" w:sz="4" w:space="0"/>
                  </w:tcBorders>
                  <w:vAlign w:val="center"/>
                </w:tcPr>
                <w:p w14:paraId="78E07840">
                  <w:pPr>
                    <w:jc w:val="center"/>
                    <w:rPr>
                      <w:color w:val="auto"/>
                      <w:szCs w:val="21"/>
                    </w:rPr>
                  </w:pPr>
                  <w:r>
                    <w:rPr>
                      <w:color w:val="auto"/>
                      <w:szCs w:val="21"/>
                    </w:rPr>
                    <w:t>O</w:t>
                  </w:r>
                  <w:r>
                    <w:rPr>
                      <w:color w:val="auto"/>
                      <w:szCs w:val="21"/>
                      <w:vertAlign w:val="subscript"/>
                    </w:rPr>
                    <w:t>3</w:t>
                  </w:r>
                </w:p>
              </w:tc>
              <w:tc>
                <w:tcPr>
                  <w:tcW w:w="943" w:type="pct"/>
                  <w:tcBorders>
                    <w:left w:val="single" w:color="auto" w:sz="4" w:space="0"/>
                    <w:right w:val="single" w:color="auto" w:sz="4" w:space="0"/>
                  </w:tcBorders>
                  <w:vAlign w:val="center"/>
                </w:tcPr>
                <w:p w14:paraId="081D1803">
                  <w:pPr>
                    <w:jc w:val="center"/>
                    <w:rPr>
                      <w:color w:val="auto"/>
                      <w:szCs w:val="21"/>
                    </w:rPr>
                  </w:pPr>
                  <w:r>
                    <w:rPr>
                      <w:color w:val="auto"/>
                      <w:szCs w:val="21"/>
                    </w:rPr>
                    <w:t>8小时平均第90百分位数</w:t>
                  </w:r>
                </w:p>
              </w:tc>
              <w:tc>
                <w:tcPr>
                  <w:tcW w:w="535" w:type="pct"/>
                  <w:tcBorders>
                    <w:top w:val="single" w:color="auto" w:sz="4" w:space="0"/>
                    <w:left w:val="single" w:color="auto" w:sz="4" w:space="0"/>
                    <w:bottom w:val="single" w:color="auto" w:sz="4" w:space="0"/>
                    <w:right w:val="single" w:color="auto" w:sz="4" w:space="0"/>
                  </w:tcBorders>
                  <w:vAlign w:val="center"/>
                </w:tcPr>
                <w:p w14:paraId="7DE97FD5">
                  <w:pPr>
                    <w:snapToGrid w:val="0"/>
                    <w:spacing w:line="0" w:lineRule="atLeast"/>
                    <w:jc w:val="center"/>
                    <w:rPr>
                      <w:color w:val="auto"/>
                      <w:szCs w:val="21"/>
                    </w:rPr>
                  </w:pPr>
                  <w:r>
                    <w:rPr>
                      <w:color w:val="auto"/>
                      <w:szCs w:val="21"/>
                    </w:rPr>
                    <w:t>160</w:t>
                  </w:r>
                </w:p>
              </w:tc>
              <w:tc>
                <w:tcPr>
                  <w:tcW w:w="690" w:type="pct"/>
                  <w:tcBorders>
                    <w:top w:val="single" w:color="auto" w:sz="4" w:space="0"/>
                    <w:left w:val="single" w:color="auto" w:sz="4" w:space="0"/>
                    <w:bottom w:val="single" w:color="auto" w:sz="4" w:space="0"/>
                    <w:right w:val="single" w:color="auto" w:sz="4" w:space="0"/>
                  </w:tcBorders>
                  <w:vAlign w:val="center"/>
                </w:tcPr>
                <w:p w14:paraId="2E1A559B">
                  <w:pPr>
                    <w:pStyle w:val="175"/>
                    <w:rPr>
                      <w:rFonts w:hint="default" w:hAnsi="Times New Roman" w:eastAsia="宋体"/>
                      <w:color w:val="auto"/>
                      <w:lang w:val="en-US" w:eastAsia="zh-CN"/>
                    </w:rPr>
                  </w:pPr>
                  <w:r>
                    <w:rPr>
                      <w:rFonts w:hint="eastAsia" w:hAnsi="Times New Roman"/>
                      <w:color w:val="auto"/>
                      <w:lang w:val="en-US" w:eastAsia="zh-CN"/>
                    </w:rPr>
                    <w:t>150</w:t>
                  </w:r>
                </w:p>
              </w:tc>
              <w:tc>
                <w:tcPr>
                  <w:tcW w:w="966" w:type="dxa"/>
                  <w:tcBorders>
                    <w:top w:val="single" w:color="auto" w:sz="4" w:space="0"/>
                    <w:left w:val="single" w:color="auto" w:sz="4" w:space="0"/>
                    <w:bottom w:val="single" w:color="auto" w:sz="4" w:space="0"/>
                    <w:right w:val="single" w:color="auto" w:sz="4" w:space="0"/>
                  </w:tcBorders>
                  <w:vAlign w:val="center"/>
                </w:tcPr>
                <w:p w14:paraId="62FFE1F6">
                  <w:pPr>
                    <w:keepNext w:val="0"/>
                    <w:keepLines w:val="0"/>
                    <w:widowControl/>
                    <w:suppressLineNumbers w:val="0"/>
                    <w:jc w:val="center"/>
                    <w:textAlignment w:val="center"/>
                    <w:rPr>
                      <w:rFonts w:hint="default"/>
                      <w:color w:val="auto"/>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37</w:t>
                  </w:r>
                </w:p>
              </w:tc>
              <w:tc>
                <w:tcPr>
                  <w:tcW w:w="812" w:type="dxa"/>
                  <w:tcBorders>
                    <w:left w:val="single" w:color="auto" w:sz="4" w:space="0"/>
                    <w:bottom w:val="single" w:color="auto" w:sz="4" w:space="0"/>
                    <w:right w:val="single" w:color="auto" w:sz="4" w:space="0"/>
                  </w:tcBorders>
                  <w:vAlign w:val="center"/>
                </w:tcPr>
                <w:p w14:paraId="70C0C15F">
                  <w:pPr>
                    <w:pStyle w:val="175"/>
                    <w:ind w:firstLine="2" w:firstLineChars="0"/>
                    <w:rPr>
                      <w:color w:val="auto"/>
                      <w:sz w:val="21"/>
                      <w:szCs w:val="21"/>
                    </w:rPr>
                  </w:pPr>
                  <w:r>
                    <w:rPr>
                      <w:rFonts w:hint="eastAsia" w:hAnsi="Times New Roman"/>
                      <w:color w:val="auto"/>
                      <w:sz w:val="21"/>
                      <w:szCs w:val="21"/>
                      <w:highlight w:val="none"/>
                      <w:lang w:val="en-US" w:eastAsia="zh-CN"/>
                    </w:rPr>
                    <w:t>5.79</w:t>
                  </w:r>
                </w:p>
              </w:tc>
              <w:tc>
                <w:tcPr>
                  <w:tcW w:w="422" w:type="pct"/>
                  <w:tcBorders>
                    <w:left w:val="single" w:color="auto" w:sz="4" w:space="0"/>
                    <w:bottom w:val="single" w:color="auto" w:sz="4" w:space="0"/>
                    <w:right w:val="single" w:color="auto" w:sz="4" w:space="0"/>
                  </w:tcBorders>
                  <w:vAlign w:val="center"/>
                </w:tcPr>
                <w:p w14:paraId="349D58B2">
                  <w:pPr>
                    <w:pStyle w:val="175"/>
                    <w:rPr>
                      <w:rFonts w:hAnsi="Times New Roman"/>
                      <w:color w:val="auto"/>
                    </w:rPr>
                  </w:pPr>
                  <w:r>
                    <w:rPr>
                      <w:rFonts w:hint="eastAsia"/>
                      <w:color w:val="auto"/>
                      <w:lang w:val="en-US" w:eastAsia="zh-CN"/>
                    </w:rPr>
                    <w:t>达</w:t>
                  </w:r>
                  <w:r>
                    <w:rPr>
                      <w:color w:val="auto"/>
                    </w:rPr>
                    <w:t>标</w:t>
                  </w:r>
                </w:p>
              </w:tc>
            </w:tr>
            <w:tr w14:paraId="56194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Merge w:val="continue"/>
                  <w:tcBorders>
                    <w:left w:val="single" w:color="auto" w:sz="4" w:space="0"/>
                    <w:right w:val="single" w:color="auto" w:sz="4" w:space="0"/>
                  </w:tcBorders>
                  <w:vAlign w:val="center"/>
                </w:tcPr>
                <w:p w14:paraId="102EF5C9">
                  <w:pPr>
                    <w:snapToGrid w:val="0"/>
                    <w:spacing w:line="0" w:lineRule="atLeast"/>
                    <w:jc w:val="center"/>
                    <w:rPr>
                      <w:color w:val="auto"/>
                      <w:szCs w:val="21"/>
                    </w:rPr>
                  </w:pPr>
                </w:p>
              </w:tc>
              <w:tc>
                <w:tcPr>
                  <w:tcW w:w="923" w:type="dxa"/>
                  <w:gridSpan w:val="2"/>
                  <w:tcBorders>
                    <w:left w:val="single" w:color="auto" w:sz="4" w:space="0"/>
                    <w:right w:val="single" w:color="auto" w:sz="4" w:space="0"/>
                  </w:tcBorders>
                  <w:vAlign w:val="center"/>
                </w:tcPr>
                <w:p w14:paraId="39C74DE6">
                  <w:pPr>
                    <w:jc w:val="center"/>
                    <w:rPr>
                      <w:color w:val="auto"/>
                      <w:szCs w:val="21"/>
                    </w:rPr>
                  </w:pPr>
                  <w:r>
                    <w:rPr>
                      <w:rFonts w:hint="eastAsia"/>
                      <w:bCs/>
                      <w:color w:val="auto"/>
                      <w:szCs w:val="21"/>
                    </w:rPr>
                    <w:t>南朗站</w:t>
                  </w:r>
                </w:p>
              </w:tc>
              <w:tc>
                <w:tcPr>
                  <w:tcW w:w="413" w:type="pct"/>
                  <w:tcBorders>
                    <w:left w:val="single" w:color="auto" w:sz="4" w:space="0"/>
                    <w:right w:val="single" w:color="auto" w:sz="4" w:space="0"/>
                  </w:tcBorders>
                  <w:vAlign w:val="center"/>
                </w:tcPr>
                <w:p w14:paraId="54E4D4CA">
                  <w:pPr>
                    <w:jc w:val="center"/>
                    <w:rPr>
                      <w:color w:val="auto"/>
                      <w:szCs w:val="21"/>
                    </w:rPr>
                  </w:pPr>
                  <w:r>
                    <w:rPr>
                      <w:color w:val="auto"/>
                      <w:szCs w:val="21"/>
                    </w:rPr>
                    <w:t>CO</w:t>
                  </w:r>
                </w:p>
              </w:tc>
              <w:tc>
                <w:tcPr>
                  <w:tcW w:w="943" w:type="pct"/>
                  <w:tcBorders>
                    <w:left w:val="single" w:color="auto" w:sz="4" w:space="0"/>
                    <w:right w:val="single" w:color="auto" w:sz="4" w:space="0"/>
                  </w:tcBorders>
                  <w:vAlign w:val="center"/>
                </w:tcPr>
                <w:p w14:paraId="33F87AB9">
                  <w:pPr>
                    <w:jc w:val="center"/>
                    <w:rPr>
                      <w:color w:val="auto"/>
                      <w:szCs w:val="21"/>
                    </w:rPr>
                  </w:pPr>
                  <w:r>
                    <w:rPr>
                      <w:color w:val="auto"/>
                      <w:szCs w:val="21"/>
                    </w:rPr>
                    <w:t>24小时平均第95百分位数</w:t>
                  </w:r>
                </w:p>
              </w:tc>
              <w:tc>
                <w:tcPr>
                  <w:tcW w:w="535" w:type="pct"/>
                  <w:tcBorders>
                    <w:top w:val="single" w:color="auto" w:sz="4" w:space="0"/>
                    <w:left w:val="single" w:color="auto" w:sz="4" w:space="0"/>
                    <w:bottom w:val="single" w:color="auto" w:sz="4" w:space="0"/>
                    <w:right w:val="single" w:color="auto" w:sz="4" w:space="0"/>
                  </w:tcBorders>
                  <w:vAlign w:val="center"/>
                </w:tcPr>
                <w:p w14:paraId="7BA6BAC1">
                  <w:pPr>
                    <w:snapToGrid w:val="0"/>
                    <w:spacing w:line="0" w:lineRule="atLeast"/>
                    <w:jc w:val="center"/>
                    <w:rPr>
                      <w:color w:val="auto"/>
                      <w:szCs w:val="21"/>
                    </w:rPr>
                  </w:pPr>
                  <w:r>
                    <w:rPr>
                      <w:color w:val="auto"/>
                      <w:szCs w:val="21"/>
                    </w:rPr>
                    <w:t>4000</w:t>
                  </w:r>
                </w:p>
              </w:tc>
              <w:tc>
                <w:tcPr>
                  <w:tcW w:w="690" w:type="pct"/>
                  <w:tcBorders>
                    <w:top w:val="single" w:color="auto" w:sz="4" w:space="0"/>
                    <w:left w:val="single" w:color="auto" w:sz="4" w:space="0"/>
                    <w:bottom w:val="single" w:color="auto" w:sz="4" w:space="0"/>
                    <w:right w:val="single" w:color="auto" w:sz="4" w:space="0"/>
                  </w:tcBorders>
                  <w:vAlign w:val="center"/>
                </w:tcPr>
                <w:p w14:paraId="5313EDDC">
                  <w:pPr>
                    <w:pStyle w:val="175"/>
                    <w:rPr>
                      <w:rFonts w:hAnsi="Times New Roman"/>
                      <w:color w:val="auto"/>
                    </w:rPr>
                  </w:pPr>
                  <w:r>
                    <w:rPr>
                      <w:rFonts w:hint="eastAsia" w:hAnsi="Times New Roman"/>
                      <w:color w:val="auto"/>
                    </w:rPr>
                    <w:t>800</w:t>
                  </w:r>
                </w:p>
              </w:tc>
              <w:tc>
                <w:tcPr>
                  <w:tcW w:w="571" w:type="pct"/>
                  <w:tcBorders>
                    <w:top w:val="single" w:color="auto" w:sz="4" w:space="0"/>
                    <w:left w:val="single" w:color="auto" w:sz="4" w:space="0"/>
                    <w:bottom w:val="single" w:color="auto" w:sz="4" w:space="0"/>
                    <w:right w:val="single" w:color="auto" w:sz="4" w:space="0"/>
                  </w:tcBorders>
                  <w:vAlign w:val="center"/>
                </w:tcPr>
                <w:p w14:paraId="75699270">
                  <w:pPr>
                    <w:snapToGrid w:val="0"/>
                    <w:spacing w:line="0" w:lineRule="atLeast"/>
                    <w:jc w:val="center"/>
                    <w:rPr>
                      <w:rFonts w:hint="eastAsia" w:eastAsia="宋体"/>
                      <w:color w:val="auto"/>
                      <w:szCs w:val="21"/>
                      <w:lang w:eastAsia="zh-CN"/>
                    </w:rPr>
                  </w:pPr>
                  <w:r>
                    <w:rPr>
                      <w:rFonts w:hint="eastAsia"/>
                      <w:color w:val="auto"/>
                      <w:szCs w:val="21"/>
                    </w:rPr>
                    <w:t>2</w:t>
                  </w:r>
                  <w:r>
                    <w:rPr>
                      <w:rFonts w:hint="eastAsia"/>
                      <w:color w:val="auto"/>
                      <w:szCs w:val="21"/>
                      <w:lang w:val="en-US" w:eastAsia="zh-CN"/>
                    </w:rPr>
                    <w:t>5</w:t>
                  </w:r>
                </w:p>
              </w:tc>
              <w:tc>
                <w:tcPr>
                  <w:tcW w:w="481" w:type="pct"/>
                  <w:tcBorders>
                    <w:left w:val="single" w:color="auto" w:sz="4" w:space="0"/>
                    <w:right w:val="single" w:color="auto" w:sz="4" w:space="0"/>
                  </w:tcBorders>
                  <w:vAlign w:val="center"/>
                </w:tcPr>
                <w:p w14:paraId="0C0731EC">
                  <w:pPr>
                    <w:snapToGrid w:val="0"/>
                    <w:spacing w:line="0" w:lineRule="atLeast"/>
                    <w:jc w:val="center"/>
                    <w:rPr>
                      <w:color w:val="auto"/>
                      <w:szCs w:val="21"/>
                    </w:rPr>
                  </w:pPr>
                  <w:r>
                    <w:rPr>
                      <w:rFonts w:hint="eastAsia"/>
                      <w:color w:val="auto"/>
                      <w:szCs w:val="21"/>
                    </w:rPr>
                    <w:t>0.0</w:t>
                  </w:r>
                </w:p>
              </w:tc>
              <w:tc>
                <w:tcPr>
                  <w:tcW w:w="422" w:type="pct"/>
                  <w:tcBorders>
                    <w:left w:val="single" w:color="auto" w:sz="4" w:space="0"/>
                    <w:right w:val="single" w:color="auto" w:sz="4" w:space="0"/>
                  </w:tcBorders>
                  <w:vAlign w:val="center"/>
                </w:tcPr>
                <w:p w14:paraId="5C75F9B0">
                  <w:pPr>
                    <w:pStyle w:val="175"/>
                    <w:rPr>
                      <w:rFonts w:hAnsi="Times New Roman"/>
                      <w:color w:val="auto"/>
                    </w:rPr>
                  </w:pPr>
                  <w:r>
                    <w:rPr>
                      <w:rFonts w:hAnsi="Times New Roman"/>
                      <w:color w:val="auto"/>
                    </w:rPr>
                    <w:t>达标</w:t>
                  </w:r>
                </w:p>
              </w:tc>
            </w:tr>
          </w:tbl>
          <w:p w14:paraId="0C8A6871">
            <w:pPr>
              <w:snapToGrid w:val="0"/>
              <w:spacing w:line="360" w:lineRule="auto"/>
              <w:ind w:firstLine="420" w:firstLineChars="200"/>
              <w:rPr>
                <w:rFonts w:hint="eastAsia"/>
                <w:color w:val="auto"/>
                <w:szCs w:val="21"/>
                <w:lang w:val="zh-CN"/>
              </w:rPr>
            </w:pPr>
            <w:r>
              <w:rPr>
                <w:rFonts w:hint="eastAsia"/>
                <w:color w:val="auto"/>
                <w:szCs w:val="21"/>
                <w:lang w:val="zh-CN"/>
              </w:rPr>
              <w:t>由表可知，2024年中山市南朗监测站SO2、NO2年平均及24小时平均第98百分位数浓度达到《环境空气质量标准》（GB3095-2012）及2018年修改单中的二级标准；PM10、PM2.5年平均及24小时平均第95百分位数浓度达到《环境空气质量标准》（GB3095-2012）及2018年修改单中的二级标准；CO 24小时平均第95百分位数达到《环境空气质量标准》（GB3095-2012）及2018年修改单中的二级标准；O3日最大8h滑动平均值第90百分位数浓度达到《环境空气质量标准》（GB3095-2012）及2018年修改单中的二级标准。</w:t>
            </w:r>
          </w:p>
          <w:p w14:paraId="6BCC59CE">
            <w:pPr>
              <w:pStyle w:val="95"/>
              <w:ind w:firstLine="422"/>
              <w:rPr>
                <w:b/>
                <w:color w:val="auto"/>
                <w:sz w:val="21"/>
                <w:szCs w:val="21"/>
              </w:rPr>
            </w:pPr>
            <w:r>
              <w:rPr>
                <w:b/>
                <w:color w:val="auto"/>
                <w:sz w:val="21"/>
                <w:szCs w:val="21"/>
              </w:rPr>
              <w:t>3</w:t>
            </w:r>
            <w:r>
              <w:rPr>
                <w:rFonts w:hint="eastAsia"/>
                <w:b/>
                <w:color w:val="auto"/>
                <w:sz w:val="21"/>
                <w:szCs w:val="21"/>
              </w:rPr>
              <w:t>、特征污染物环境质量现状</w:t>
            </w:r>
          </w:p>
          <w:p w14:paraId="2698F4B1">
            <w:pPr>
              <w:snapToGrid w:val="0"/>
              <w:spacing w:line="460" w:lineRule="exact"/>
              <w:ind w:firstLine="420" w:firstLineChars="200"/>
              <w:rPr>
                <w:color w:val="auto"/>
                <w:szCs w:val="21"/>
                <w:lang w:val="zh-CN"/>
              </w:rPr>
            </w:pPr>
            <w:r>
              <w:rPr>
                <w:rFonts w:hint="eastAsia"/>
                <w:color w:val="auto"/>
                <w:szCs w:val="21"/>
                <w:lang w:val="zh-CN"/>
              </w:rPr>
              <w:t>本项目的特征因子有臭气浓度、</w:t>
            </w:r>
            <w:r>
              <w:rPr>
                <w:rFonts w:hint="eastAsia"/>
                <w:color w:val="auto"/>
                <w:szCs w:val="21"/>
                <w:lang w:val="en-US" w:eastAsia="zh-CN"/>
              </w:rPr>
              <w:t>氮氧化物、二氧化硫、林格曼黑度、</w:t>
            </w:r>
            <w:r>
              <w:rPr>
                <w:rFonts w:hint="eastAsia"/>
                <w:color w:val="auto"/>
                <w:szCs w:val="21"/>
                <w:lang w:val="en-US" w:eastAsia="zh-CN"/>
              </w:rPr>
              <w:t>TVOC</w:t>
            </w:r>
            <w:r>
              <w:rPr>
                <w:rFonts w:hint="eastAsia"/>
                <w:color w:val="auto"/>
                <w:szCs w:val="21"/>
                <w:lang w:val="en-US" w:eastAsia="zh-CN"/>
              </w:rPr>
              <w:t>、</w:t>
            </w:r>
            <w:r>
              <w:rPr>
                <w:rFonts w:hint="eastAsia"/>
                <w:color w:val="auto"/>
                <w:szCs w:val="21"/>
                <w:lang w:val="zh-CN"/>
              </w:rPr>
              <w:t>非甲烷总烃和TSP，由于臭气浓度、</w:t>
            </w:r>
            <w:r>
              <w:rPr>
                <w:rFonts w:hint="eastAsia"/>
                <w:color w:val="auto"/>
                <w:szCs w:val="21"/>
                <w:lang w:val="en-US" w:eastAsia="zh-CN"/>
              </w:rPr>
              <w:t>氮氧化物、二氧化硫、林格曼黑度</w:t>
            </w:r>
            <w:r>
              <w:rPr>
                <w:rFonts w:hint="eastAsia"/>
                <w:color w:val="auto"/>
                <w:szCs w:val="21"/>
                <w:lang w:val="zh-CN"/>
              </w:rPr>
              <w:t>、</w:t>
            </w:r>
            <w:r>
              <w:rPr>
                <w:rFonts w:hint="eastAsia"/>
                <w:color w:val="auto"/>
                <w:szCs w:val="21"/>
                <w:lang w:val="en-US" w:eastAsia="zh-CN"/>
              </w:rPr>
              <w:t>TVOC、</w:t>
            </w:r>
            <w:r>
              <w:rPr>
                <w:rFonts w:hint="eastAsia"/>
                <w:color w:val="auto"/>
                <w:szCs w:val="21"/>
                <w:lang w:val="zh-CN"/>
              </w:rPr>
              <w:t>非甲烷总烃无相关国家、地方环境质量标准，故不进行其他污染物环境质量现状的调查，本项目仅对TSP进行现状调查。</w:t>
            </w:r>
          </w:p>
          <w:p w14:paraId="06D87A11">
            <w:pPr>
              <w:snapToGrid w:val="0"/>
              <w:spacing w:line="460" w:lineRule="exact"/>
              <w:ind w:firstLine="420" w:firstLineChars="200"/>
              <w:rPr>
                <w:rFonts w:hint="eastAsia" w:ascii="宋体" w:hAnsi="宋体" w:cs="宋体"/>
                <w:color w:val="auto"/>
                <w:kern w:val="0"/>
                <w:szCs w:val="21"/>
                <w:lang w:eastAsia="zh-CN"/>
              </w:rPr>
            </w:pPr>
            <w:r>
              <w:rPr>
                <w:rFonts w:hint="eastAsia"/>
                <w:color w:val="auto"/>
                <w:szCs w:val="21"/>
              </w:rPr>
              <w:t>项目T</w:t>
            </w:r>
            <w:r>
              <w:rPr>
                <w:color w:val="auto"/>
                <w:szCs w:val="21"/>
              </w:rPr>
              <w:t>SP</w:t>
            </w:r>
            <w:r>
              <w:rPr>
                <w:color w:val="auto"/>
                <w:szCs w:val="21"/>
                <w:lang w:val="zh-CN"/>
              </w:rPr>
              <w:t>引</w:t>
            </w:r>
            <w:r>
              <w:rPr>
                <w:color w:val="auto"/>
                <w:szCs w:val="21"/>
                <w:lang w:val="zh-CN"/>
              </w:rPr>
              <w:t>用</w:t>
            </w:r>
            <w:r>
              <w:rPr>
                <w:rFonts w:hint="eastAsia"/>
                <w:color w:val="auto"/>
                <w:szCs w:val="21"/>
                <w:lang w:val="zh-CN"/>
              </w:rPr>
              <w:t>《中山市</w:t>
            </w:r>
            <w:r>
              <w:rPr>
                <w:rFonts w:hint="eastAsia"/>
                <w:color w:val="auto"/>
                <w:szCs w:val="21"/>
                <w:lang w:val="en-US" w:eastAsia="zh-CN"/>
              </w:rPr>
              <w:t>嘉都绿色食品</w:t>
            </w:r>
            <w:r>
              <w:rPr>
                <w:rFonts w:hint="eastAsia"/>
                <w:color w:val="auto"/>
                <w:szCs w:val="21"/>
                <w:lang w:val="zh-CN"/>
              </w:rPr>
              <w:t>有限公司》监测报告（报告编号：</w:t>
            </w:r>
            <w:r>
              <w:rPr>
                <w:rFonts w:hint="eastAsia"/>
                <w:color w:val="auto"/>
                <w:szCs w:val="21"/>
                <w:lang w:val="en-US" w:eastAsia="zh-CN"/>
              </w:rPr>
              <w:t>HSH20240722004</w:t>
            </w:r>
            <w:r>
              <w:rPr>
                <w:rFonts w:hint="eastAsia"/>
                <w:color w:val="auto"/>
                <w:szCs w:val="21"/>
                <w:lang w:val="zh-CN"/>
              </w:rPr>
              <w:t>）</w:t>
            </w:r>
            <w:r>
              <w:rPr>
                <w:rFonts w:hint="eastAsia"/>
                <w:color w:val="auto"/>
                <w:szCs w:val="21"/>
                <w:lang w:val="zh-CN"/>
              </w:rPr>
              <w:t>的</w:t>
            </w:r>
            <w:r>
              <w:rPr>
                <w:rFonts w:hint="eastAsia"/>
                <w:color w:val="auto"/>
                <w:szCs w:val="21"/>
              </w:rPr>
              <w:t>现</w:t>
            </w:r>
            <w:r>
              <w:rPr>
                <w:color w:val="auto"/>
                <w:szCs w:val="21"/>
              </w:rPr>
              <w:t>状监测数据中监测点</w:t>
            </w:r>
            <w:r>
              <w:rPr>
                <w:rFonts w:hint="eastAsia"/>
                <w:color w:val="auto"/>
                <w:szCs w:val="21"/>
                <w:lang w:val="en-US" w:eastAsia="zh-CN"/>
              </w:rPr>
              <w:t>A</w:t>
            </w:r>
            <w:r>
              <w:rPr>
                <w:color w:val="auto"/>
                <w:szCs w:val="21"/>
              </w:rPr>
              <w:t>1</w:t>
            </w:r>
            <w:r>
              <w:rPr>
                <w:rFonts w:hint="eastAsia" w:ascii="宋体" w:hAnsi="宋体"/>
                <w:color w:val="auto"/>
                <w:szCs w:val="21"/>
              </w:rPr>
              <w:t>，</w:t>
            </w:r>
            <w:r>
              <w:rPr>
                <w:color w:val="auto"/>
                <w:szCs w:val="21"/>
              </w:rPr>
              <w:t>与本项目的距离约为</w:t>
            </w:r>
            <w:r>
              <w:rPr>
                <w:color w:val="auto"/>
              </w:rPr>
              <w:t>4</w:t>
            </w:r>
            <w:r>
              <w:rPr>
                <w:rFonts w:hint="eastAsia"/>
                <w:color w:val="auto"/>
                <w:lang w:val="en-US" w:eastAsia="zh-CN"/>
              </w:rPr>
              <w:t>670</w:t>
            </w:r>
            <w:r>
              <w:rPr>
                <w:rFonts w:hint="eastAsia"/>
                <w:color w:val="auto"/>
                <w:szCs w:val="21"/>
              </w:rPr>
              <w:t>m</w:t>
            </w:r>
            <w:r>
              <w:rPr>
                <w:color w:val="auto"/>
                <w:szCs w:val="21"/>
              </w:rPr>
              <w:t>，位于项目的评价范围内；现场监测的时间为</w:t>
            </w:r>
            <w:r>
              <w:rPr>
                <w:rFonts w:hint="eastAsia"/>
                <w:color w:val="auto"/>
                <w:szCs w:val="21"/>
              </w:rPr>
              <w:t>2024年7月1</w:t>
            </w:r>
            <w:r>
              <w:rPr>
                <w:rFonts w:hint="eastAsia"/>
                <w:color w:val="auto"/>
                <w:szCs w:val="21"/>
                <w:lang w:val="en-US" w:eastAsia="zh-CN"/>
              </w:rPr>
              <w:t>7</w:t>
            </w:r>
            <w:r>
              <w:rPr>
                <w:rFonts w:hint="eastAsia"/>
                <w:color w:val="auto"/>
                <w:szCs w:val="21"/>
              </w:rPr>
              <w:t>日-7月1</w:t>
            </w:r>
            <w:r>
              <w:rPr>
                <w:rFonts w:hint="eastAsia"/>
                <w:color w:val="auto"/>
                <w:szCs w:val="21"/>
                <w:lang w:val="en-US" w:eastAsia="zh-CN"/>
              </w:rPr>
              <w:t>9</w:t>
            </w:r>
            <w:r>
              <w:rPr>
                <w:rFonts w:hint="eastAsia"/>
                <w:color w:val="auto"/>
                <w:szCs w:val="21"/>
              </w:rPr>
              <w:t>日</w:t>
            </w:r>
            <w:r>
              <w:rPr>
                <w:color w:val="auto"/>
                <w:szCs w:val="21"/>
              </w:rPr>
              <w:t>，因此引用属于具有有效性</w:t>
            </w:r>
            <w:r>
              <w:rPr>
                <w:rFonts w:hint="eastAsia" w:ascii="宋体" w:hAnsi="宋体" w:cs="宋体"/>
                <w:color w:val="auto"/>
                <w:kern w:val="0"/>
                <w:szCs w:val="21"/>
              </w:rPr>
              <w:t>。监测数据见下表</w:t>
            </w:r>
            <w:r>
              <w:rPr>
                <w:rFonts w:hint="eastAsia" w:ascii="宋体" w:hAnsi="宋体" w:cs="宋体"/>
                <w:color w:val="auto"/>
                <w:kern w:val="0"/>
                <w:szCs w:val="21"/>
                <w:lang w:eastAsia="zh-CN"/>
              </w:rPr>
              <w:t>：</w:t>
            </w:r>
          </w:p>
          <w:p w14:paraId="085869BD">
            <w:pPr>
              <w:snapToGrid w:val="0"/>
              <w:spacing w:line="240" w:lineRule="auto"/>
              <w:jc w:val="center"/>
              <w:rPr>
                <w:rFonts w:hint="eastAsia" w:ascii="宋体" w:hAnsi="宋体" w:cs="宋体"/>
                <w:color w:val="auto"/>
                <w:kern w:val="0"/>
                <w:szCs w:val="21"/>
                <w:lang w:eastAsia="zh-CN"/>
              </w:rPr>
            </w:pPr>
            <w:r>
              <w:rPr>
                <w:color w:val="auto"/>
              </w:rPr>
              <mc:AlternateContent>
                <mc:Choice Requires="wpg">
                  <w:drawing>
                    <wp:anchor distT="0" distB="0" distL="114300" distR="114300" simplePos="0" relativeHeight="251748352" behindDoc="0" locked="0" layoutInCell="1" allowOverlap="1">
                      <wp:simplePos x="0" y="0"/>
                      <wp:positionH relativeFrom="column">
                        <wp:posOffset>318770</wp:posOffset>
                      </wp:positionH>
                      <wp:positionV relativeFrom="paragraph">
                        <wp:posOffset>4602480</wp:posOffset>
                      </wp:positionV>
                      <wp:extent cx="572135" cy="358775"/>
                      <wp:effectExtent l="0" t="0" r="18415" b="0"/>
                      <wp:wrapNone/>
                      <wp:docPr id="86" name="组合 86"/>
                      <wp:cNvGraphicFramePr/>
                      <a:graphic xmlns:a="http://schemas.openxmlformats.org/drawingml/2006/main">
                        <a:graphicData uri="http://schemas.microsoft.com/office/word/2010/wordprocessingGroup">
                          <wpg:wgp>
                            <wpg:cNvGrpSpPr/>
                            <wpg:grpSpPr>
                              <a:xfrm>
                                <a:off x="0" y="0"/>
                                <a:ext cx="572125" cy="358952"/>
                                <a:chOff x="11962" y="585975"/>
                                <a:chExt cx="916" cy="576"/>
                              </a:xfrm>
                            </wpg:grpSpPr>
                            <wps:wsp>
                              <wps:cNvPr id="87" name="直接连接符 104"/>
                              <wps:cNvCnPr/>
                              <wps:spPr>
                                <a:xfrm>
                                  <a:off x="11962" y="586177"/>
                                  <a:ext cx="915" cy="1"/>
                                </a:xfrm>
                                <a:prstGeom prst="line">
                                  <a:avLst/>
                                </a:prstGeom>
                                <a:ln w="19050" cap="flat" cmpd="sng">
                                  <a:solidFill>
                                    <a:srgbClr val="000000"/>
                                  </a:solidFill>
                                  <a:prstDash val="solid"/>
                                  <a:headEnd type="none" w="med" len="med"/>
                                  <a:tailEnd type="none" w="med" len="med"/>
                                </a:ln>
                              </wps:spPr>
                              <wps:bodyPr upright="1"/>
                            </wps:wsp>
                            <wps:wsp>
                              <wps:cNvPr id="90" name="直接连接符 105"/>
                              <wps:cNvCnPr/>
                              <wps:spPr>
                                <a:xfrm flipV="1">
                                  <a:off x="12862" y="585975"/>
                                  <a:ext cx="1" cy="203"/>
                                </a:xfrm>
                                <a:prstGeom prst="line">
                                  <a:avLst/>
                                </a:prstGeom>
                                <a:ln w="19050" cap="flat" cmpd="sng">
                                  <a:solidFill>
                                    <a:srgbClr val="000000"/>
                                  </a:solidFill>
                                  <a:prstDash val="solid"/>
                                  <a:headEnd type="none" w="med" len="med"/>
                                  <a:tailEnd type="none" w="med" len="med"/>
                                </a:ln>
                              </wps:spPr>
                              <wps:bodyPr upright="1"/>
                            </wps:wsp>
                            <wps:wsp>
                              <wps:cNvPr id="91" name="直接连接符 106"/>
                              <wps:cNvCnPr/>
                              <wps:spPr>
                                <a:xfrm flipV="1">
                                  <a:off x="11977" y="585985"/>
                                  <a:ext cx="1" cy="203"/>
                                </a:xfrm>
                                <a:prstGeom prst="line">
                                  <a:avLst/>
                                </a:prstGeom>
                                <a:ln w="19050" cap="flat" cmpd="sng">
                                  <a:solidFill>
                                    <a:srgbClr val="000000"/>
                                  </a:solidFill>
                                  <a:prstDash val="solid"/>
                                  <a:headEnd type="none" w="med" len="med"/>
                                  <a:tailEnd type="none" w="med" len="med"/>
                                </a:ln>
                              </wps:spPr>
                              <wps:bodyPr upright="1"/>
                            </wps:wsp>
                            <wps:wsp>
                              <wps:cNvPr id="93" name="文本框 107"/>
                              <wps:cNvSpPr txBox="1"/>
                              <wps:spPr>
                                <a:xfrm>
                                  <a:off x="12067" y="586131"/>
                                  <a:ext cx="811" cy="420"/>
                                </a:xfrm>
                                <a:prstGeom prst="rect">
                                  <a:avLst/>
                                </a:prstGeom>
                                <a:noFill/>
                                <a:ln>
                                  <a:noFill/>
                                </a:ln>
                              </wps:spPr>
                              <wps:txbx>
                                <w:txbxContent>
                                  <w:p w14:paraId="15438039">
                                    <w:pPr>
                                      <w:rPr>
                                        <w:rFonts w:hint="default" w:eastAsia="宋体"/>
                                        <w:b/>
                                        <w:bCs/>
                                        <w:color w:val="000000"/>
                                        <w:lang w:val="en-US" w:eastAsia="zh-CN"/>
                                      </w:rPr>
                                    </w:pPr>
                                    <w:r>
                                      <w:rPr>
                                        <w:rFonts w:hint="eastAsia"/>
                                        <w:b/>
                                        <w:bCs/>
                                        <w:color w:val="000000"/>
                                        <w:lang w:val="en-US" w:eastAsia="zh-CN"/>
                                      </w:rPr>
                                      <w:t>350m</w:t>
                                    </w:r>
                                  </w:p>
                                </w:txbxContent>
                              </wps:txbx>
                              <wps:bodyPr upright="1"/>
                            </wps:wsp>
                          </wpg:wgp>
                        </a:graphicData>
                      </a:graphic>
                    </wp:anchor>
                  </w:drawing>
                </mc:Choice>
                <mc:Fallback>
                  <w:pict>
                    <v:group id="_x0000_s1026" o:spid="_x0000_s1026" o:spt="203" style="position:absolute;left:0pt;margin-left:25.1pt;margin-top:362.4pt;height:28.25pt;width:45.05pt;z-index:251748352;mso-width-relative:page;mso-height-relative:page;" coordorigin="11962,585975" coordsize="916,576" o:gfxdata="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">
                      <o:lock v:ext="edit" aspectratio="f"/>
                      <v:line id="直接连接符 104" o:spid="_x0000_s1026" o:spt="20" style="position:absolute;left:11962;top:586177;height:1;width:915;" filled="f" stroked="t" coordsize="21600,21600" o:gfxdata="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9Xr9vQAA&#10;ANsAAAAPAAAAAAAAAAEAIAAAACIAAABkcnMvZG93bnJldi54bWxQSwECFAAUAAAACACHTuJAMy8F&#10;njsAAAA5AAAAEAAAAAAAAAABACAAAAAMAQAAZHJzL3NoYXBleG1sLnhtbFBLBQYAAAAABgAGAFsB&#10;AAC2AwAAAAA=&#10;">
                        <v:fill on="f" focussize="0,0"/>
                        <v:stroke weight="1.5pt" color="#000000" joinstyle="round"/>
                        <v:imagedata o:title=""/>
                        <o:lock v:ext="edit" aspectratio="f"/>
                      </v:line>
                      <v:line id="直接连接符 105" o:spid="_x0000_s1026" o:spt="20" style="position:absolute;left:12862;top:585975;flip:y;height:203;width:1;" filled="f" stroked="t" coordsize="21600,21600" o:gfxdata="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9pWtbtwAAANsAAAAP&#10;AAAAAAAAAAEAIAAAACIAAABkcnMvZG93bnJldi54bWxQSwECFAAUAAAACACHTuJAMy8FnjsAAAA5&#10;AAAAEAAAAAAAAAABACAAAAAGAQAAZHJzL3NoYXBleG1sLnhtbFBLBQYAAAAABgAGAFsBAACwAwAA&#10;AAA=&#10;">
                        <v:fill on="f" focussize="0,0"/>
                        <v:stroke weight="1.5pt" color="#000000" joinstyle="round"/>
                        <v:imagedata o:title=""/>
                        <o:lock v:ext="edit" aspectratio="f"/>
                      </v:line>
                      <v:line id="直接连接符 106" o:spid="_x0000_s1026" o:spt="20" style="position:absolute;left:11977;top:585985;flip:y;height:203;width:1;" filled="f" stroked="t" coordsize="21600,21600" o:gfxdata="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S6c7AtwAAANsAAAAP&#10;AAAAAAAAAAEAIAAAACIAAABkcnMvZG93bnJldi54bWxQSwECFAAUAAAACACHTuJAMy8FnjsAAAA5&#10;AAAAEAAAAAAAAAABACAAAAAGAQAAZHJzL3NoYXBleG1sLnhtbFBLBQYAAAAABgAGAFsBAACwAwAA&#10;AAA=&#10;">
                        <v:fill on="f" focussize="0,0"/>
                        <v:stroke weight="1.5pt" color="#000000" joinstyle="round"/>
                        <v:imagedata o:title=""/>
                        <o:lock v:ext="edit" aspectratio="f"/>
                      </v:line>
                      <v:shape id="文本框 107" o:spid="_x0000_s1026" o:spt="202" type="#_x0000_t202" style="position:absolute;left:12067;top:586131;height:420;width:811;" filled="f" stroked="f" coordsize="21600,21600" o:gfxdata="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shvb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5438039">
                              <w:pPr>
                                <w:rPr>
                                  <w:rFonts w:hint="default" w:eastAsia="宋体"/>
                                  <w:b/>
                                  <w:bCs/>
                                  <w:color w:val="000000"/>
                                  <w:lang w:val="en-US" w:eastAsia="zh-CN"/>
                                </w:rPr>
                              </w:pPr>
                              <w:r>
                                <w:rPr>
                                  <w:rFonts w:hint="eastAsia"/>
                                  <w:b/>
                                  <w:bCs/>
                                  <w:color w:val="000000"/>
                                  <w:lang w:val="en-US" w:eastAsia="zh-CN"/>
                                </w:rPr>
                                <w:t>350m</w:t>
                              </w:r>
                            </w:p>
                          </w:txbxContent>
                        </v:textbox>
                      </v:shape>
                    </v:group>
                  </w:pict>
                </mc:Fallback>
              </mc:AlternateContent>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2600960</wp:posOffset>
                      </wp:positionH>
                      <wp:positionV relativeFrom="paragraph">
                        <wp:posOffset>2116455</wp:posOffset>
                      </wp:positionV>
                      <wp:extent cx="803910" cy="290195"/>
                      <wp:effectExtent l="0" t="0" r="15240" b="14605"/>
                      <wp:wrapNone/>
                      <wp:docPr id="7" name="文本框 7"/>
                      <wp:cNvGraphicFramePr/>
                      <a:graphic xmlns:a="http://schemas.openxmlformats.org/drawingml/2006/main">
                        <a:graphicData uri="http://schemas.microsoft.com/office/word/2010/wordprocessingShape">
                          <wps:wsp>
                            <wps:cNvSpPr txBox="1"/>
                            <wps:spPr>
                              <a:xfrm>
                                <a:off x="4157345" y="3636010"/>
                                <a:ext cx="803910" cy="290195"/>
                              </a:xfrm>
                              <a:prstGeom prst="rect">
                                <a:avLst/>
                              </a:prstGeom>
                              <a:solidFill>
                                <a:schemeClr val="bg1">
                                  <a:lumMod val="75000"/>
                                  <a:alpha val="3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67890A5C">
                                  <w:pPr>
                                    <w:rPr>
                                      <w:rFonts w:hint="default" w:eastAsia="宋体"/>
                                      <w:b/>
                                      <w:bCs/>
                                      <w:sz w:val="24"/>
                                      <w:szCs w:val="32"/>
                                      <w:lang w:val="en-US" w:eastAsia="zh-CN"/>
                                    </w:rPr>
                                  </w:pPr>
                                  <w:r>
                                    <w:rPr>
                                      <w:rFonts w:hint="eastAsia"/>
                                      <w:b/>
                                      <w:bCs/>
                                      <w:sz w:val="24"/>
                                      <w:szCs w:val="32"/>
                                      <w:lang w:val="en-US" w:eastAsia="zh-CN"/>
                                    </w:rPr>
                                    <w:t>4.67km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8pt;margin-top:166.65pt;height:22.85pt;width:63.3pt;z-index:251709440;mso-width-relative:page;mso-height-relative:page;" fillcolor="#BFBFBF [2412]" filled="t" stroked="f" coordsize="21600,21600" o:gfxdata="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&#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tRNWg2gAAAAsBAAAPAAAAAAAAAAEAIAAAACIAAABk&#10;cnMvZG93bnJldi54bWxQSwECFAAUAAAACACHTuJArYgoxHYCAADSBAAADgAAAAAAAAABACAAAAAp&#10;AQAAZHJzL2Uyb0RvYy54bWxQSwUGAAAAAAYABgBZAQAAEQYAAAAA&#10;">
                      <v:fill on="t" opacity="19660f" focussize="0,0"/>
                      <v:stroke on="f" weight="0.5pt"/>
                      <v:imagedata o:title=""/>
                      <o:lock v:ext="edit" aspectratio="f"/>
                      <v:textbox>
                        <w:txbxContent>
                          <w:p w14:paraId="67890A5C">
                            <w:pPr>
                              <w:rPr>
                                <w:rFonts w:hint="default" w:eastAsia="宋体"/>
                                <w:b/>
                                <w:bCs/>
                                <w:sz w:val="24"/>
                                <w:szCs w:val="32"/>
                                <w:lang w:val="en-US" w:eastAsia="zh-CN"/>
                              </w:rPr>
                            </w:pPr>
                            <w:r>
                              <w:rPr>
                                <w:rFonts w:hint="eastAsia"/>
                                <w:b/>
                                <w:bCs/>
                                <w:sz w:val="24"/>
                                <w:szCs w:val="32"/>
                                <w:lang w:val="en-US" w:eastAsia="zh-CN"/>
                              </w:rPr>
                              <w:t>4.67km</w:t>
                            </w:r>
                          </w:p>
                        </w:txbxContent>
                      </v:textbox>
                    </v:shape>
                  </w:pict>
                </mc:Fallback>
              </mc:AlternateContent>
            </w:r>
            <w:r>
              <w:rPr>
                <w:color w:val="auto"/>
                <w:sz w:val="24"/>
              </w:rPr>
              <mc:AlternateContent>
                <mc:Choice Requires="wps">
                  <w:drawing>
                    <wp:anchor distT="0" distB="0" distL="114300" distR="114300" simplePos="0" relativeHeight="251711488" behindDoc="0" locked="0" layoutInCell="1" allowOverlap="1">
                      <wp:simplePos x="0" y="0"/>
                      <wp:positionH relativeFrom="column">
                        <wp:posOffset>2830830</wp:posOffset>
                      </wp:positionH>
                      <wp:positionV relativeFrom="paragraph">
                        <wp:posOffset>4362450</wp:posOffset>
                      </wp:positionV>
                      <wp:extent cx="682625" cy="238125"/>
                      <wp:effectExtent l="0" t="0" r="3175" b="9525"/>
                      <wp:wrapNone/>
                      <wp:docPr id="19" name="文本框 19"/>
                      <wp:cNvGraphicFramePr/>
                      <a:graphic xmlns:a="http://schemas.openxmlformats.org/drawingml/2006/main">
                        <a:graphicData uri="http://schemas.microsoft.com/office/word/2010/wordprocessingShape">
                          <wps:wsp>
                            <wps:cNvSpPr txBox="1"/>
                            <wps:spPr>
                              <a:xfrm>
                                <a:off x="0" y="0"/>
                                <a:ext cx="682625" cy="238125"/>
                              </a:xfrm>
                              <a:prstGeom prst="rect">
                                <a:avLst/>
                              </a:prstGeom>
                              <a:solidFill>
                                <a:schemeClr val="bg1">
                                  <a:lumMod val="75000"/>
                                  <a:alpha val="3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13798A62">
                                  <w:pPr>
                                    <w:rPr>
                                      <w:rFonts w:hint="default" w:eastAsia="宋体"/>
                                      <w:b/>
                                      <w:bCs/>
                                      <w:lang w:val="en-US" w:eastAsia="zh-CN"/>
                                    </w:rPr>
                                  </w:pPr>
                                  <w:r>
                                    <w:rPr>
                                      <w:rFonts w:hint="eastAsia" w:eastAsia="宋体"/>
                                      <w:b/>
                                      <w:bCs/>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9pt;margin-top:343.5pt;height:18.75pt;width:53.75pt;z-index:251711488;mso-width-relative:page;mso-height-relative:page;" fillcolor="#BFBFBF [2412]" filled="t" stroked="f" coordsize="21600,21600" o:gfxdata="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s9UF9wAAAALAQAADwAAAAAAAAABACAAAAAiAAAAZHJzL2Rvd25y&#10;ZXYueG1sUEsBAhQAFAAAAAgAh07iQMjhR5lsAgAAyAQAAA4AAAAAAAAAAQAgAAAAKwEAAGRycy9l&#10;Mm9Eb2MueG1sUEsFBgAAAAAGAAYAWQEAAAkGAAAAAA==&#10;">
                      <v:fill on="t" opacity="19660f" focussize="0,0"/>
                      <v:stroke on="f" weight="0.5pt"/>
                      <v:imagedata o:title=""/>
                      <o:lock v:ext="edit" aspectratio="f"/>
                      <v:textbox>
                        <w:txbxContent>
                          <w:p w14:paraId="13798A62">
                            <w:pPr>
                              <w:rPr>
                                <w:rFonts w:hint="default" w:eastAsia="宋体"/>
                                <w:b/>
                                <w:bCs/>
                                <w:lang w:val="en-US" w:eastAsia="zh-CN"/>
                              </w:rPr>
                            </w:pPr>
                            <w:r>
                              <w:rPr>
                                <w:rFonts w:hint="eastAsia" w:eastAsia="宋体"/>
                                <w:b/>
                                <w:bCs/>
                                <w:lang w:val="en-US" w:eastAsia="zh-CN"/>
                              </w:rPr>
                              <w:t>本项目</w:t>
                            </w:r>
                          </w:p>
                        </w:txbxContent>
                      </v:textbox>
                    </v:shap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1617345</wp:posOffset>
                      </wp:positionH>
                      <wp:positionV relativeFrom="paragraph">
                        <wp:posOffset>218440</wp:posOffset>
                      </wp:positionV>
                      <wp:extent cx="364490" cy="238125"/>
                      <wp:effectExtent l="0" t="0" r="16510" b="9525"/>
                      <wp:wrapNone/>
                      <wp:docPr id="20" name="文本框 20"/>
                      <wp:cNvGraphicFramePr/>
                      <a:graphic xmlns:a="http://schemas.openxmlformats.org/drawingml/2006/main">
                        <a:graphicData uri="http://schemas.microsoft.com/office/word/2010/wordprocessingShape">
                          <wps:wsp>
                            <wps:cNvSpPr txBox="1"/>
                            <wps:spPr>
                              <a:xfrm>
                                <a:off x="0" y="0"/>
                                <a:ext cx="364490" cy="238125"/>
                              </a:xfrm>
                              <a:prstGeom prst="rect">
                                <a:avLst/>
                              </a:prstGeom>
                              <a:solidFill>
                                <a:schemeClr val="bg1">
                                  <a:lumMod val="75000"/>
                                  <a:alpha val="3000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57A2EE9F">
                                  <w:pPr>
                                    <w:rPr>
                                      <w:rFonts w:hint="default" w:eastAsia="宋体"/>
                                      <w:b/>
                                      <w:bCs/>
                                      <w:lang w:val="en-US" w:eastAsia="zh-CN"/>
                                    </w:rPr>
                                  </w:pPr>
                                  <w:r>
                                    <w:rPr>
                                      <w:rFonts w:hint="eastAsia"/>
                                      <w:b/>
                                      <w:bCs/>
                                      <w:lang w:val="en-US" w:eastAsia="zh-CN"/>
                                    </w:rPr>
                                    <w:t>A1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35pt;margin-top:17.2pt;height:18.75pt;width:28.7pt;z-index:251712512;mso-width-relative:page;mso-height-relative:page;" fillcolor="#BFBFBF [2412]" filled="t" stroked="f" coordsize="21600,21600" o:gfxdata="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vdnk9oAAAAJAQAADwAAAAAAAAABACAAAAAiAAAAZHJzL2Rvd25yZXYu&#10;eG1sUEsBAhQAFAAAAAgAh07iQMkjs89rAgAAyAQAAA4AAAAAAAAAAQAgAAAAKQEAAGRycy9lMm9E&#10;b2MueG1sUEsFBgAAAAAGAAYAWQEAAAYGAAAAAA==&#10;">
                      <v:fill on="t" opacity="19660f" focussize="0,0"/>
                      <v:stroke on="f" weight="0.5pt"/>
                      <v:imagedata o:title=""/>
                      <o:lock v:ext="edit" aspectratio="f"/>
                      <v:textbox>
                        <w:txbxContent>
                          <w:p w14:paraId="57A2EE9F">
                            <w:pPr>
                              <w:rPr>
                                <w:rFonts w:hint="default" w:eastAsia="宋体"/>
                                <w:b/>
                                <w:bCs/>
                                <w:lang w:val="en-US" w:eastAsia="zh-CN"/>
                              </w:rPr>
                            </w:pPr>
                            <w:r>
                              <w:rPr>
                                <w:rFonts w:hint="eastAsia"/>
                                <w:b/>
                                <w:bCs/>
                                <w:lang w:val="en-US" w:eastAsia="zh-CN"/>
                              </w:rPr>
                              <w:t>A1</w:t>
                            </w:r>
                          </w:p>
                        </w:txbxContent>
                      </v:textbox>
                    </v:shape>
                  </w:pict>
                </mc:Fallback>
              </mc:AlternateContent>
            </w:r>
            <w:r>
              <w:rPr>
                <w:color w:val="auto"/>
                <w:sz w:val="24"/>
              </w:rPr>
              <mc:AlternateContent>
                <mc:Choice Requires="wps">
                  <w:drawing>
                    <wp:anchor distT="0" distB="0" distL="114300" distR="114300" simplePos="0" relativeHeight="251747328" behindDoc="0" locked="0" layoutInCell="1" allowOverlap="1">
                      <wp:simplePos x="0" y="0"/>
                      <wp:positionH relativeFrom="column">
                        <wp:posOffset>3141980</wp:posOffset>
                      </wp:positionH>
                      <wp:positionV relativeFrom="paragraph">
                        <wp:posOffset>4247515</wp:posOffset>
                      </wp:positionV>
                      <wp:extent cx="76200" cy="76200"/>
                      <wp:effectExtent l="6350" t="6350" r="12700" b="12700"/>
                      <wp:wrapNone/>
                      <wp:docPr id="85" name="椭圆 85"/>
                      <wp:cNvGraphicFramePr/>
                      <a:graphic xmlns:a="http://schemas.openxmlformats.org/drawingml/2006/main">
                        <a:graphicData uri="http://schemas.microsoft.com/office/word/2010/wordprocessingShape">
                          <wps:wsp>
                            <wps:cNvSpPr/>
                            <wps:spPr>
                              <a:xfrm>
                                <a:off x="3050540" y="7456170"/>
                                <a:ext cx="76200" cy="76200"/>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7.4pt;margin-top:334.45pt;height:6pt;width:6pt;z-index:251747328;v-text-anchor:middle;mso-width-relative:page;mso-height-relative:page;" fillcolor="#FF0000" filled="t" stroked="t" coordsize="21600,21600" o:gfxdata="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2KrxYdkAAAALAQAADwAAAAAAAAABACAAAAAiAAAA&#10;ZHJzL2Rvd25yZXYueG1sUEsBAhQAFAAAAAgAh07iQDQKuZ14AgAAAgUAAA4AAAAAAAAAAQAgAAAA&#10;KAEAAGRycy9lMm9Eb2MueG1sUEsFBgAAAAAGAAYAWQEAABIGAAAAAA==&#10;">
                      <v:fill on="t" focussize="0,0"/>
                      <v:stroke weight="1pt" color="#000000 [3213]"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2012315</wp:posOffset>
                      </wp:positionH>
                      <wp:positionV relativeFrom="paragraph">
                        <wp:posOffset>253365</wp:posOffset>
                      </wp:positionV>
                      <wp:extent cx="103505" cy="125095"/>
                      <wp:effectExtent l="9525" t="16510" r="20320" b="10795"/>
                      <wp:wrapNone/>
                      <wp:docPr id="4" name="等腰三角形 4"/>
                      <wp:cNvGraphicFramePr/>
                      <a:graphic xmlns:a="http://schemas.openxmlformats.org/drawingml/2006/main">
                        <a:graphicData uri="http://schemas.microsoft.com/office/word/2010/wordprocessingShape">
                          <wps:wsp>
                            <wps:cNvSpPr/>
                            <wps:spPr>
                              <a:xfrm>
                                <a:off x="1756410" y="2220595"/>
                                <a:ext cx="103505" cy="12509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58.45pt;margin-top:19.95pt;height:9.85pt;width:8.15pt;z-index:251707392;v-text-anchor:middle;mso-width-relative:page;mso-height-relative:page;" fillcolor="#FFFF00" filled="t" stroked="t" coordsize="21600,21600" o:gfxdata="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NJe0vXa&#10;AAAACQEAAA8AAAAAAAAAAQAgAAAAIgAAAGRycy9kb3ducmV2LnhtbFBLAQIUABQAAAAIAIdO4kDD&#10;pzMykAIAAAwFAAAOAAAAAAAAAAEAIAAAACkBAABkcnMvZTJvRG9jLnhtbFBLBQYAAAAABgAGAFkB&#10;AAArBgAAAAA=&#10;" adj="10800">
                      <v:fill on="t" focussize="0,0"/>
                      <v:stroke weight="1pt" color="#000000 [3213]" miterlimit="8" joinstyle="miter"/>
                      <v:imagedata o:title=""/>
                      <o:lock v:ext="edit" aspectratio="f"/>
                    </v:shape>
                  </w:pict>
                </mc:Fallback>
              </mc:AlternateContent>
            </w:r>
            <w:r>
              <w:rPr>
                <w:rFonts w:hint="eastAsia" w:ascii="宋体" w:hAnsi="宋体" w:cs="宋体"/>
                <w:color w:val="auto"/>
                <w:kern w:val="0"/>
                <w:szCs w:val="21"/>
                <w:lang w:eastAsia="zh-CN"/>
              </w:rPr>
              <w:drawing>
                <wp:inline distT="0" distB="0" distL="114300" distR="114300">
                  <wp:extent cx="4932045" cy="4947920"/>
                  <wp:effectExtent l="0" t="0" r="1905" b="5080"/>
                  <wp:docPr id="83" name="图片 83" descr="2026011416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0260114164417"/>
                          <pic:cNvPicPr>
                            <a:picLocks noChangeAspect="1"/>
                          </pic:cNvPicPr>
                        </pic:nvPicPr>
                        <pic:blipFill>
                          <a:blip r:embed="rId14">
                            <a:lum bright="6000" contrast="6000"/>
                          </a:blip>
                          <a:srcRect r="53559" b="15975"/>
                          <a:stretch>
                            <a:fillRect/>
                          </a:stretch>
                        </pic:blipFill>
                        <pic:spPr>
                          <a:xfrm>
                            <a:off x="0" y="0"/>
                            <a:ext cx="4932045" cy="4947920"/>
                          </a:xfrm>
                          <a:prstGeom prst="rect">
                            <a:avLst/>
                          </a:prstGeom>
                        </pic:spPr>
                      </pic:pic>
                    </a:graphicData>
                  </a:graphic>
                </wp:inline>
              </w:drawing>
            </w: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2064385</wp:posOffset>
                      </wp:positionH>
                      <wp:positionV relativeFrom="paragraph">
                        <wp:posOffset>378460</wp:posOffset>
                      </wp:positionV>
                      <wp:extent cx="1115695" cy="3869055"/>
                      <wp:effectExtent l="26035" t="0" r="39370" b="17145"/>
                      <wp:wrapNone/>
                      <wp:docPr id="6" name="直接箭头连接符 6"/>
                      <wp:cNvGraphicFramePr/>
                      <a:graphic xmlns:a="http://schemas.openxmlformats.org/drawingml/2006/main">
                        <a:graphicData uri="http://schemas.microsoft.com/office/word/2010/wordprocessingShape">
                          <wps:wsp>
                            <wps:cNvCnPr>
                              <a:stCxn id="4" idx="3"/>
                              <a:endCxn id="85" idx="0"/>
                            </wps:cNvCnPr>
                            <wps:spPr>
                              <a:xfrm>
                                <a:off x="1784350" y="2327275"/>
                                <a:ext cx="1115695" cy="3869055"/>
                              </a:xfrm>
                              <a:prstGeom prst="straightConnector1">
                                <a:avLst/>
                              </a:prstGeom>
                              <a:ln w="19050">
                                <a:solidFill>
                                  <a:schemeClr val="tx1"/>
                                </a:solidFill>
                                <a:headEnd type="stealth" w="lg" len="lg"/>
                                <a:tailEnd type="stealth" w="lg" len="lg"/>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62.55pt;margin-top:29.8pt;height:304.65pt;width:87.85pt;z-index:251708416;mso-width-relative:page;mso-height-relative:page;" filled="f" stroked="t" coordsize="21600,21600" o:gfxdata="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yS25tgAAAAKAQAADwAAAAAAAAABACAAAAAi&#10;AAAAZHJzL2Rvd25yZXYueG1sUEsBAhQAFAAAAAgAh07iQNsgUNBDAgAAbwQAAA4AAAAAAAAAAQAg&#10;AAAAJwEAAGRycy9lMm9Eb2MueG1sUEsFBgAAAAAGAAYAWQEAANwFAAAAAA==&#10;">
                      <v:fill on="f" focussize="0,0"/>
                      <v:stroke weight="1.5pt" color="#000000 [3213]" miterlimit="8" joinstyle="miter" startarrow="classic" startarrowwidth="wide" startarrowlength="long" endarrow="classic" endarrowwidth="wide" endarrowlength="long"/>
                      <v:imagedata o:title=""/>
                      <o:lock v:ext="edit" aspectratio="f"/>
                    </v:shape>
                  </w:pict>
                </mc:Fallback>
              </mc:AlternateContent>
            </w:r>
            <w:r>
              <w:rPr>
                <w:color w:val="auto"/>
                <w:sz w:val="24"/>
                <w:szCs w:val="24"/>
                <w:highlight w:val="none"/>
              </w:rPr>
              <w:drawing>
                <wp:anchor distT="0" distB="0" distL="114300" distR="114300" simplePos="0" relativeHeight="251710464" behindDoc="0" locked="0" layoutInCell="1" allowOverlap="1">
                  <wp:simplePos x="0" y="0"/>
                  <wp:positionH relativeFrom="column">
                    <wp:posOffset>4697730</wp:posOffset>
                  </wp:positionH>
                  <wp:positionV relativeFrom="paragraph">
                    <wp:posOffset>4445</wp:posOffset>
                  </wp:positionV>
                  <wp:extent cx="466725" cy="518795"/>
                  <wp:effectExtent l="0" t="0" r="9525" b="14605"/>
                  <wp:wrapNone/>
                  <wp:docPr id="10" name="图片 86"/>
                  <wp:cNvGraphicFramePr/>
                  <a:graphic xmlns:a="http://schemas.openxmlformats.org/drawingml/2006/main">
                    <a:graphicData uri="http://schemas.openxmlformats.org/drawingml/2006/picture">
                      <pic:pic xmlns:pic="http://schemas.openxmlformats.org/drawingml/2006/picture">
                        <pic:nvPicPr>
                          <pic:cNvPr id="10" name="图片 86"/>
                          <pic:cNvPicPr/>
                        </pic:nvPicPr>
                        <pic:blipFill>
                          <a:blip r:embed="rId15"/>
                          <a:stretch>
                            <a:fillRect/>
                          </a:stretch>
                        </pic:blipFill>
                        <pic:spPr>
                          <a:xfrm>
                            <a:off x="0" y="0"/>
                            <a:ext cx="466725" cy="518795"/>
                          </a:xfrm>
                          <a:prstGeom prst="rect">
                            <a:avLst/>
                          </a:prstGeom>
                          <a:noFill/>
                          <a:ln>
                            <a:noFill/>
                          </a:ln>
                        </pic:spPr>
                      </pic:pic>
                    </a:graphicData>
                  </a:graphic>
                </wp:anchor>
              </w:drawing>
            </w:r>
          </w:p>
          <w:p w14:paraId="6D366D39">
            <w:pPr>
              <w:pStyle w:val="9"/>
              <w:numPr>
                <w:ilvl w:val="0"/>
                <w:numId w:val="0"/>
              </w:numPr>
              <w:ind w:left="210" w:leftChars="0"/>
              <w:jc w:val="both"/>
              <w:rPr>
                <w:color w:val="auto"/>
                <w:szCs w:val="21"/>
              </w:rPr>
            </w:pPr>
          </w:p>
          <w:p w14:paraId="798D111E">
            <w:pPr>
              <w:pStyle w:val="9"/>
              <w:ind w:left="630" w:leftChars="0" w:firstLineChars="0"/>
              <w:rPr>
                <w:color w:val="auto"/>
                <w:szCs w:val="21"/>
              </w:rPr>
            </w:pPr>
            <w:r>
              <w:rPr>
                <w:rFonts w:hint="eastAsia"/>
                <w:color w:val="auto"/>
                <w:szCs w:val="21"/>
              </w:rPr>
              <w:t>其他污染物环境质量现状（引用监测结果）</w:t>
            </w:r>
          </w:p>
          <w:tbl>
            <w:tblPr>
              <w:tblStyle w:val="36"/>
              <w:tblW w:w="84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3"/>
              <w:gridCol w:w="446"/>
              <w:gridCol w:w="468"/>
              <w:gridCol w:w="928"/>
              <w:gridCol w:w="774"/>
              <w:gridCol w:w="1091"/>
              <w:gridCol w:w="1075"/>
              <w:gridCol w:w="973"/>
              <w:gridCol w:w="705"/>
              <w:gridCol w:w="593"/>
            </w:tblGrid>
            <w:tr w14:paraId="4A60F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393" w:type="dxa"/>
                  <w:vMerge w:val="restart"/>
                  <w:vAlign w:val="center"/>
                </w:tcPr>
                <w:p w14:paraId="7A25EA42">
                  <w:pPr>
                    <w:pStyle w:val="175"/>
                    <w:ind w:firstLine="0"/>
                    <w:rPr>
                      <w:rFonts w:hAnsi="Times New Roman"/>
                      <w:color w:val="auto"/>
                    </w:rPr>
                  </w:pPr>
                  <w:r>
                    <w:rPr>
                      <w:rFonts w:hint="eastAsia" w:hAnsi="Times New Roman"/>
                      <w:color w:val="auto"/>
                    </w:rPr>
                    <w:t>监测点位</w:t>
                  </w:r>
                </w:p>
              </w:tc>
              <w:tc>
                <w:tcPr>
                  <w:tcW w:w="914" w:type="dxa"/>
                  <w:gridSpan w:val="2"/>
                  <w:vAlign w:val="center"/>
                </w:tcPr>
                <w:p w14:paraId="1F42D995">
                  <w:pPr>
                    <w:pStyle w:val="175"/>
                    <w:ind w:firstLine="0"/>
                    <w:rPr>
                      <w:rFonts w:hAnsi="Times New Roman"/>
                      <w:color w:val="auto"/>
                    </w:rPr>
                  </w:pPr>
                  <w:r>
                    <w:rPr>
                      <w:rFonts w:hint="eastAsia" w:hAnsi="Times New Roman"/>
                      <w:color w:val="auto"/>
                    </w:rPr>
                    <w:t>监测点坐标</w:t>
                  </w:r>
                </w:p>
              </w:tc>
              <w:tc>
                <w:tcPr>
                  <w:tcW w:w="928" w:type="dxa"/>
                  <w:vMerge w:val="restart"/>
                  <w:vAlign w:val="center"/>
                </w:tcPr>
                <w:p w14:paraId="0C5C9BCE">
                  <w:pPr>
                    <w:pStyle w:val="175"/>
                    <w:ind w:firstLine="0"/>
                    <w:rPr>
                      <w:rFonts w:hAnsi="Times New Roman"/>
                      <w:color w:val="auto"/>
                    </w:rPr>
                  </w:pPr>
                  <w:r>
                    <w:rPr>
                      <w:rFonts w:hint="eastAsia" w:hAnsi="Times New Roman"/>
                      <w:color w:val="auto"/>
                    </w:rPr>
                    <w:t>监测因子</w:t>
                  </w:r>
                </w:p>
              </w:tc>
              <w:tc>
                <w:tcPr>
                  <w:tcW w:w="774" w:type="dxa"/>
                  <w:vMerge w:val="restart"/>
                  <w:vAlign w:val="center"/>
                </w:tcPr>
                <w:p w14:paraId="4C1CD50E">
                  <w:pPr>
                    <w:pStyle w:val="175"/>
                    <w:ind w:firstLine="0"/>
                    <w:rPr>
                      <w:rFonts w:hAnsi="Times New Roman"/>
                      <w:color w:val="auto"/>
                    </w:rPr>
                  </w:pPr>
                  <w:r>
                    <w:rPr>
                      <w:rFonts w:hint="eastAsia" w:hAnsi="Times New Roman"/>
                      <w:color w:val="auto"/>
                    </w:rPr>
                    <w:t>平均时间</w:t>
                  </w:r>
                </w:p>
              </w:tc>
              <w:tc>
                <w:tcPr>
                  <w:tcW w:w="1091" w:type="dxa"/>
                  <w:vMerge w:val="restart"/>
                  <w:vAlign w:val="center"/>
                </w:tcPr>
                <w:p w14:paraId="1AF46FF6">
                  <w:pPr>
                    <w:pStyle w:val="175"/>
                    <w:ind w:firstLine="0"/>
                    <w:rPr>
                      <w:rFonts w:hAnsi="Times New Roman"/>
                      <w:color w:val="auto"/>
                    </w:rPr>
                  </w:pPr>
                  <w:r>
                    <w:rPr>
                      <w:rFonts w:hint="eastAsia" w:hAnsi="Times New Roman"/>
                      <w:color w:val="auto"/>
                    </w:rPr>
                    <w:t>评价标准（mg/m</w:t>
                  </w:r>
                  <w:r>
                    <w:rPr>
                      <w:rFonts w:hint="eastAsia" w:hAnsi="Times New Roman"/>
                      <w:color w:val="auto"/>
                      <w:vertAlign w:val="superscript"/>
                    </w:rPr>
                    <w:t>3</w:t>
                  </w:r>
                  <w:r>
                    <w:rPr>
                      <w:rFonts w:hint="eastAsia" w:hAnsi="Times New Roman"/>
                      <w:color w:val="auto"/>
                    </w:rPr>
                    <w:t>）</w:t>
                  </w:r>
                </w:p>
              </w:tc>
              <w:tc>
                <w:tcPr>
                  <w:tcW w:w="1075" w:type="dxa"/>
                  <w:vMerge w:val="restart"/>
                  <w:vAlign w:val="center"/>
                </w:tcPr>
                <w:p w14:paraId="1A2AB5E2">
                  <w:pPr>
                    <w:pStyle w:val="175"/>
                    <w:ind w:firstLine="0"/>
                    <w:rPr>
                      <w:rFonts w:hAnsi="Times New Roman"/>
                      <w:color w:val="auto"/>
                    </w:rPr>
                  </w:pPr>
                  <w:r>
                    <w:rPr>
                      <w:rFonts w:hint="eastAsia" w:hAnsi="Times New Roman"/>
                      <w:color w:val="auto"/>
                    </w:rPr>
                    <w:t>监测浓度范围/（mg/m</w:t>
                  </w:r>
                  <w:r>
                    <w:rPr>
                      <w:rFonts w:hint="eastAsia" w:hAnsi="Times New Roman"/>
                      <w:color w:val="auto"/>
                      <w:vertAlign w:val="superscript"/>
                    </w:rPr>
                    <w:t>3</w:t>
                  </w:r>
                  <w:r>
                    <w:rPr>
                      <w:rFonts w:hint="eastAsia" w:hAnsi="Times New Roman"/>
                      <w:color w:val="auto"/>
                    </w:rPr>
                    <w:t>）</w:t>
                  </w:r>
                </w:p>
              </w:tc>
              <w:tc>
                <w:tcPr>
                  <w:tcW w:w="973" w:type="dxa"/>
                  <w:vMerge w:val="restart"/>
                  <w:vAlign w:val="center"/>
                </w:tcPr>
                <w:p w14:paraId="28EA623B">
                  <w:pPr>
                    <w:pStyle w:val="175"/>
                    <w:ind w:firstLine="0"/>
                    <w:rPr>
                      <w:rFonts w:hAnsi="Times New Roman"/>
                      <w:color w:val="auto"/>
                    </w:rPr>
                  </w:pPr>
                  <w:r>
                    <w:rPr>
                      <w:rFonts w:hint="eastAsia" w:hAnsi="Times New Roman"/>
                      <w:color w:val="auto"/>
                    </w:rPr>
                    <w:t>最大浓度占标率（%）</w:t>
                  </w:r>
                </w:p>
              </w:tc>
              <w:tc>
                <w:tcPr>
                  <w:tcW w:w="705" w:type="dxa"/>
                  <w:vMerge w:val="restart"/>
                  <w:vAlign w:val="center"/>
                </w:tcPr>
                <w:p w14:paraId="683B465D">
                  <w:pPr>
                    <w:pStyle w:val="175"/>
                    <w:ind w:firstLine="0"/>
                    <w:rPr>
                      <w:rFonts w:hAnsi="Times New Roman"/>
                      <w:color w:val="auto"/>
                    </w:rPr>
                  </w:pPr>
                  <w:r>
                    <w:rPr>
                      <w:rFonts w:hint="eastAsia" w:hAnsi="Times New Roman"/>
                      <w:color w:val="auto"/>
                    </w:rPr>
                    <w:t>超标率（%）</w:t>
                  </w:r>
                </w:p>
              </w:tc>
              <w:tc>
                <w:tcPr>
                  <w:tcW w:w="593" w:type="dxa"/>
                  <w:vMerge w:val="restart"/>
                  <w:vAlign w:val="center"/>
                </w:tcPr>
                <w:p w14:paraId="0CAFFBC4">
                  <w:pPr>
                    <w:pStyle w:val="175"/>
                    <w:ind w:firstLine="0"/>
                    <w:rPr>
                      <w:rFonts w:hAnsi="Times New Roman"/>
                      <w:color w:val="auto"/>
                    </w:rPr>
                  </w:pPr>
                  <w:r>
                    <w:rPr>
                      <w:rFonts w:hint="eastAsia" w:hAnsi="Times New Roman"/>
                      <w:color w:val="auto"/>
                    </w:rPr>
                    <w:t>达标情况</w:t>
                  </w:r>
                </w:p>
              </w:tc>
            </w:tr>
            <w:tr w14:paraId="5358C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393" w:type="dxa"/>
                  <w:vMerge w:val="continue"/>
                  <w:vAlign w:val="center"/>
                </w:tcPr>
                <w:p w14:paraId="14781DAD">
                  <w:pPr>
                    <w:pStyle w:val="175"/>
                    <w:snapToGrid w:val="0"/>
                    <w:spacing w:line="360" w:lineRule="auto"/>
                    <w:ind w:firstLine="0"/>
                    <w:jc w:val="center"/>
                    <w:rPr>
                      <w:color w:val="auto"/>
                      <w:rPrChange w:id="1" w:author="Memory Bay" w:date="2019-03-04T11:57:00Z">
                        <w:rPr>
                          <w:color w:val="0000FF"/>
                        </w:rPr>
                      </w:rPrChange>
                    </w:rPr>
                    <w:pPrChange w:id="0" w:author="Memory Bay" w:date="2019-03-04T12:00:00Z">
                      <w:pPr>
                        <w:snapToGrid w:val="0"/>
                        <w:spacing w:line="360" w:lineRule="auto"/>
                        <w:jc w:val="center"/>
                      </w:pPr>
                    </w:pPrChange>
                  </w:pPr>
                </w:p>
              </w:tc>
              <w:tc>
                <w:tcPr>
                  <w:tcW w:w="446" w:type="dxa"/>
                  <w:vAlign w:val="center"/>
                </w:tcPr>
                <w:p w14:paraId="0BEC5546">
                  <w:pPr>
                    <w:pStyle w:val="175"/>
                    <w:snapToGrid w:val="0"/>
                    <w:spacing w:line="360" w:lineRule="auto"/>
                    <w:ind w:firstLine="0"/>
                    <w:jc w:val="center"/>
                    <w:rPr>
                      <w:color w:val="auto"/>
                    </w:rPr>
                    <w:pPrChange w:id="2" w:author="Memory Bay" w:date="2019-03-04T12:00:00Z">
                      <w:pPr>
                        <w:snapToGrid w:val="0"/>
                        <w:spacing w:line="360" w:lineRule="auto"/>
                        <w:jc w:val="center"/>
                      </w:pPr>
                    </w:pPrChange>
                  </w:pPr>
                  <w:r>
                    <w:rPr>
                      <w:rFonts w:hAnsi="Times New Roman"/>
                      <w:color w:val="auto"/>
                    </w:rPr>
                    <w:t>X</w:t>
                  </w:r>
                </w:p>
              </w:tc>
              <w:tc>
                <w:tcPr>
                  <w:tcW w:w="468" w:type="dxa"/>
                  <w:vAlign w:val="center"/>
                </w:tcPr>
                <w:p w14:paraId="7C0151D4">
                  <w:pPr>
                    <w:pStyle w:val="175"/>
                    <w:snapToGrid w:val="0"/>
                    <w:spacing w:line="360" w:lineRule="auto"/>
                    <w:ind w:firstLine="0"/>
                    <w:jc w:val="center"/>
                    <w:rPr>
                      <w:color w:val="auto"/>
                    </w:rPr>
                    <w:pPrChange w:id="3" w:author="Memory Bay" w:date="2019-03-04T12:00:00Z">
                      <w:pPr>
                        <w:snapToGrid w:val="0"/>
                        <w:spacing w:line="360" w:lineRule="auto"/>
                        <w:jc w:val="center"/>
                      </w:pPr>
                    </w:pPrChange>
                  </w:pPr>
                  <w:r>
                    <w:rPr>
                      <w:rFonts w:hAnsi="Times New Roman"/>
                      <w:color w:val="auto"/>
                    </w:rPr>
                    <w:t>Y</w:t>
                  </w:r>
                </w:p>
              </w:tc>
              <w:tc>
                <w:tcPr>
                  <w:tcW w:w="928" w:type="dxa"/>
                  <w:vMerge w:val="continue"/>
                  <w:vAlign w:val="center"/>
                </w:tcPr>
                <w:p w14:paraId="708DA163">
                  <w:pPr>
                    <w:pStyle w:val="175"/>
                    <w:snapToGrid w:val="0"/>
                    <w:spacing w:line="360" w:lineRule="auto"/>
                    <w:ind w:firstLine="0"/>
                    <w:jc w:val="center"/>
                    <w:rPr>
                      <w:b/>
                      <w:bCs/>
                      <w:color w:val="auto"/>
                      <w:rPrChange w:id="5" w:author="Memory Bay" w:date="2019-03-04T11:57:00Z">
                        <w:rPr>
                          <w:b/>
                          <w:bCs/>
                          <w:color w:val="0000FF"/>
                        </w:rPr>
                      </w:rPrChange>
                    </w:rPr>
                    <w:pPrChange w:id="4" w:author="Memory Bay" w:date="2019-03-04T12:00:00Z">
                      <w:pPr>
                        <w:snapToGrid w:val="0"/>
                        <w:spacing w:line="360" w:lineRule="auto"/>
                        <w:jc w:val="center"/>
                      </w:pPr>
                    </w:pPrChange>
                  </w:pPr>
                </w:p>
              </w:tc>
              <w:tc>
                <w:tcPr>
                  <w:tcW w:w="774" w:type="dxa"/>
                  <w:vMerge w:val="continue"/>
                  <w:vAlign w:val="center"/>
                </w:tcPr>
                <w:p w14:paraId="0010044C">
                  <w:pPr>
                    <w:pStyle w:val="175"/>
                    <w:snapToGrid w:val="0"/>
                    <w:spacing w:line="360" w:lineRule="auto"/>
                    <w:ind w:firstLine="0"/>
                    <w:jc w:val="center"/>
                    <w:rPr>
                      <w:b/>
                      <w:bCs/>
                      <w:color w:val="auto"/>
                      <w:rPrChange w:id="7" w:author="Memory Bay" w:date="2019-03-04T11:57:00Z">
                        <w:rPr>
                          <w:b/>
                          <w:bCs/>
                          <w:color w:val="0000FF"/>
                        </w:rPr>
                      </w:rPrChange>
                    </w:rPr>
                    <w:pPrChange w:id="6" w:author="Memory Bay" w:date="2019-03-04T12:00:00Z">
                      <w:pPr>
                        <w:snapToGrid w:val="0"/>
                        <w:spacing w:line="360" w:lineRule="auto"/>
                        <w:jc w:val="center"/>
                      </w:pPr>
                    </w:pPrChange>
                  </w:pPr>
                </w:p>
              </w:tc>
              <w:tc>
                <w:tcPr>
                  <w:tcW w:w="1091" w:type="dxa"/>
                  <w:vMerge w:val="continue"/>
                  <w:vAlign w:val="center"/>
                </w:tcPr>
                <w:p w14:paraId="7A392E07">
                  <w:pPr>
                    <w:pStyle w:val="175"/>
                    <w:snapToGrid w:val="0"/>
                    <w:spacing w:line="360" w:lineRule="auto"/>
                    <w:ind w:firstLine="0"/>
                    <w:jc w:val="center"/>
                    <w:rPr>
                      <w:b/>
                      <w:bCs/>
                      <w:color w:val="auto"/>
                      <w:rPrChange w:id="9" w:author="Memory Bay" w:date="2019-03-04T11:57:00Z">
                        <w:rPr>
                          <w:b/>
                          <w:bCs/>
                          <w:color w:val="0000FF"/>
                        </w:rPr>
                      </w:rPrChange>
                    </w:rPr>
                    <w:pPrChange w:id="8" w:author="Memory Bay" w:date="2019-03-04T12:00:00Z">
                      <w:pPr>
                        <w:snapToGrid w:val="0"/>
                        <w:spacing w:line="360" w:lineRule="auto"/>
                        <w:jc w:val="center"/>
                      </w:pPr>
                    </w:pPrChange>
                  </w:pPr>
                </w:p>
              </w:tc>
              <w:tc>
                <w:tcPr>
                  <w:tcW w:w="1075" w:type="dxa"/>
                  <w:vMerge w:val="continue"/>
                  <w:vAlign w:val="center"/>
                </w:tcPr>
                <w:p w14:paraId="2624FF48">
                  <w:pPr>
                    <w:pStyle w:val="175"/>
                    <w:snapToGrid w:val="0"/>
                    <w:spacing w:line="360" w:lineRule="auto"/>
                    <w:ind w:firstLine="0"/>
                    <w:jc w:val="center"/>
                    <w:rPr>
                      <w:b/>
                      <w:bCs/>
                      <w:color w:val="auto"/>
                      <w:rPrChange w:id="11" w:author="Memory Bay" w:date="2019-03-04T11:57:00Z">
                        <w:rPr>
                          <w:b/>
                          <w:bCs/>
                          <w:color w:val="0000FF"/>
                        </w:rPr>
                      </w:rPrChange>
                    </w:rPr>
                    <w:pPrChange w:id="10" w:author="Memory Bay" w:date="2019-03-04T12:00:00Z">
                      <w:pPr>
                        <w:snapToGrid w:val="0"/>
                        <w:spacing w:line="360" w:lineRule="auto"/>
                        <w:jc w:val="center"/>
                      </w:pPr>
                    </w:pPrChange>
                  </w:pPr>
                </w:p>
              </w:tc>
              <w:tc>
                <w:tcPr>
                  <w:tcW w:w="973" w:type="dxa"/>
                  <w:vMerge w:val="continue"/>
                  <w:vAlign w:val="center"/>
                </w:tcPr>
                <w:p w14:paraId="1E71FDE1">
                  <w:pPr>
                    <w:pStyle w:val="175"/>
                    <w:snapToGrid w:val="0"/>
                    <w:spacing w:line="360" w:lineRule="auto"/>
                    <w:ind w:firstLine="0"/>
                    <w:jc w:val="center"/>
                    <w:rPr>
                      <w:b/>
                      <w:bCs/>
                      <w:color w:val="auto"/>
                      <w:rPrChange w:id="13" w:author="Memory Bay" w:date="2019-03-04T11:57:00Z">
                        <w:rPr>
                          <w:b/>
                          <w:bCs/>
                          <w:color w:val="0000FF"/>
                        </w:rPr>
                      </w:rPrChange>
                    </w:rPr>
                    <w:pPrChange w:id="12" w:author="Memory Bay" w:date="2019-03-04T12:00:00Z">
                      <w:pPr>
                        <w:snapToGrid w:val="0"/>
                        <w:spacing w:line="360" w:lineRule="auto"/>
                        <w:jc w:val="center"/>
                      </w:pPr>
                    </w:pPrChange>
                  </w:pPr>
                </w:p>
              </w:tc>
              <w:tc>
                <w:tcPr>
                  <w:tcW w:w="705" w:type="dxa"/>
                  <w:vMerge w:val="continue"/>
                  <w:vAlign w:val="center"/>
                </w:tcPr>
                <w:p w14:paraId="06220C5D">
                  <w:pPr>
                    <w:pStyle w:val="175"/>
                    <w:snapToGrid w:val="0"/>
                    <w:spacing w:line="360" w:lineRule="auto"/>
                    <w:ind w:firstLine="0"/>
                    <w:jc w:val="center"/>
                    <w:rPr>
                      <w:b/>
                      <w:bCs/>
                      <w:color w:val="auto"/>
                      <w:rPrChange w:id="15" w:author="Memory Bay" w:date="2019-03-04T11:57:00Z">
                        <w:rPr>
                          <w:b/>
                          <w:bCs/>
                          <w:color w:val="0000FF"/>
                        </w:rPr>
                      </w:rPrChange>
                    </w:rPr>
                    <w:pPrChange w:id="14" w:author="Memory Bay" w:date="2019-03-04T12:00:00Z">
                      <w:pPr>
                        <w:snapToGrid w:val="0"/>
                        <w:spacing w:line="360" w:lineRule="auto"/>
                        <w:jc w:val="center"/>
                      </w:pPr>
                    </w:pPrChange>
                  </w:pPr>
                </w:p>
              </w:tc>
              <w:tc>
                <w:tcPr>
                  <w:tcW w:w="593" w:type="dxa"/>
                  <w:vMerge w:val="continue"/>
                  <w:vAlign w:val="center"/>
                </w:tcPr>
                <w:p w14:paraId="68EEA02C">
                  <w:pPr>
                    <w:pStyle w:val="175"/>
                    <w:snapToGrid w:val="0"/>
                    <w:spacing w:line="360" w:lineRule="auto"/>
                    <w:ind w:firstLine="0"/>
                    <w:jc w:val="center"/>
                    <w:rPr>
                      <w:b/>
                      <w:bCs/>
                      <w:color w:val="auto"/>
                      <w:rPrChange w:id="17" w:author="Memory Bay" w:date="2019-03-04T11:57:00Z">
                        <w:rPr>
                          <w:b/>
                          <w:bCs/>
                          <w:color w:val="0000FF"/>
                        </w:rPr>
                      </w:rPrChange>
                    </w:rPr>
                    <w:pPrChange w:id="16" w:author="Memory Bay" w:date="2019-03-04T12:00:00Z">
                      <w:pPr>
                        <w:snapToGrid w:val="0"/>
                        <w:spacing w:line="360" w:lineRule="auto"/>
                        <w:jc w:val="center"/>
                      </w:pPr>
                    </w:pPrChange>
                  </w:pPr>
                </w:p>
              </w:tc>
            </w:tr>
            <w:tr w14:paraId="33C8E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393" w:type="dxa"/>
                  <w:vAlign w:val="center"/>
                </w:tcPr>
                <w:p w14:paraId="3D8D4A2F">
                  <w:pPr>
                    <w:pStyle w:val="175"/>
                    <w:ind w:firstLine="0"/>
                    <w:rPr>
                      <w:rFonts w:hAnsi="Times New Roman"/>
                      <w:color w:val="auto"/>
                    </w:rPr>
                  </w:pPr>
                  <w:r>
                    <w:rPr>
                      <w:rFonts w:hint="eastAsia"/>
                      <w:color w:val="auto"/>
                      <w:lang w:val="en-US" w:eastAsia="zh-CN"/>
                    </w:rPr>
                    <w:t>A</w:t>
                  </w:r>
                  <w:r>
                    <w:rPr>
                      <w:color w:val="auto"/>
                    </w:rPr>
                    <w:t>1</w:t>
                  </w:r>
                  <w:r>
                    <w:rPr>
                      <w:rFonts w:hint="eastAsia"/>
                      <w:color w:val="auto"/>
                    </w:rPr>
                    <w:t>中山市</w:t>
                  </w:r>
                  <w:r>
                    <w:rPr>
                      <w:rFonts w:hint="eastAsia"/>
                      <w:color w:val="auto"/>
                      <w:szCs w:val="21"/>
                      <w:lang w:val="en-US" w:eastAsia="zh-CN"/>
                    </w:rPr>
                    <w:t>嘉都绿色食品</w:t>
                  </w:r>
                  <w:r>
                    <w:rPr>
                      <w:rFonts w:hint="eastAsia"/>
                      <w:color w:val="auto"/>
                    </w:rPr>
                    <w:t>有限公司</w:t>
                  </w:r>
                </w:p>
              </w:tc>
              <w:tc>
                <w:tcPr>
                  <w:tcW w:w="446" w:type="dxa"/>
                  <w:vAlign w:val="center"/>
                </w:tcPr>
                <w:p w14:paraId="6D377887">
                  <w:pPr>
                    <w:pStyle w:val="175"/>
                    <w:ind w:firstLine="0"/>
                    <w:rPr>
                      <w:rFonts w:hAnsi="Times New Roman"/>
                      <w:color w:val="auto"/>
                    </w:rPr>
                  </w:pPr>
                  <w:r>
                    <w:rPr>
                      <w:rFonts w:hint="eastAsia" w:hAnsi="Times New Roman"/>
                      <w:color w:val="auto"/>
                    </w:rPr>
                    <w:t>/</w:t>
                  </w:r>
                </w:p>
              </w:tc>
              <w:tc>
                <w:tcPr>
                  <w:tcW w:w="468" w:type="dxa"/>
                  <w:vAlign w:val="center"/>
                </w:tcPr>
                <w:p w14:paraId="205D995C">
                  <w:pPr>
                    <w:pStyle w:val="175"/>
                    <w:ind w:firstLine="0"/>
                    <w:rPr>
                      <w:rFonts w:hAnsi="Times New Roman"/>
                      <w:color w:val="auto"/>
                    </w:rPr>
                  </w:pPr>
                  <w:r>
                    <w:rPr>
                      <w:rFonts w:hint="eastAsia" w:hAnsi="Times New Roman"/>
                      <w:color w:val="auto"/>
                    </w:rPr>
                    <w:t>/</w:t>
                  </w:r>
                </w:p>
              </w:tc>
              <w:tc>
                <w:tcPr>
                  <w:tcW w:w="928" w:type="dxa"/>
                  <w:vAlign w:val="center"/>
                </w:tcPr>
                <w:p w14:paraId="2C120516">
                  <w:pPr>
                    <w:pStyle w:val="175"/>
                    <w:ind w:firstLine="0"/>
                    <w:rPr>
                      <w:rFonts w:hAnsi="Times New Roman"/>
                      <w:color w:val="auto"/>
                    </w:rPr>
                  </w:pPr>
                  <w:r>
                    <w:rPr>
                      <w:rFonts w:hint="eastAsia" w:hAnsi="Times New Roman"/>
                      <w:color w:val="auto"/>
                    </w:rPr>
                    <w:t>T</w:t>
                  </w:r>
                  <w:r>
                    <w:rPr>
                      <w:rFonts w:hAnsi="Times New Roman"/>
                      <w:color w:val="auto"/>
                    </w:rPr>
                    <w:t>SP</w:t>
                  </w:r>
                </w:p>
              </w:tc>
              <w:tc>
                <w:tcPr>
                  <w:tcW w:w="774" w:type="dxa"/>
                  <w:vAlign w:val="center"/>
                </w:tcPr>
                <w:p w14:paraId="51C11FCE">
                  <w:pPr>
                    <w:pStyle w:val="175"/>
                    <w:ind w:firstLine="0"/>
                    <w:rPr>
                      <w:rFonts w:hAnsi="Times New Roman"/>
                      <w:color w:val="auto"/>
                    </w:rPr>
                  </w:pPr>
                  <w:r>
                    <w:rPr>
                      <w:rFonts w:hint="eastAsia" w:hAnsi="Times New Roman"/>
                      <w:color w:val="auto"/>
                    </w:rPr>
                    <w:t>日均值</w:t>
                  </w:r>
                </w:p>
              </w:tc>
              <w:tc>
                <w:tcPr>
                  <w:tcW w:w="1091" w:type="dxa"/>
                  <w:vAlign w:val="center"/>
                </w:tcPr>
                <w:p w14:paraId="139A0FE7">
                  <w:pPr>
                    <w:pStyle w:val="175"/>
                    <w:ind w:firstLine="0"/>
                    <w:rPr>
                      <w:rFonts w:hAnsi="Times New Roman"/>
                      <w:color w:val="auto"/>
                    </w:rPr>
                  </w:pPr>
                  <w:r>
                    <w:rPr>
                      <w:rFonts w:hAnsi="Times New Roman"/>
                      <w:color w:val="auto"/>
                    </w:rPr>
                    <w:t>0.3</w:t>
                  </w:r>
                </w:p>
              </w:tc>
              <w:tc>
                <w:tcPr>
                  <w:tcW w:w="1075" w:type="dxa"/>
                  <w:vAlign w:val="center"/>
                </w:tcPr>
                <w:p w14:paraId="7D9C03F4">
                  <w:pPr>
                    <w:pStyle w:val="175"/>
                    <w:ind w:firstLine="0"/>
                    <w:rPr>
                      <w:rFonts w:hint="eastAsia" w:hAnsi="Times New Roman"/>
                      <w:color w:val="auto"/>
                    </w:rPr>
                  </w:pPr>
                  <w:r>
                    <w:rPr>
                      <w:rFonts w:hint="eastAsia" w:hAnsi="Times New Roman"/>
                      <w:color w:val="auto"/>
                    </w:rPr>
                    <w:t>0.1</w:t>
                  </w:r>
                  <w:r>
                    <w:rPr>
                      <w:rFonts w:hint="eastAsia" w:hAnsi="Times New Roman"/>
                      <w:color w:val="auto"/>
                      <w:lang w:val="en-US" w:eastAsia="zh-CN"/>
                    </w:rPr>
                    <w:t>35</w:t>
                  </w:r>
                  <w:r>
                    <w:rPr>
                      <w:rFonts w:hint="eastAsia" w:hAnsi="Times New Roman"/>
                      <w:color w:val="auto"/>
                    </w:rPr>
                    <w:t>-</w:t>
                  </w:r>
                </w:p>
                <w:p w14:paraId="541B11E3">
                  <w:pPr>
                    <w:pStyle w:val="175"/>
                    <w:ind w:firstLine="0"/>
                    <w:rPr>
                      <w:rFonts w:hint="default" w:hAnsi="Times New Roman" w:eastAsia="宋体"/>
                      <w:color w:val="auto"/>
                      <w:lang w:val="en-US" w:eastAsia="zh-CN"/>
                    </w:rPr>
                  </w:pPr>
                  <w:r>
                    <w:rPr>
                      <w:rFonts w:hint="eastAsia" w:hAnsi="Times New Roman"/>
                      <w:color w:val="auto"/>
                    </w:rPr>
                    <w:t>0.1</w:t>
                  </w:r>
                  <w:r>
                    <w:rPr>
                      <w:rFonts w:hint="eastAsia" w:hAnsi="Times New Roman"/>
                      <w:color w:val="auto"/>
                      <w:lang w:val="en-US" w:eastAsia="zh-CN"/>
                    </w:rPr>
                    <w:t>41</w:t>
                  </w:r>
                </w:p>
              </w:tc>
              <w:tc>
                <w:tcPr>
                  <w:tcW w:w="973" w:type="dxa"/>
                  <w:vAlign w:val="center"/>
                </w:tcPr>
                <w:p w14:paraId="1CBE5C36">
                  <w:pPr>
                    <w:pStyle w:val="175"/>
                    <w:ind w:firstLine="0"/>
                    <w:rPr>
                      <w:rFonts w:hint="default" w:hAnsi="Times New Roman"/>
                      <w:color w:val="auto"/>
                      <w:lang w:val="en-US"/>
                    </w:rPr>
                  </w:pPr>
                  <w:r>
                    <w:rPr>
                      <w:rFonts w:hint="eastAsia" w:hAnsi="Times New Roman"/>
                      <w:color w:val="auto"/>
                      <w:lang w:val="en-US" w:eastAsia="zh-CN"/>
                    </w:rPr>
                    <w:t>47</w:t>
                  </w:r>
                </w:p>
              </w:tc>
              <w:tc>
                <w:tcPr>
                  <w:tcW w:w="705" w:type="dxa"/>
                  <w:vAlign w:val="center"/>
                </w:tcPr>
                <w:p w14:paraId="59F91FA2">
                  <w:pPr>
                    <w:pStyle w:val="175"/>
                    <w:ind w:firstLine="0"/>
                    <w:rPr>
                      <w:rFonts w:hAnsi="Times New Roman"/>
                      <w:color w:val="auto"/>
                    </w:rPr>
                  </w:pPr>
                  <w:r>
                    <w:rPr>
                      <w:rFonts w:hint="eastAsia" w:hAnsi="Times New Roman"/>
                      <w:color w:val="auto"/>
                    </w:rPr>
                    <w:t>0</w:t>
                  </w:r>
                </w:p>
              </w:tc>
              <w:tc>
                <w:tcPr>
                  <w:tcW w:w="593" w:type="dxa"/>
                  <w:vAlign w:val="center"/>
                </w:tcPr>
                <w:p w14:paraId="4B1C4780">
                  <w:pPr>
                    <w:pStyle w:val="175"/>
                    <w:ind w:firstLine="0"/>
                    <w:rPr>
                      <w:rFonts w:hAnsi="Times New Roman"/>
                      <w:color w:val="auto"/>
                    </w:rPr>
                  </w:pPr>
                  <w:r>
                    <w:rPr>
                      <w:rFonts w:hint="eastAsia" w:hAnsi="Times New Roman"/>
                      <w:color w:val="auto"/>
                    </w:rPr>
                    <w:t>达标</w:t>
                  </w:r>
                </w:p>
              </w:tc>
            </w:tr>
          </w:tbl>
          <w:p w14:paraId="22E4FD0C">
            <w:pPr>
              <w:snapToGrid w:val="0"/>
              <w:spacing w:line="460" w:lineRule="exact"/>
              <w:ind w:firstLine="420" w:firstLineChars="200"/>
              <w:rPr>
                <w:color w:val="auto"/>
                <w:szCs w:val="21"/>
                <w:lang w:val="zh-CN"/>
              </w:rPr>
            </w:pPr>
            <w:r>
              <w:rPr>
                <w:rFonts w:hint="eastAsia"/>
                <w:color w:val="auto"/>
                <w:szCs w:val="21"/>
                <w:lang w:val="zh-CN"/>
              </w:rPr>
              <w:t>由监测结果可知，该区域TSP日均值均符合《环境空气质量标准》（GB3095-2012）二级浓度限值的要求，表明该区域大气环境良好。</w:t>
            </w:r>
          </w:p>
          <w:p w14:paraId="24BF629F">
            <w:pPr>
              <w:pStyle w:val="95"/>
              <w:ind w:firstLine="0" w:firstLineChars="0"/>
              <w:rPr>
                <w:b/>
                <w:color w:val="auto"/>
                <w:sz w:val="21"/>
                <w:szCs w:val="21"/>
              </w:rPr>
            </w:pPr>
            <w:r>
              <w:rPr>
                <w:rFonts w:hint="eastAsia"/>
                <w:b/>
                <w:color w:val="auto"/>
                <w:sz w:val="21"/>
                <w:szCs w:val="21"/>
              </w:rPr>
              <w:t>二</w:t>
            </w:r>
            <w:r>
              <w:rPr>
                <w:b/>
                <w:color w:val="auto"/>
                <w:sz w:val="21"/>
                <w:szCs w:val="21"/>
              </w:rPr>
              <w:t>、地表水环境</w:t>
            </w:r>
            <w:r>
              <w:rPr>
                <w:rFonts w:hint="eastAsia"/>
                <w:b/>
                <w:color w:val="auto"/>
                <w:sz w:val="21"/>
                <w:szCs w:val="21"/>
              </w:rPr>
              <w:t>质量</w:t>
            </w:r>
            <w:r>
              <w:rPr>
                <w:b/>
                <w:color w:val="auto"/>
                <w:sz w:val="21"/>
                <w:szCs w:val="21"/>
              </w:rPr>
              <w:t>现状</w:t>
            </w:r>
          </w:p>
          <w:p w14:paraId="404E15B3">
            <w:pPr>
              <w:spacing w:line="360" w:lineRule="auto"/>
              <w:ind w:firstLine="420" w:firstLineChars="200"/>
              <w:rPr>
                <w:color w:val="auto"/>
                <w:szCs w:val="21"/>
              </w:rPr>
            </w:pPr>
            <w:r>
              <w:rPr>
                <w:rFonts w:hint="eastAsia"/>
                <w:color w:val="auto"/>
                <w:szCs w:val="21"/>
              </w:rPr>
              <w:t>根据《中山市水功能区管理办法》（中府[2008]96号）及《中山市水功能区划》，本项目位于南朗横门污水处理厂的纳污范围内，项目生活污水经三级化粪池预处理后由市政管网排入</w:t>
            </w:r>
            <w:r>
              <w:rPr>
                <w:rFonts w:hint="eastAsia"/>
                <w:color w:val="auto"/>
                <w:szCs w:val="21"/>
                <w:u w:val="none"/>
              </w:rPr>
              <w:t>南朗横门污水处理厂</w:t>
            </w:r>
            <w:r>
              <w:rPr>
                <w:rFonts w:hint="eastAsia"/>
                <w:color w:val="auto"/>
                <w:szCs w:val="21"/>
              </w:rPr>
              <w:t>处理达标后排放至涌口门上涌，</w:t>
            </w:r>
            <w:r>
              <w:rPr>
                <w:rFonts w:hint="eastAsia"/>
                <w:color w:val="auto"/>
                <w:szCs w:val="21"/>
                <w:lang w:val="zh-CN"/>
              </w:rPr>
              <w:t>涌口门上涌</w:t>
            </w:r>
            <w:r>
              <w:rPr>
                <w:rFonts w:hint="eastAsia"/>
                <w:color w:val="auto"/>
                <w:szCs w:val="21"/>
              </w:rPr>
              <w:t>属Ⅳ类水质功能区，执行《地表水环境质量标准》</w:t>
            </w:r>
            <w:r>
              <w:rPr>
                <w:rFonts w:hint="eastAsia"/>
                <w:color w:val="auto"/>
                <w:szCs w:val="21"/>
                <w:lang w:eastAsia="zh-CN"/>
              </w:rPr>
              <w:t>（</w:t>
            </w:r>
            <w:r>
              <w:rPr>
                <w:rFonts w:hint="eastAsia"/>
                <w:color w:val="auto"/>
                <w:szCs w:val="21"/>
              </w:rPr>
              <w:t>GB3838-2002)Ⅳ类标准。</w:t>
            </w:r>
            <w:r>
              <w:rPr>
                <w:rFonts w:hint="eastAsia"/>
                <w:color w:val="auto"/>
                <w:szCs w:val="21"/>
                <w:lang w:val="zh-CN"/>
              </w:rPr>
              <w:t>涌口门上涌</w:t>
            </w:r>
            <w:r>
              <w:rPr>
                <w:rFonts w:hint="eastAsia"/>
                <w:color w:val="auto"/>
                <w:szCs w:val="21"/>
              </w:rPr>
              <w:t>通过支流最终汇入横门水道</w:t>
            </w:r>
            <w:r>
              <w:rPr>
                <w:rFonts w:hint="eastAsia"/>
                <w:color w:val="auto"/>
                <w:szCs w:val="21"/>
                <w:lang w:val="zh-CN" w:eastAsia="zh-CN"/>
              </w:rPr>
              <w:t>，</w:t>
            </w:r>
            <w:r>
              <w:rPr>
                <w:rFonts w:hint="eastAsia"/>
                <w:color w:val="auto"/>
                <w:szCs w:val="21"/>
                <w:lang w:val="en-US" w:eastAsia="zh-CN"/>
              </w:rPr>
              <w:t>横门</w:t>
            </w:r>
            <w:r>
              <w:rPr>
                <w:rFonts w:hint="eastAsia"/>
                <w:color w:val="auto"/>
                <w:szCs w:val="21"/>
                <w:lang w:val="zh-CN" w:eastAsia="zh-CN"/>
              </w:rPr>
              <w:t>水道为</w:t>
            </w:r>
            <w:r>
              <w:rPr>
                <w:rFonts w:hint="eastAsia"/>
                <w:color w:val="auto"/>
                <w:szCs w:val="21"/>
                <w:lang w:val="zh-CN" w:eastAsia="zh-CN"/>
              </w:rPr>
              <w:fldChar w:fldCharType="begin"/>
            </w:r>
            <w:r>
              <w:rPr>
                <w:rFonts w:hint="eastAsia"/>
                <w:color w:val="auto"/>
                <w:szCs w:val="21"/>
                <w:lang w:val="zh-CN" w:eastAsia="zh-CN"/>
              </w:rPr>
              <w:instrText xml:space="preserve"> = 3 \* ROMAN \* MERGEFORMAT </w:instrText>
            </w:r>
            <w:r>
              <w:rPr>
                <w:rFonts w:hint="eastAsia"/>
                <w:color w:val="auto"/>
                <w:szCs w:val="21"/>
                <w:lang w:val="zh-CN" w:eastAsia="zh-CN"/>
              </w:rPr>
              <w:fldChar w:fldCharType="separate"/>
            </w:r>
            <w:r>
              <w:rPr>
                <w:rFonts w:hint="eastAsia"/>
                <w:color w:val="auto"/>
                <w:szCs w:val="21"/>
                <w:lang w:val="zh-CN" w:eastAsia="zh-CN"/>
              </w:rPr>
              <w:t>III</w:t>
            </w:r>
            <w:r>
              <w:rPr>
                <w:rFonts w:hint="eastAsia"/>
                <w:color w:val="auto"/>
                <w:szCs w:val="21"/>
                <w:lang w:val="zh-CN" w:eastAsia="zh-CN"/>
              </w:rPr>
              <w:fldChar w:fldCharType="end"/>
            </w:r>
            <w:r>
              <w:rPr>
                <w:rFonts w:hint="eastAsia"/>
                <w:color w:val="auto"/>
                <w:szCs w:val="21"/>
                <w:lang w:val="zh-CN" w:eastAsia="zh-CN"/>
              </w:rPr>
              <w:t>类水体，执行《地表水环境质量标准》（GB3838-2002）</w:t>
            </w:r>
            <w:r>
              <w:rPr>
                <w:rFonts w:hint="eastAsia"/>
                <w:color w:val="auto"/>
                <w:szCs w:val="21"/>
                <w:lang w:val="zh-CN" w:eastAsia="zh-CN"/>
              </w:rPr>
              <w:fldChar w:fldCharType="begin"/>
            </w:r>
            <w:r>
              <w:rPr>
                <w:rFonts w:hint="eastAsia"/>
                <w:color w:val="auto"/>
                <w:szCs w:val="21"/>
                <w:lang w:val="zh-CN" w:eastAsia="zh-CN"/>
              </w:rPr>
              <w:instrText xml:space="preserve"> = 3 \* ROMAN \* MERGEFORMAT </w:instrText>
            </w:r>
            <w:r>
              <w:rPr>
                <w:rFonts w:hint="eastAsia"/>
                <w:color w:val="auto"/>
                <w:szCs w:val="21"/>
                <w:lang w:val="zh-CN" w:eastAsia="zh-CN"/>
              </w:rPr>
              <w:fldChar w:fldCharType="separate"/>
            </w:r>
            <w:r>
              <w:rPr>
                <w:rFonts w:hint="eastAsia"/>
                <w:color w:val="auto"/>
                <w:szCs w:val="21"/>
                <w:lang w:val="zh-CN" w:eastAsia="zh-CN"/>
              </w:rPr>
              <w:t>III</w:t>
            </w:r>
            <w:r>
              <w:rPr>
                <w:rFonts w:hint="eastAsia"/>
                <w:color w:val="auto"/>
                <w:szCs w:val="21"/>
                <w:lang w:val="zh-CN" w:eastAsia="zh-CN"/>
              </w:rPr>
              <w:fldChar w:fldCharType="end"/>
            </w:r>
            <w:r>
              <w:rPr>
                <w:rFonts w:hint="eastAsia"/>
                <w:color w:val="auto"/>
                <w:szCs w:val="21"/>
                <w:lang w:val="zh-CN" w:eastAsia="zh-CN"/>
              </w:rPr>
              <w:t>类标准。</w:t>
            </w:r>
            <w:r>
              <w:rPr>
                <w:rFonts w:hint="eastAsia"/>
                <w:color w:val="auto"/>
                <w:szCs w:val="21"/>
              </w:rPr>
              <w:t>根据《202</w:t>
            </w:r>
            <w:r>
              <w:rPr>
                <w:rFonts w:hint="eastAsia"/>
                <w:color w:val="auto"/>
                <w:szCs w:val="21"/>
                <w:lang w:val="en-US" w:eastAsia="zh-CN"/>
              </w:rPr>
              <w:t>4</w:t>
            </w:r>
            <w:r>
              <w:rPr>
                <w:rFonts w:hint="eastAsia"/>
                <w:color w:val="auto"/>
                <w:szCs w:val="21"/>
              </w:rPr>
              <w:t>年中山市生态环境质量报告书（公众版）》显示，2024年横门水道水质为II类标准，水质现状为优。</w:t>
            </w:r>
          </w:p>
          <w:p w14:paraId="331F6F4C">
            <w:pPr>
              <w:spacing w:line="360" w:lineRule="auto"/>
              <w:ind w:firstLine="480" w:firstLineChars="200"/>
              <w:jc w:val="center"/>
              <w:rPr>
                <w:color w:val="auto"/>
                <w:szCs w:val="21"/>
              </w:rPr>
            </w:pPr>
            <w:r>
              <w:rPr>
                <w:color w:val="auto"/>
                <w:sz w:val="24"/>
                <w:szCs w:val="24"/>
              </w:rPr>
              <w:drawing>
                <wp:inline distT="0" distB="0" distL="114300" distR="114300">
                  <wp:extent cx="4982845" cy="7028180"/>
                  <wp:effectExtent l="0" t="0" r="8255" b="127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6"/>
                          <a:stretch>
                            <a:fillRect/>
                          </a:stretch>
                        </pic:blipFill>
                        <pic:spPr>
                          <a:xfrm>
                            <a:off x="0" y="0"/>
                            <a:ext cx="4982845" cy="7028180"/>
                          </a:xfrm>
                          <a:prstGeom prst="rect">
                            <a:avLst/>
                          </a:prstGeom>
                          <a:noFill/>
                          <a:ln>
                            <a:noFill/>
                          </a:ln>
                        </pic:spPr>
                      </pic:pic>
                    </a:graphicData>
                  </a:graphic>
                </wp:inline>
              </w:drawing>
            </w:r>
          </w:p>
          <w:p w14:paraId="37FB10D5">
            <w:pPr>
              <w:pStyle w:val="95"/>
              <w:ind w:firstLine="0" w:firstLineChars="0"/>
              <w:rPr>
                <w:b/>
                <w:color w:val="auto"/>
                <w:sz w:val="21"/>
                <w:szCs w:val="21"/>
              </w:rPr>
            </w:pPr>
            <w:r>
              <w:rPr>
                <w:rFonts w:hint="eastAsia"/>
                <w:b/>
                <w:color w:val="auto"/>
                <w:sz w:val="21"/>
                <w:szCs w:val="21"/>
              </w:rPr>
              <w:t>三、</w:t>
            </w:r>
            <w:r>
              <w:rPr>
                <w:b/>
                <w:color w:val="auto"/>
                <w:sz w:val="21"/>
                <w:szCs w:val="21"/>
              </w:rPr>
              <w:t>声环境</w:t>
            </w:r>
            <w:r>
              <w:rPr>
                <w:rFonts w:hint="eastAsia"/>
                <w:b/>
                <w:color w:val="auto"/>
                <w:sz w:val="21"/>
                <w:szCs w:val="21"/>
              </w:rPr>
              <w:t>质量</w:t>
            </w:r>
            <w:r>
              <w:rPr>
                <w:b/>
                <w:color w:val="auto"/>
                <w:sz w:val="21"/>
                <w:szCs w:val="21"/>
              </w:rPr>
              <w:t>现状</w:t>
            </w:r>
          </w:p>
          <w:p w14:paraId="08651F56">
            <w:pPr>
              <w:spacing w:line="360" w:lineRule="auto"/>
              <w:ind w:firstLine="457" w:firstLineChars="218"/>
              <w:rPr>
                <w:rFonts w:hint="default" w:eastAsia="宋体"/>
                <w:color w:val="auto"/>
                <w:szCs w:val="21"/>
                <w:lang w:val="en-US" w:eastAsia="zh-CN"/>
              </w:rPr>
            </w:pPr>
            <w:r>
              <w:rPr>
                <w:rFonts w:hint="eastAsia"/>
                <w:color w:val="auto"/>
                <w:szCs w:val="21"/>
                <w:lang w:val="en-US" w:eastAsia="zh-CN"/>
              </w:rPr>
              <w:t>根据《中山市声环境功能区划方案（2021年修编）》（中府函〔2021〕363号），项目所在地位于</w:t>
            </w:r>
            <w:r>
              <w:rPr>
                <w:rFonts w:hint="eastAsia" w:ascii="Times New Roman" w:hAnsi="Times New Roman" w:eastAsia="宋体" w:cs="宋体"/>
                <w:color w:val="auto"/>
                <w:sz w:val="21"/>
                <w:szCs w:val="21"/>
                <w:lang w:val="en-US"/>
              </w:rPr>
              <w:t xml:space="preserve">中山市南朗镇第一工业区龙基路南燕玻璃马赛克有限公司6#厂房(原玻璃车间) </w:t>
            </w:r>
            <w:r>
              <w:rPr>
                <w:rFonts w:hint="eastAsia" w:ascii="Times New Roman" w:hAnsi="Times New Roman" w:eastAsia="宋体" w:cs="宋体"/>
                <w:color w:val="auto"/>
                <w:sz w:val="21"/>
                <w:szCs w:val="21"/>
                <w:lang w:val="en-US" w:eastAsia="zh-CN"/>
              </w:rPr>
              <w:t>，属于</w:t>
            </w:r>
            <w:r>
              <w:rPr>
                <w:rFonts w:hint="eastAsia" w:cs="宋体"/>
                <w:color w:val="auto"/>
                <w:sz w:val="21"/>
                <w:szCs w:val="21"/>
                <w:lang w:val="en-US" w:eastAsia="zh-CN"/>
              </w:rPr>
              <w:t>南朗街道</w:t>
            </w:r>
            <w:r>
              <w:rPr>
                <w:rFonts w:hint="eastAsia" w:ascii="Times New Roman" w:hAnsi="Times New Roman" w:eastAsia="宋体" w:cs="宋体"/>
                <w:color w:val="auto"/>
                <w:sz w:val="21"/>
                <w:szCs w:val="21"/>
                <w:lang w:val="en-US"/>
              </w:rPr>
              <w:t>第一工业区</w:t>
            </w:r>
            <w:r>
              <w:rPr>
                <w:rFonts w:hint="eastAsia" w:cs="宋体"/>
                <w:color w:val="auto"/>
                <w:sz w:val="21"/>
                <w:szCs w:val="21"/>
                <w:lang w:val="en-US" w:eastAsia="zh-CN"/>
              </w:rPr>
              <w:t>（III-11）</w:t>
            </w:r>
            <w:r>
              <w:rPr>
                <w:rFonts w:hint="eastAsia" w:ascii="Times New Roman" w:hAnsi="Times New Roman" w:eastAsia="宋体" w:cs="宋体"/>
                <w:color w:val="auto"/>
                <w:sz w:val="21"/>
                <w:szCs w:val="21"/>
                <w:lang w:val="en-US" w:eastAsia="zh-CN"/>
              </w:rPr>
              <w:t>范围内，故</w:t>
            </w:r>
            <w:r>
              <w:rPr>
                <w:rFonts w:hint="eastAsia"/>
                <w:color w:val="auto"/>
                <w:szCs w:val="21"/>
                <w:lang w:val="en-US" w:eastAsia="zh-CN"/>
              </w:rPr>
              <w:t>项目属于3类声环境功能区。</w:t>
            </w:r>
          </w:p>
          <w:p w14:paraId="5FB22536">
            <w:pPr>
              <w:spacing w:line="360" w:lineRule="auto"/>
              <w:ind w:firstLine="457" w:firstLineChars="218"/>
              <w:rPr>
                <w:color w:val="auto"/>
                <w:szCs w:val="21"/>
              </w:rPr>
            </w:pPr>
            <w:r>
              <w:rPr>
                <w:rFonts w:hint="eastAsia"/>
                <w:color w:val="auto"/>
                <w:szCs w:val="21"/>
              </w:rPr>
              <w:t>本项目厂界外周边50米范围内不存在声环境保护目标的建设项目，因此不开展声环境质量现状调查。</w:t>
            </w:r>
          </w:p>
          <w:p w14:paraId="141DA1A3">
            <w:pPr>
              <w:pStyle w:val="95"/>
              <w:ind w:firstLine="0" w:firstLineChars="0"/>
              <w:rPr>
                <w:b/>
                <w:color w:val="auto"/>
                <w:sz w:val="21"/>
                <w:szCs w:val="21"/>
              </w:rPr>
            </w:pPr>
            <w:r>
              <w:rPr>
                <w:rFonts w:hint="eastAsia"/>
                <w:b/>
                <w:color w:val="auto"/>
                <w:sz w:val="21"/>
                <w:szCs w:val="21"/>
              </w:rPr>
              <w:t>四</w:t>
            </w:r>
            <w:r>
              <w:rPr>
                <w:b/>
                <w:color w:val="auto"/>
                <w:sz w:val="21"/>
                <w:szCs w:val="21"/>
              </w:rPr>
              <w:t>、</w:t>
            </w:r>
            <w:r>
              <w:rPr>
                <w:rFonts w:hint="eastAsia"/>
                <w:b/>
                <w:color w:val="auto"/>
                <w:sz w:val="21"/>
                <w:szCs w:val="21"/>
              </w:rPr>
              <w:t>地下水</w:t>
            </w:r>
            <w:r>
              <w:rPr>
                <w:b/>
                <w:color w:val="auto"/>
                <w:sz w:val="21"/>
                <w:szCs w:val="21"/>
              </w:rPr>
              <w:t>环境</w:t>
            </w:r>
            <w:r>
              <w:rPr>
                <w:rFonts w:hint="eastAsia"/>
                <w:b/>
                <w:color w:val="auto"/>
                <w:sz w:val="21"/>
                <w:szCs w:val="21"/>
              </w:rPr>
              <w:t>质量</w:t>
            </w:r>
            <w:r>
              <w:rPr>
                <w:b/>
                <w:color w:val="auto"/>
                <w:sz w:val="21"/>
                <w:szCs w:val="21"/>
              </w:rPr>
              <w:t>现状</w:t>
            </w:r>
            <w:r>
              <w:rPr>
                <w:rFonts w:hint="eastAsia"/>
                <w:b/>
                <w:color w:val="auto"/>
                <w:sz w:val="21"/>
                <w:szCs w:val="21"/>
              </w:rPr>
              <w:t>和土壤环境质量现状</w:t>
            </w:r>
          </w:p>
          <w:p w14:paraId="7BAFCC9B">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项目不开采地下水，生产过程不涉及重金属污染工序，无有毒有害物质产生，项目厂界外500米范围内无地下水集中式饮用水源和热水、矿泉水、温泉等特殊地下水资源等保护目标，项目可能产生地下水及土壤污染的途径主要包括以下几个方面：</w:t>
            </w:r>
          </w:p>
          <w:p w14:paraId="04994021">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fldChar w:fldCharType="begin"/>
            </w:r>
            <w:r>
              <w:rPr>
                <w:rFonts w:hint="eastAsia" w:ascii="Times New Roman" w:hAnsi="Times New Roman" w:eastAsia="宋体" w:cs="Times New Roman"/>
                <w:snapToGrid w:val="0"/>
                <w:color w:val="auto"/>
                <w:kern w:val="2"/>
                <w:sz w:val="21"/>
                <w:szCs w:val="21"/>
                <w:highlight w:val="none"/>
                <w:u w:val="none"/>
                <w:lang w:val="en-US" w:eastAsia="zh-CN" w:bidi="ar-SA"/>
              </w:rPr>
              <w:instrText xml:space="preserve"> = 1 \* GB3 \* MERGEFORMAT </w:instrTex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separate"/>
            </w:r>
            <w:r>
              <w:rPr>
                <w:rFonts w:hint="eastAsia" w:ascii="Times New Roman" w:hAnsi="Times New Roman" w:eastAsia="宋体" w:cs="Times New Roman"/>
                <w:snapToGrid w:val="0"/>
                <w:color w:val="auto"/>
                <w:kern w:val="2"/>
                <w:sz w:val="21"/>
                <w:szCs w:val="21"/>
                <w:highlight w:val="none"/>
                <w:u w:val="none"/>
                <w:lang w:val="en-US" w:eastAsia="zh-CN" w:bidi="ar-SA"/>
              </w:rPr>
              <w:t>①</w: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end"/>
            </w:r>
            <w:r>
              <w:rPr>
                <w:rFonts w:hint="eastAsia" w:ascii="Times New Roman" w:hAnsi="Times New Roman" w:eastAsia="宋体" w:cs="Times New Roman"/>
                <w:snapToGrid w:val="0"/>
                <w:color w:val="auto"/>
                <w:kern w:val="2"/>
                <w:sz w:val="21"/>
                <w:szCs w:val="21"/>
                <w:highlight w:val="none"/>
                <w:u w:val="none"/>
                <w:lang w:val="en-US" w:eastAsia="zh-CN" w:bidi="ar-SA"/>
              </w:rPr>
              <w:t>生活污水</w:t>
            </w:r>
            <w:r>
              <w:rPr>
                <w:rFonts w:hint="eastAsia" w:cs="Times New Roman"/>
                <w:snapToGrid w:val="0"/>
                <w:color w:val="auto"/>
                <w:kern w:val="2"/>
                <w:sz w:val="21"/>
                <w:szCs w:val="21"/>
                <w:highlight w:val="none"/>
                <w:u w:val="none"/>
                <w:lang w:val="en-US" w:eastAsia="zh-CN" w:bidi="ar-SA"/>
              </w:rPr>
              <w:t>、生产废水（清洗废水）</w:t>
            </w:r>
            <w:r>
              <w:rPr>
                <w:rFonts w:hint="eastAsia" w:ascii="Times New Roman" w:hAnsi="Times New Roman" w:eastAsia="宋体" w:cs="Times New Roman"/>
                <w:snapToGrid w:val="0"/>
                <w:color w:val="auto"/>
                <w:kern w:val="2"/>
                <w:sz w:val="21"/>
                <w:szCs w:val="21"/>
                <w:highlight w:val="none"/>
                <w:u w:val="none"/>
                <w:lang w:val="en-US" w:eastAsia="zh-CN" w:bidi="ar-SA"/>
              </w:rPr>
              <w:t>的泄漏；</w:t>
            </w:r>
          </w:p>
          <w:p w14:paraId="0C52F57C">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fldChar w:fldCharType="begin"/>
            </w:r>
            <w:r>
              <w:rPr>
                <w:rFonts w:hint="eastAsia" w:ascii="Times New Roman" w:hAnsi="Times New Roman" w:eastAsia="宋体" w:cs="Times New Roman"/>
                <w:snapToGrid w:val="0"/>
                <w:color w:val="auto"/>
                <w:kern w:val="2"/>
                <w:sz w:val="21"/>
                <w:szCs w:val="21"/>
                <w:highlight w:val="none"/>
                <w:u w:val="none"/>
                <w:lang w:val="en-US" w:eastAsia="zh-CN" w:bidi="ar-SA"/>
              </w:rPr>
              <w:instrText xml:space="preserve"> = 2 \* GB3 \* MERGEFORMAT </w:instrTex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separate"/>
            </w:r>
            <w:r>
              <w:rPr>
                <w:rFonts w:hint="eastAsia" w:ascii="Times New Roman" w:hAnsi="Times New Roman" w:eastAsia="宋体" w:cs="Times New Roman"/>
                <w:snapToGrid w:val="0"/>
                <w:color w:val="auto"/>
                <w:kern w:val="2"/>
                <w:sz w:val="21"/>
                <w:szCs w:val="21"/>
                <w:highlight w:val="none"/>
                <w:u w:val="none"/>
                <w:lang w:val="en-US" w:eastAsia="zh-CN" w:bidi="ar-SA"/>
              </w:rPr>
              <w:t>②</w: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end"/>
            </w:r>
            <w:r>
              <w:rPr>
                <w:rFonts w:hint="eastAsia" w:ascii="Times New Roman" w:hAnsi="Times New Roman" w:eastAsia="宋体" w:cs="Times New Roman"/>
                <w:snapToGrid w:val="0"/>
                <w:color w:val="auto"/>
                <w:kern w:val="2"/>
                <w:sz w:val="21"/>
                <w:szCs w:val="21"/>
                <w:highlight w:val="none"/>
                <w:u w:val="none"/>
                <w:lang w:val="en-US" w:eastAsia="zh-CN" w:bidi="ar-SA"/>
              </w:rPr>
              <w:t>液态化学品（</w:t>
            </w:r>
            <w:r>
              <w:rPr>
                <w:rFonts w:hint="eastAsia" w:cs="Times New Roman"/>
                <w:snapToGrid w:val="0"/>
                <w:color w:val="auto"/>
                <w:kern w:val="2"/>
                <w:sz w:val="21"/>
                <w:szCs w:val="21"/>
                <w:highlight w:val="none"/>
                <w:u w:val="none"/>
                <w:lang w:val="en-US" w:eastAsia="zh-CN" w:bidi="ar-SA"/>
              </w:rPr>
              <w:t>润滑油</w:t>
            </w:r>
            <w:r>
              <w:rPr>
                <w:rFonts w:hint="eastAsia" w:ascii="Times New Roman" w:hAnsi="Times New Roman" w:eastAsia="宋体" w:cs="Times New Roman"/>
                <w:snapToGrid w:val="0"/>
                <w:color w:val="auto"/>
                <w:kern w:val="2"/>
                <w:sz w:val="21"/>
                <w:szCs w:val="21"/>
                <w:highlight w:val="none"/>
                <w:u w:val="none"/>
                <w:lang w:val="en-US" w:eastAsia="zh-CN" w:bidi="ar-SA"/>
              </w:rPr>
              <w:t>、</w:t>
            </w:r>
            <w:r>
              <w:rPr>
                <w:rFonts w:hint="eastAsia" w:cs="Times New Roman"/>
                <w:snapToGrid w:val="0"/>
                <w:color w:val="auto"/>
                <w:kern w:val="2"/>
                <w:sz w:val="21"/>
                <w:szCs w:val="21"/>
                <w:highlight w:val="none"/>
                <w:u w:val="none"/>
                <w:lang w:val="en-US" w:eastAsia="zh-CN" w:bidi="ar-SA"/>
              </w:rPr>
              <w:t>陶化剂</w:t>
            </w:r>
            <w:r>
              <w:rPr>
                <w:rFonts w:hint="eastAsia" w:ascii="Times New Roman" w:hAnsi="Times New Roman" w:eastAsia="宋体" w:cs="Times New Roman"/>
                <w:snapToGrid w:val="0"/>
                <w:color w:val="auto"/>
                <w:kern w:val="2"/>
                <w:sz w:val="21"/>
                <w:szCs w:val="21"/>
                <w:highlight w:val="none"/>
                <w:u w:val="none"/>
                <w:lang w:val="en-US" w:eastAsia="zh-CN" w:bidi="ar-SA"/>
              </w:rPr>
              <w:t>、</w:t>
            </w:r>
            <w:r>
              <w:rPr>
                <w:rFonts w:hint="eastAsia" w:cs="Times New Roman"/>
                <w:snapToGrid w:val="0"/>
                <w:color w:val="auto"/>
                <w:kern w:val="2"/>
                <w:sz w:val="21"/>
                <w:szCs w:val="21"/>
                <w:highlight w:val="none"/>
                <w:u w:val="none"/>
                <w:lang w:val="en-US" w:eastAsia="zh-CN" w:bidi="ar-SA"/>
              </w:rPr>
              <w:t>除油剂</w:t>
            </w:r>
            <w:r>
              <w:rPr>
                <w:rFonts w:hint="eastAsia" w:ascii="Times New Roman" w:hAnsi="Times New Roman" w:eastAsia="宋体" w:cs="Times New Roman"/>
                <w:snapToGrid w:val="0"/>
                <w:color w:val="auto"/>
                <w:kern w:val="2"/>
                <w:sz w:val="21"/>
                <w:szCs w:val="21"/>
                <w:highlight w:val="none"/>
                <w:u w:val="none"/>
                <w:lang w:val="en-US" w:eastAsia="zh-CN" w:bidi="ar-SA"/>
              </w:rPr>
              <w:t>等）运输使用过程的泄漏；</w:t>
            </w:r>
          </w:p>
          <w:p w14:paraId="72AD5AFD">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fldChar w:fldCharType="begin"/>
            </w:r>
            <w:r>
              <w:rPr>
                <w:rFonts w:hint="eastAsia" w:ascii="Times New Roman" w:hAnsi="Times New Roman" w:eastAsia="宋体" w:cs="Times New Roman"/>
                <w:snapToGrid w:val="0"/>
                <w:color w:val="auto"/>
                <w:kern w:val="2"/>
                <w:sz w:val="21"/>
                <w:szCs w:val="21"/>
                <w:highlight w:val="none"/>
                <w:u w:val="none"/>
                <w:lang w:val="en-US" w:eastAsia="zh-CN" w:bidi="ar-SA"/>
              </w:rPr>
              <w:instrText xml:space="preserve"> = 3 \* GB3 \* MERGEFORMAT </w:instrTex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separate"/>
            </w:r>
            <w:r>
              <w:rPr>
                <w:rFonts w:hint="eastAsia" w:ascii="Times New Roman" w:hAnsi="Times New Roman" w:eastAsia="宋体" w:cs="Times New Roman"/>
                <w:snapToGrid w:val="0"/>
                <w:color w:val="auto"/>
                <w:kern w:val="2"/>
                <w:sz w:val="21"/>
                <w:szCs w:val="21"/>
                <w:highlight w:val="none"/>
                <w:u w:val="none"/>
                <w:lang w:val="en-US" w:eastAsia="zh-CN" w:bidi="ar-SA"/>
              </w:rPr>
              <w:t>③</w: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end"/>
            </w:r>
            <w:r>
              <w:rPr>
                <w:rFonts w:hint="eastAsia" w:ascii="Times New Roman" w:hAnsi="Times New Roman" w:eastAsia="宋体" w:cs="Times New Roman"/>
                <w:snapToGrid w:val="0"/>
                <w:color w:val="auto"/>
                <w:kern w:val="2"/>
                <w:sz w:val="21"/>
                <w:szCs w:val="21"/>
                <w:highlight w:val="none"/>
                <w:u w:val="none"/>
                <w:lang w:val="en-US" w:eastAsia="zh-CN" w:bidi="ar-SA"/>
              </w:rPr>
              <w:t>一般固体废物暂存间或危废暂存间的渗滤液的下渗；</w:t>
            </w:r>
          </w:p>
          <w:p w14:paraId="7CD9BF71">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20" w:firstLineChars="200"/>
              <w:textAlignment w:val="auto"/>
              <w:rPr>
                <w:rFonts w:hint="default"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fldChar w:fldCharType="begin"/>
            </w:r>
            <w:r>
              <w:rPr>
                <w:rFonts w:hint="eastAsia" w:ascii="Times New Roman" w:hAnsi="Times New Roman" w:eastAsia="宋体" w:cs="Times New Roman"/>
                <w:snapToGrid w:val="0"/>
                <w:color w:val="auto"/>
                <w:kern w:val="2"/>
                <w:sz w:val="21"/>
                <w:szCs w:val="21"/>
                <w:highlight w:val="none"/>
                <w:u w:val="none"/>
                <w:lang w:val="en-US" w:eastAsia="zh-CN" w:bidi="ar-SA"/>
              </w:rPr>
              <w:instrText xml:space="preserve"> = 4 \* GB3 \* MERGEFORMAT </w:instrTex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separate"/>
            </w:r>
            <w:r>
              <w:rPr>
                <w:rFonts w:hint="eastAsia" w:ascii="Times New Roman" w:hAnsi="Times New Roman" w:eastAsia="宋体" w:cs="Times New Roman"/>
                <w:snapToGrid w:val="0"/>
                <w:color w:val="auto"/>
                <w:kern w:val="2"/>
                <w:sz w:val="21"/>
                <w:szCs w:val="21"/>
                <w:highlight w:val="none"/>
                <w:u w:val="none"/>
                <w:lang w:val="en-US" w:eastAsia="zh-CN" w:bidi="ar-SA"/>
              </w:rPr>
              <w:t>④</w: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end"/>
            </w:r>
            <w:r>
              <w:rPr>
                <w:rFonts w:hint="eastAsia" w:ascii="Times New Roman" w:hAnsi="Times New Roman" w:eastAsia="宋体" w:cs="Times New Roman"/>
                <w:snapToGrid w:val="0"/>
                <w:color w:val="auto"/>
                <w:kern w:val="2"/>
                <w:sz w:val="21"/>
                <w:szCs w:val="21"/>
                <w:highlight w:val="none"/>
                <w:u w:val="none"/>
                <w:lang w:val="en-US" w:eastAsia="zh-CN" w:bidi="ar-SA"/>
              </w:rPr>
              <w:t>生产过程产生的废气大气沉降，导致土壤的污染；</w:t>
            </w:r>
          </w:p>
          <w:p w14:paraId="36FB4DF1">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t>针对以上几种污染途径做出以下几点防治措施：</w:t>
            </w:r>
          </w:p>
          <w:p w14:paraId="07BF3449">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fldChar w:fldCharType="begin"/>
            </w:r>
            <w:r>
              <w:rPr>
                <w:rFonts w:hint="eastAsia" w:ascii="Times New Roman" w:hAnsi="Times New Roman" w:eastAsia="宋体" w:cs="Times New Roman"/>
                <w:snapToGrid w:val="0"/>
                <w:color w:val="auto"/>
                <w:kern w:val="2"/>
                <w:sz w:val="21"/>
                <w:szCs w:val="21"/>
                <w:highlight w:val="none"/>
                <w:u w:val="none"/>
                <w:lang w:val="en-US" w:eastAsia="zh-CN" w:bidi="ar-SA"/>
              </w:rPr>
              <w:instrText xml:space="preserve"> = 1 \* GB3 \* MERGEFORMAT </w:instrTex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separate"/>
            </w:r>
            <w:r>
              <w:rPr>
                <w:rFonts w:hint="eastAsia" w:ascii="Times New Roman" w:hAnsi="Times New Roman" w:eastAsia="宋体" w:cs="Times New Roman"/>
                <w:snapToGrid w:val="0"/>
                <w:color w:val="auto"/>
                <w:kern w:val="2"/>
                <w:sz w:val="21"/>
                <w:szCs w:val="21"/>
                <w:highlight w:val="none"/>
                <w:u w:val="none"/>
                <w:lang w:val="en-US" w:eastAsia="zh-CN" w:bidi="ar-SA"/>
              </w:rPr>
              <w:t>①</w: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end"/>
            </w:r>
            <w:r>
              <w:rPr>
                <w:rFonts w:hint="eastAsia" w:ascii="Times New Roman" w:hAnsi="Times New Roman" w:eastAsia="宋体" w:cs="Times New Roman"/>
                <w:snapToGrid w:val="0"/>
                <w:color w:val="auto"/>
                <w:kern w:val="2"/>
                <w:sz w:val="21"/>
                <w:szCs w:val="21"/>
                <w:highlight w:val="none"/>
                <w:u w:val="none"/>
                <w:lang w:val="en-US" w:eastAsia="zh-CN" w:bidi="ar-SA"/>
              </w:rPr>
              <w:t>生活污水经化粪池预处理后经市政管网排入中山市</w:t>
            </w:r>
            <w:r>
              <w:rPr>
                <w:rFonts w:hint="eastAsia" w:cs="Times New Roman"/>
                <w:snapToGrid w:val="0"/>
                <w:color w:val="auto"/>
                <w:kern w:val="2"/>
                <w:sz w:val="21"/>
                <w:szCs w:val="21"/>
                <w:highlight w:val="none"/>
                <w:u w:val="none"/>
                <w:lang w:val="en-US" w:eastAsia="zh-CN" w:bidi="ar-SA"/>
              </w:rPr>
              <w:t>南朗横门</w:t>
            </w:r>
            <w:r>
              <w:rPr>
                <w:rFonts w:hint="eastAsia" w:ascii="Times New Roman" w:hAnsi="Times New Roman" w:eastAsia="宋体" w:cs="Times New Roman"/>
                <w:snapToGrid w:val="0"/>
                <w:color w:val="auto"/>
                <w:kern w:val="2"/>
                <w:sz w:val="21"/>
                <w:szCs w:val="21"/>
                <w:highlight w:val="none"/>
                <w:u w:val="none"/>
                <w:lang w:val="en-US" w:eastAsia="zh-CN" w:bidi="ar-SA"/>
              </w:rPr>
              <w:t>污水处理</w:t>
            </w:r>
            <w:r>
              <w:rPr>
                <w:rFonts w:hint="eastAsia" w:cs="Times New Roman"/>
                <w:snapToGrid w:val="0"/>
                <w:color w:val="auto"/>
                <w:kern w:val="2"/>
                <w:sz w:val="21"/>
                <w:szCs w:val="21"/>
                <w:highlight w:val="none"/>
                <w:u w:val="none"/>
                <w:lang w:val="en-US" w:eastAsia="zh-CN" w:bidi="ar-SA"/>
              </w:rPr>
              <w:t>厂</w:t>
            </w:r>
            <w:r>
              <w:rPr>
                <w:rFonts w:hint="eastAsia" w:ascii="Times New Roman" w:hAnsi="Times New Roman" w:eastAsia="宋体" w:cs="Times New Roman"/>
                <w:snapToGrid w:val="0"/>
                <w:color w:val="auto"/>
                <w:kern w:val="2"/>
                <w:sz w:val="21"/>
                <w:szCs w:val="21"/>
                <w:highlight w:val="none"/>
                <w:u w:val="none"/>
                <w:lang w:val="en-US" w:eastAsia="zh-CN" w:bidi="ar-SA"/>
              </w:rPr>
              <w:t>，生产废水（清洗废水）收集后定期委托给有处理能力的废水处理机构处理；项目厂区内地面为混凝土硬化地面，管道定期维护；</w:t>
            </w:r>
          </w:p>
          <w:p w14:paraId="495B4934">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fldChar w:fldCharType="begin"/>
            </w:r>
            <w:r>
              <w:rPr>
                <w:rFonts w:hint="eastAsia" w:ascii="Times New Roman" w:hAnsi="Times New Roman" w:eastAsia="宋体" w:cs="Times New Roman"/>
                <w:snapToGrid w:val="0"/>
                <w:color w:val="auto"/>
                <w:kern w:val="2"/>
                <w:sz w:val="21"/>
                <w:szCs w:val="21"/>
                <w:highlight w:val="none"/>
                <w:u w:val="none"/>
                <w:lang w:val="en-US" w:eastAsia="zh-CN" w:bidi="ar-SA"/>
              </w:rPr>
              <w:instrText xml:space="preserve"> = 2 \* GB3 \* MERGEFORMAT </w:instrTex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separate"/>
            </w:r>
            <w:r>
              <w:rPr>
                <w:rFonts w:hint="eastAsia" w:ascii="Times New Roman" w:hAnsi="Times New Roman" w:eastAsia="宋体" w:cs="Times New Roman"/>
                <w:snapToGrid w:val="0"/>
                <w:color w:val="auto"/>
                <w:kern w:val="2"/>
                <w:sz w:val="21"/>
                <w:szCs w:val="21"/>
                <w:highlight w:val="none"/>
                <w:u w:val="none"/>
                <w:lang w:val="en-US" w:eastAsia="zh-CN" w:bidi="ar-SA"/>
              </w:rPr>
              <w:t>②</w: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end"/>
            </w:r>
            <w:r>
              <w:rPr>
                <w:rFonts w:hint="eastAsia" w:ascii="Times New Roman" w:hAnsi="Times New Roman" w:eastAsia="宋体" w:cs="Times New Roman"/>
                <w:snapToGrid w:val="0"/>
                <w:color w:val="auto"/>
                <w:kern w:val="2"/>
                <w:sz w:val="21"/>
                <w:szCs w:val="21"/>
                <w:highlight w:val="none"/>
                <w:u w:val="none"/>
                <w:lang w:val="en-US" w:eastAsia="zh-CN" w:bidi="ar-SA"/>
              </w:rPr>
              <w:t>存放化学品的区域采取严格的分区防腐防渗措施，防止因事故消防废水漫流通过下渗污染项目区周围地下水环境，避免对地下水造成环境污染；</w:t>
            </w:r>
          </w:p>
          <w:p w14:paraId="701E5B15">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fldChar w:fldCharType="begin"/>
            </w:r>
            <w:r>
              <w:rPr>
                <w:rFonts w:hint="eastAsia" w:ascii="Times New Roman" w:hAnsi="Times New Roman" w:eastAsia="宋体" w:cs="Times New Roman"/>
                <w:snapToGrid w:val="0"/>
                <w:color w:val="auto"/>
                <w:kern w:val="2"/>
                <w:sz w:val="21"/>
                <w:szCs w:val="21"/>
                <w:highlight w:val="none"/>
                <w:u w:val="none"/>
                <w:lang w:val="en-US" w:eastAsia="zh-CN" w:bidi="ar-SA"/>
              </w:rPr>
              <w:instrText xml:space="preserve"> = 3 \* GB3 \* MERGEFORMAT </w:instrTex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separate"/>
            </w:r>
            <w:r>
              <w:rPr>
                <w:rFonts w:hint="eastAsia" w:ascii="Times New Roman" w:hAnsi="Times New Roman" w:eastAsia="宋体" w:cs="Times New Roman"/>
                <w:snapToGrid w:val="0"/>
                <w:color w:val="auto"/>
                <w:kern w:val="2"/>
                <w:sz w:val="21"/>
                <w:szCs w:val="21"/>
                <w:highlight w:val="none"/>
                <w:u w:val="none"/>
                <w:lang w:val="en-US" w:eastAsia="zh-CN" w:bidi="ar-SA"/>
              </w:rPr>
              <w:t>③</w: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end"/>
            </w:r>
            <w:r>
              <w:rPr>
                <w:rFonts w:hint="eastAsia" w:ascii="Times New Roman" w:hAnsi="Times New Roman" w:eastAsia="宋体" w:cs="Times New Roman"/>
                <w:snapToGrid w:val="0"/>
                <w:color w:val="auto"/>
                <w:kern w:val="2"/>
                <w:sz w:val="21"/>
                <w:szCs w:val="21"/>
                <w:highlight w:val="none"/>
                <w:u w:val="none"/>
                <w:lang w:val="en-US" w:eastAsia="zh-CN" w:bidi="ar-SA"/>
              </w:rPr>
              <w:t>危险废物贮存于室内，不露天堆放，贮存场所按照《危险废物贮存污染控制标准》（GB 18597—</w:t>
            </w:r>
            <w:r>
              <w:rPr>
                <w:rFonts w:hint="eastAsia" w:ascii="Times New Roman" w:hAnsi="Times New Roman" w:eastAsia="宋体" w:cs="Times New Roman"/>
                <w:snapToGrid w:val="0"/>
                <w:color w:val="auto"/>
                <w:kern w:val="2"/>
                <w:sz w:val="21"/>
                <w:szCs w:val="21"/>
                <w:highlight w:val="none"/>
                <w:u w:val="none"/>
                <w:lang w:val="en-US" w:eastAsia="zh-CN" w:bidi="ar-SA"/>
              </w:rPr>
              <w:t>2023</w:t>
            </w:r>
            <w:r>
              <w:rPr>
                <w:rFonts w:hint="eastAsia" w:ascii="Times New Roman" w:hAnsi="Times New Roman" w:eastAsia="宋体" w:cs="Times New Roman"/>
                <w:snapToGrid w:val="0"/>
                <w:color w:val="auto"/>
                <w:kern w:val="2"/>
                <w:sz w:val="21"/>
                <w:szCs w:val="21"/>
                <w:highlight w:val="none"/>
                <w:u w:val="none"/>
                <w:lang w:val="en-US" w:eastAsia="zh-CN" w:bidi="ar-SA"/>
              </w:rPr>
              <w:t>）中的规定建设，设置防雨淋、防渗漏、防流失措施，以防止危险废物或其淋滤液渗入地下或进入地表水体而污染地下水。</w:t>
            </w:r>
          </w:p>
          <w:p w14:paraId="34D7011D">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20" w:firstLineChars="200"/>
              <w:textAlignment w:val="auto"/>
              <w:rPr>
                <w:rFonts w:hint="default" w:ascii="Times New Roman" w:hAnsi="Times New Roman" w:eastAsia="宋体" w:cs="Times New Roman"/>
                <w:snapToGrid w:val="0"/>
                <w:color w:val="auto"/>
                <w:kern w:val="2"/>
                <w:sz w:val="21"/>
                <w:szCs w:val="21"/>
                <w:highlight w:val="none"/>
                <w:u w:val="none"/>
                <w:lang w:val="en-US" w:eastAsia="zh-CN" w:bidi="ar-SA"/>
              </w:rPr>
            </w:pPr>
            <w:r>
              <w:rPr>
                <w:rFonts w:hint="eastAsia" w:ascii="Times New Roman" w:hAnsi="Times New Roman" w:eastAsia="宋体" w:cs="Times New Roman"/>
                <w:snapToGrid w:val="0"/>
                <w:color w:val="auto"/>
                <w:kern w:val="2"/>
                <w:sz w:val="21"/>
                <w:szCs w:val="21"/>
                <w:highlight w:val="none"/>
                <w:u w:val="none"/>
                <w:lang w:val="en-US" w:eastAsia="zh-CN" w:bidi="ar-SA"/>
              </w:rPr>
              <w:fldChar w:fldCharType="begin"/>
            </w:r>
            <w:r>
              <w:rPr>
                <w:rFonts w:hint="eastAsia" w:ascii="Times New Roman" w:hAnsi="Times New Roman" w:eastAsia="宋体" w:cs="Times New Roman"/>
                <w:snapToGrid w:val="0"/>
                <w:color w:val="auto"/>
                <w:kern w:val="2"/>
                <w:sz w:val="21"/>
                <w:szCs w:val="21"/>
                <w:highlight w:val="none"/>
                <w:u w:val="none"/>
                <w:lang w:val="en-US" w:eastAsia="zh-CN" w:bidi="ar-SA"/>
              </w:rPr>
              <w:instrText xml:space="preserve"> = 4 \* GB3 \* MERGEFORMAT </w:instrTex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separate"/>
            </w:r>
            <w:r>
              <w:rPr>
                <w:rFonts w:hint="eastAsia" w:ascii="Times New Roman" w:hAnsi="Times New Roman" w:eastAsia="宋体" w:cs="Times New Roman"/>
                <w:snapToGrid w:val="0"/>
                <w:color w:val="auto"/>
                <w:kern w:val="2"/>
                <w:sz w:val="21"/>
                <w:szCs w:val="21"/>
                <w:highlight w:val="none"/>
                <w:u w:val="none"/>
                <w:lang w:val="en-US" w:eastAsia="zh-CN" w:bidi="ar-SA"/>
              </w:rPr>
              <w:t>④</w:t>
            </w:r>
            <w:r>
              <w:rPr>
                <w:rFonts w:hint="eastAsia" w:ascii="Times New Roman" w:hAnsi="Times New Roman" w:eastAsia="宋体" w:cs="Times New Roman"/>
                <w:snapToGrid w:val="0"/>
                <w:color w:val="auto"/>
                <w:kern w:val="2"/>
                <w:sz w:val="21"/>
                <w:szCs w:val="21"/>
                <w:highlight w:val="none"/>
                <w:u w:val="none"/>
                <w:lang w:val="en-US" w:eastAsia="zh-CN" w:bidi="ar-SA"/>
              </w:rPr>
              <w:fldChar w:fldCharType="end"/>
            </w:r>
            <w:r>
              <w:rPr>
                <w:rFonts w:hint="default" w:ascii="Times New Roman" w:hAnsi="Times New Roman" w:eastAsia="宋体" w:cs="Times New Roman"/>
                <w:snapToGrid w:val="0"/>
                <w:color w:val="auto"/>
                <w:kern w:val="2"/>
                <w:sz w:val="21"/>
                <w:szCs w:val="21"/>
                <w:highlight w:val="none"/>
                <w:u w:val="none"/>
                <w:lang w:val="en-US" w:eastAsia="zh-CN" w:bidi="ar-SA"/>
              </w:rPr>
              <w:t>项目生产过程主要产生</w:t>
            </w:r>
            <w:r>
              <w:rPr>
                <w:rFonts w:hint="eastAsia" w:cs="Times New Roman"/>
                <w:snapToGrid w:val="0"/>
                <w:color w:val="auto"/>
                <w:kern w:val="2"/>
                <w:sz w:val="21"/>
                <w:szCs w:val="21"/>
                <w:highlight w:val="none"/>
                <w:u w:val="none"/>
                <w:lang w:val="en-US" w:eastAsia="zh-CN" w:bidi="ar-SA"/>
              </w:rPr>
              <w:t>自动线喷粉</w:t>
            </w:r>
            <w:r>
              <w:rPr>
                <w:rFonts w:hint="eastAsia" w:ascii="Times New Roman" w:hAnsi="Times New Roman" w:eastAsia="宋体" w:cs="Times New Roman"/>
                <w:snapToGrid w:val="0"/>
                <w:color w:val="auto"/>
                <w:kern w:val="2"/>
                <w:sz w:val="21"/>
                <w:szCs w:val="21"/>
                <w:highlight w:val="none"/>
                <w:u w:val="none"/>
                <w:lang w:val="en-US" w:eastAsia="zh-CN" w:bidi="ar-SA"/>
              </w:rPr>
              <w:t>废气、</w:t>
            </w:r>
            <w:r>
              <w:rPr>
                <w:rFonts w:hint="eastAsia" w:cs="Times New Roman"/>
                <w:snapToGrid w:val="0"/>
                <w:color w:val="auto"/>
                <w:kern w:val="2"/>
                <w:sz w:val="21"/>
                <w:szCs w:val="21"/>
                <w:highlight w:val="none"/>
                <w:u w:val="none"/>
                <w:lang w:val="en-US" w:eastAsia="zh-CN" w:bidi="ar-SA"/>
              </w:rPr>
              <w:t>手动线喷粉</w:t>
            </w:r>
            <w:r>
              <w:rPr>
                <w:rFonts w:hint="eastAsia" w:ascii="Times New Roman" w:hAnsi="Times New Roman" w:eastAsia="宋体" w:cs="Times New Roman"/>
                <w:snapToGrid w:val="0"/>
                <w:color w:val="auto"/>
                <w:kern w:val="2"/>
                <w:sz w:val="21"/>
                <w:szCs w:val="21"/>
                <w:highlight w:val="none"/>
                <w:u w:val="none"/>
                <w:lang w:val="en-US" w:eastAsia="zh-CN" w:bidi="ar-SA"/>
              </w:rPr>
              <w:t>废气</w:t>
            </w:r>
            <w:r>
              <w:rPr>
                <w:rFonts w:hint="eastAsia" w:cs="Times New Roman"/>
                <w:snapToGrid w:val="0"/>
                <w:color w:val="auto"/>
                <w:kern w:val="2"/>
                <w:sz w:val="21"/>
                <w:szCs w:val="21"/>
                <w:highlight w:val="none"/>
                <w:u w:val="none"/>
                <w:lang w:val="en-US" w:eastAsia="zh-CN" w:bidi="ar-SA"/>
              </w:rPr>
              <w:t>、自动线固化</w:t>
            </w:r>
            <w:r>
              <w:rPr>
                <w:rFonts w:hint="eastAsia" w:ascii="Times New Roman" w:hAnsi="Times New Roman" w:eastAsia="宋体" w:cs="Times New Roman"/>
                <w:snapToGrid w:val="0"/>
                <w:color w:val="auto"/>
                <w:kern w:val="2"/>
                <w:sz w:val="21"/>
                <w:szCs w:val="21"/>
                <w:highlight w:val="none"/>
                <w:u w:val="none"/>
                <w:lang w:val="en-US" w:eastAsia="zh-CN" w:bidi="ar-SA"/>
              </w:rPr>
              <w:t>废气</w:t>
            </w:r>
            <w:r>
              <w:rPr>
                <w:rFonts w:hint="default" w:ascii="Times New Roman" w:hAnsi="Times New Roman" w:eastAsia="宋体" w:cs="Times New Roman"/>
                <w:snapToGrid w:val="0"/>
                <w:color w:val="auto"/>
                <w:kern w:val="2"/>
                <w:sz w:val="21"/>
                <w:szCs w:val="21"/>
                <w:highlight w:val="none"/>
                <w:u w:val="none"/>
                <w:lang w:val="en-US" w:eastAsia="zh-CN" w:bidi="ar-SA"/>
              </w:rPr>
              <w:t>、</w:t>
            </w:r>
            <w:r>
              <w:rPr>
                <w:rFonts w:hint="eastAsia" w:cs="Times New Roman"/>
                <w:snapToGrid w:val="0"/>
                <w:color w:val="auto"/>
                <w:kern w:val="2"/>
                <w:sz w:val="21"/>
                <w:szCs w:val="21"/>
                <w:highlight w:val="none"/>
                <w:u w:val="none"/>
                <w:lang w:val="en-US" w:eastAsia="zh-CN" w:bidi="ar-SA"/>
              </w:rPr>
              <w:t>液化石油气燃烧废气、手动线面包炉固化</w:t>
            </w:r>
            <w:r>
              <w:rPr>
                <w:rFonts w:hint="eastAsia" w:ascii="Times New Roman" w:hAnsi="Times New Roman" w:eastAsia="宋体" w:cs="Times New Roman"/>
                <w:snapToGrid w:val="0"/>
                <w:color w:val="auto"/>
                <w:kern w:val="2"/>
                <w:sz w:val="21"/>
                <w:szCs w:val="21"/>
                <w:highlight w:val="none"/>
                <w:u w:val="none"/>
                <w:lang w:val="en-US" w:eastAsia="zh-CN" w:bidi="ar-SA"/>
              </w:rPr>
              <w:t>废气。自动线喷粉废气</w:t>
            </w:r>
            <w:r>
              <w:rPr>
                <w:rFonts w:hint="eastAsia" w:cs="Times New Roman"/>
                <w:snapToGrid w:val="0"/>
                <w:color w:val="auto"/>
                <w:kern w:val="2"/>
                <w:sz w:val="21"/>
                <w:szCs w:val="21"/>
                <w:highlight w:val="none"/>
                <w:u w:val="none"/>
                <w:lang w:val="en-US" w:eastAsia="zh-CN" w:bidi="ar-SA"/>
              </w:rPr>
              <w:t>、手动线喷粉废气</w:t>
            </w:r>
            <w:r>
              <w:rPr>
                <w:rFonts w:hint="eastAsia" w:cs="Times New Roman"/>
                <w:snapToGrid w:val="0"/>
                <w:color w:val="auto"/>
                <w:kern w:val="2"/>
                <w:sz w:val="21"/>
                <w:szCs w:val="21"/>
                <w:highlight w:val="none"/>
                <w:u w:val="none"/>
                <w:lang w:val="en-US" w:eastAsia="zh-CN" w:bidi="ar-SA"/>
              </w:rPr>
              <w:t>半密闭罩</w:t>
            </w:r>
            <w:r>
              <w:rPr>
                <w:rFonts w:hint="eastAsia" w:cs="Times New Roman"/>
                <w:snapToGrid w:val="0"/>
                <w:color w:val="auto"/>
                <w:kern w:val="2"/>
                <w:sz w:val="21"/>
                <w:szCs w:val="21"/>
                <w:highlight w:val="none"/>
                <w:u w:val="none"/>
                <w:lang w:val="en-US" w:eastAsia="zh-CN" w:bidi="ar-SA"/>
              </w:rPr>
              <w:t>收集，二者</w:t>
            </w:r>
            <w:r>
              <w:rPr>
                <w:rFonts w:hint="eastAsia" w:ascii="Times New Roman" w:hAnsi="Times New Roman" w:eastAsia="宋体" w:cs="Times New Roman"/>
                <w:snapToGrid w:val="0"/>
                <w:color w:val="auto"/>
                <w:kern w:val="2"/>
                <w:sz w:val="21"/>
                <w:szCs w:val="21"/>
                <w:highlight w:val="none"/>
                <w:u w:val="none"/>
                <w:lang w:val="en-US" w:eastAsia="zh-CN" w:bidi="ar-SA"/>
              </w:rPr>
              <w:t>经</w:t>
            </w:r>
            <w:r>
              <w:rPr>
                <w:rFonts w:hint="eastAsia" w:cs="Times New Roman"/>
                <w:b/>
                <w:bCs/>
                <w:snapToGrid w:val="0"/>
                <w:color w:val="auto"/>
                <w:kern w:val="2"/>
                <w:sz w:val="21"/>
                <w:szCs w:val="21"/>
                <w:highlight w:val="none"/>
                <w:u w:val="none"/>
                <w:lang w:val="en-US" w:eastAsia="zh-CN" w:bidi="ar-SA"/>
              </w:rPr>
              <w:t>二级</w:t>
            </w:r>
            <w:r>
              <w:rPr>
                <w:rFonts w:hint="eastAsia" w:ascii="Times New Roman" w:hAnsi="Times New Roman" w:eastAsia="宋体" w:cs="Times New Roman"/>
                <w:b/>
                <w:bCs/>
                <w:snapToGrid w:val="0"/>
                <w:color w:val="auto"/>
                <w:kern w:val="2"/>
                <w:sz w:val="21"/>
                <w:szCs w:val="21"/>
                <w:highlight w:val="none"/>
                <w:u w:val="none"/>
                <w:lang w:val="en-US" w:eastAsia="zh-CN" w:bidi="ar-SA"/>
              </w:rPr>
              <w:t>滤芯回收装置</w:t>
            </w:r>
            <w:r>
              <w:rPr>
                <w:rFonts w:hint="eastAsia" w:ascii="Times New Roman" w:hAnsi="Times New Roman" w:eastAsia="宋体" w:cs="Times New Roman"/>
                <w:snapToGrid w:val="0"/>
                <w:color w:val="auto"/>
                <w:kern w:val="2"/>
                <w:sz w:val="21"/>
                <w:szCs w:val="21"/>
                <w:highlight w:val="none"/>
                <w:u w:val="none"/>
                <w:lang w:val="en-US" w:eastAsia="zh-CN" w:bidi="ar-SA"/>
              </w:rPr>
              <w:t>处理后经15m高排气筒（G1，风量为15000m³/h）排放</w:t>
            </w:r>
            <w:r>
              <w:rPr>
                <w:rFonts w:hint="eastAsia" w:cs="Times New Roman"/>
                <w:snapToGrid w:val="0"/>
                <w:color w:val="auto"/>
                <w:kern w:val="2"/>
                <w:sz w:val="21"/>
                <w:szCs w:val="21"/>
                <w:highlight w:val="none"/>
                <w:u w:val="none"/>
                <w:lang w:val="en-US" w:eastAsia="zh-CN" w:bidi="ar-SA"/>
              </w:rPr>
              <w:t>。手动线面包炉固化工序废气密闭管道收集，</w:t>
            </w:r>
            <w:r>
              <w:rPr>
                <w:rFonts w:hint="default" w:ascii="Times New Roman" w:hAnsi="Times New Roman" w:eastAsia="宋体" w:cs="Times New Roman"/>
                <w:color w:val="auto"/>
                <w:sz w:val="21"/>
                <w:szCs w:val="21"/>
                <w:highlight w:val="none"/>
                <w:u w:val="none"/>
                <w:lang w:val="en-US" w:eastAsia="zh-CN"/>
              </w:rPr>
              <w:t>自动线固化工序废气和液化石油气燃烧废气</w:t>
            </w:r>
            <w:r>
              <w:rPr>
                <w:rFonts w:hint="eastAsia" w:cs="Times New Roman"/>
                <w:color w:val="auto"/>
                <w:sz w:val="21"/>
                <w:szCs w:val="21"/>
                <w:highlight w:val="none"/>
                <w:u w:val="none"/>
                <w:lang w:val="en-US" w:eastAsia="zh-CN"/>
              </w:rPr>
              <w:t>设备</w:t>
            </w:r>
            <w:r>
              <w:rPr>
                <w:rFonts w:hint="eastAsia" w:cs="Times New Roman"/>
                <w:b/>
                <w:bCs/>
                <w:color w:val="auto"/>
                <w:sz w:val="21"/>
                <w:szCs w:val="21"/>
                <w:highlight w:val="none"/>
                <w:u w:val="none"/>
                <w:lang w:val="en-US" w:eastAsia="zh-CN"/>
              </w:rPr>
              <w:t>管道直连</w:t>
            </w:r>
            <w:r>
              <w:rPr>
                <w:rFonts w:hint="default" w:ascii="Times New Roman" w:hAnsi="Times New Roman" w:eastAsia="宋体" w:cs="Times New Roman"/>
                <w:b/>
                <w:bCs/>
                <w:color w:val="auto"/>
                <w:sz w:val="21"/>
                <w:szCs w:val="21"/>
                <w:highlight w:val="none"/>
                <w:u w:val="none"/>
                <w:lang w:val="en-US" w:eastAsia="zh-CN"/>
              </w:rPr>
              <w:t>收</w:t>
            </w:r>
            <w:r>
              <w:rPr>
                <w:rFonts w:hint="default" w:ascii="Times New Roman" w:hAnsi="Times New Roman" w:eastAsia="宋体" w:cs="Times New Roman"/>
                <w:color w:val="auto"/>
                <w:sz w:val="21"/>
                <w:szCs w:val="21"/>
                <w:highlight w:val="none"/>
                <w:u w:val="none"/>
                <w:lang w:val="en-US" w:eastAsia="zh-CN"/>
              </w:rPr>
              <w:t>集</w:t>
            </w:r>
            <w:r>
              <w:rPr>
                <w:rFonts w:hint="eastAsia" w:cs="Times New Roman"/>
                <w:color w:val="auto"/>
                <w:sz w:val="21"/>
                <w:szCs w:val="21"/>
                <w:highlight w:val="none"/>
                <w:u w:val="none"/>
                <w:lang w:val="en-US" w:eastAsia="zh-CN"/>
              </w:rPr>
              <w:t>，二者合并后</w:t>
            </w:r>
            <w:r>
              <w:rPr>
                <w:rFonts w:hint="default" w:ascii="Times New Roman" w:hAnsi="Times New Roman" w:eastAsia="宋体" w:cs="Times New Roman"/>
                <w:color w:val="auto"/>
                <w:sz w:val="21"/>
                <w:szCs w:val="21"/>
                <w:highlight w:val="none"/>
                <w:u w:val="none"/>
                <w:lang w:val="en-US" w:eastAsia="zh-CN"/>
              </w:rPr>
              <w:t>经活性炭吸附处理后经15m高排气筒（G2，风量为</w:t>
            </w:r>
            <w:r>
              <w:rPr>
                <w:rFonts w:hint="eastAsia" w:cs="Times New Roman"/>
                <w:color w:val="auto"/>
                <w:sz w:val="21"/>
                <w:szCs w:val="21"/>
                <w:highlight w:val="none"/>
                <w:u w:val="none"/>
                <w:lang w:val="en-US" w:eastAsia="zh-CN"/>
              </w:rPr>
              <w:t>6</w:t>
            </w:r>
            <w:r>
              <w:rPr>
                <w:rFonts w:hint="default" w:ascii="Times New Roman" w:hAnsi="Times New Roman" w:eastAsia="宋体" w:cs="Times New Roman"/>
                <w:color w:val="auto"/>
                <w:sz w:val="21"/>
                <w:szCs w:val="21"/>
                <w:highlight w:val="none"/>
                <w:u w:val="none"/>
                <w:lang w:val="en-US" w:eastAsia="zh-CN"/>
              </w:rPr>
              <w:t>000m³/h）排放；</w:t>
            </w:r>
          </w:p>
          <w:p w14:paraId="39DFF801">
            <w:pPr>
              <w:spacing w:line="360" w:lineRule="auto"/>
              <w:ind w:firstLine="457" w:firstLineChars="218"/>
              <w:rPr>
                <w:color w:val="auto"/>
                <w:szCs w:val="21"/>
              </w:rPr>
            </w:pPr>
            <w:r>
              <w:rPr>
                <w:rFonts w:hint="eastAsia"/>
                <w:color w:val="auto"/>
                <w:szCs w:val="21"/>
              </w:rPr>
              <w:t>项目厂房地面</w:t>
            </w:r>
            <w:r>
              <w:rPr>
                <w:rFonts w:hint="eastAsia"/>
                <w:color w:val="auto"/>
                <w:szCs w:val="21"/>
                <w:lang w:eastAsia="zh-CN"/>
              </w:rPr>
              <w:t>已</w:t>
            </w:r>
            <w:r>
              <w:rPr>
                <w:rFonts w:hint="eastAsia"/>
                <w:color w:val="auto"/>
                <w:szCs w:val="21"/>
              </w:rPr>
              <w:t>全部进行硬底化，项目厂区内地面均为混凝土硬化地面，无裸露土壤，不存在地面径流和垂直下污染源。污染物不会因直接与地表接触而发生渗漏地表而造成对地下水或者</w:t>
            </w:r>
            <w:r>
              <w:rPr>
                <w:rFonts w:hint="eastAsia"/>
                <w:color w:val="auto"/>
                <w:szCs w:val="21"/>
                <w:lang w:eastAsia="zh-CN"/>
              </w:rPr>
              <w:t>土壤</w:t>
            </w:r>
            <w:r>
              <w:rPr>
                <w:rFonts w:hint="eastAsia"/>
                <w:color w:val="auto"/>
                <w:szCs w:val="21"/>
              </w:rPr>
              <w:t>产生不利的影响。根据生态环境部“关于土壤破坏性检测问题”的回复，“根据建设项目实际情况，如果项目场地</w:t>
            </w:r>
            <w:r>
              <w:rPr>
                <w:rFonts w:hint="eastAsia"/>
                <w:color w:val="auto"/>
                <w:szCs w:val="21"/>
                <w:lang w:eastAsia="zh-CN"/>
              </w:rPr>
              <w:t>已经</w:t>
            </w:r>
            <w:r>
              <w:rPr>
                <w:rFonts w:hint="eastAsia"/>
                <w:color w:val="auto"/>
                <w:szCs w:val="21"/>
              </w:rPr>
              <w:t>做了防腐防渗（包括硬化）处理无法取样，可不取样监测，但需详细说明无法取样的原因。根据广东省生态环境厅对“建设项目用地范围</w:t>
            </w:r>
            <w:r>
              <w:rPr>
                <w:rFonts w:hint="eastAsia"/>
                <w:color w:val="auto"/>
                <w:szCs w:val="21"/>
                <w:lang w:eastAsia="zh-CN"/>
              </w:rPr>
              <w:t>已</w:t>
            </w:r>
            <w:r>
              <w:rPr>
                <w:rFonts w:hint="eastAsia"/>
                <w:color w:val="auto"/>
                <w:szCs w:val="21"/>
              </w:rPr>
              <w:t>全部硬底化，还要不要凿开采样的回复，“若建设用地范围</w:t>
            </w:r>
            <w:r>
              <w:rPr>
                <w:rFonts w:hint="eastAsia"/>
                <w:color w:val="auto"/>
                <w:szCs w:val="21"/>
                <w:lang w:eastAsia="zh-CN"/>
              </w:rPr>
              <w:t>已</w:t>
            </w:r>
            <w:r>
              <w:rPr>
                <w:rFonts w:hint="eastAsia"/>
                <w:color w:val="auto"/>
                <w:szCs w:val="21"/>
              </w:rPr>
              <w:t>全部硬底化，不具备采样条件的，可采取拍照证明并在环评文件中体现，不进行厂区用地范围内的土壤现状监测”。根据现场</w:t>
            </w:r>
            <w:r>
              <w:rPr>
                <w:rFonts w:hint="eastAsia"/>
                <w:color w:val="auto"/>
                <w:szCs w:val="21"/>
                <w:lang w:val="en-US" w:eastAsia="zh-CN"/>
              </w:rPr>
              <w:t>观</w:t>
            </w:r>
            <w:r>
              <w:rPr>
                <w:rFonts w:hint="eastAsia"/>
                <w:color w:val="auto"/>
                <w:szCs w:val="21"/>
              </w:rPr>
              <w:t>察，项目厂房范围内</w:t>
            </w:r>
            <w:r>
              <w:rPr>
                <w:rFonts w:hint="eastAsia"/>
                <w:color w:val="auto"/>
                <w:szCs w:val="21"/>
                <w:lang w:eastAsia="zh-CN"/>
              </w:rPr>
              <w:t>已</w:t>
            </w:r>
            <w:r>
              <w:rPr>
                <w:rFonts w:hint="eastAsia"/>
                <w:color w:val="auto"/>
                <w:szCs w:val="21"/>
              </w:rPr>
              <w:t>全部采取混凝土硬底化。因此不具备占地范围内土壤</w:t>
            </w:r>
            <w:r>
              <w:rPr>
                <w:rFonts w:hint="eastAsia"/>
                <w:color w:val="auto"/>
                <w:szCs w:val="21"/>
                <w:lang w:eastAsia="zh-CN"/>
              </w:rPr>
              <w:t>监测</w:t>
            </w:r>
            <w:r>
              <w:rPr>
                <w:rFonts w:hint="eastAsia"/>
                <w:color w:val="auto"/>
                <w:szCs w:val="21"/>
              </w:rPr>
              <w:t>条件，不进行厂区地下水及土壤环境质量现状监测。</w:t>
            </w:r>
          </w:p>
          <w:p w14:paraId="2ED91933">
            <w:pPr>
              <w:spacing w:line="360" w:lineRule="auto"/>
              <w:jc w:val="left"/>
              <w:rPr>
                <w:color w:val="auto"/>
                <w:szCs w:val="21"/>
              </w:rPr>
            </w:pPr>
            <w:r>
              <w:rPr>
                <w:color w:val="auto"/>
                <w:szCs w:val="21"/>
              </w:rPr>
              <w:t xml:space="preserve"> </w:t>
            </w:r>
          </w:p>
          <w:p w14:paraId="67DBF1CD">
            <w:pPr>
              <w:pStyle w:val="95"/>
              <w:ind w:firstLine="0" w:firstLineChars="0"/>
              <w:rPr>
                <w:b/>
                <w:color w:val="auto"/>
                <w:sz w:val="21"/>
                <w:szCs w:val="21"/>
                <w:lang w:val="en-US"/>
              </w:rPr>
            </w:pPr>
            <w:r>
              <w:rPr>
                <w:rFonts w:hint="eastAsia"/>
                <w:b/>
                <w:color w:val="auto"/>
                <w:sz w:val="21"/>
                <w:szCs w:val="21"/>
              </w:rPr>
              <w:t>五、生态环境</w:t>
            </w:r>
            <w:r>
              <w:rPr>
                <w:rFonts w:hint="eastAsia"/>
                <w:b/>
                <w:color w:val="auto"/>
                <w:sz w:val="21"/>
                <w:szCs w:val="21"/>
                <w:lang w:val="en-US"/>
              </w:rPr>
              <w:t>质量现状</w:t>
            </w:r>
          </w:p>
          <w:p w14:paraId="6EA4CC4E">
            <w:pPr>
              <w:spacing w:line="360" w:lineRule="auto"/>
              <w:ind w:firstLine="457" w:firstLineChars="218"/>
              <w:rPr>
                <w:rFonts w:hint="eastAsia"/>
                <w:color w:val="auto"/>
                <w:szCs w:val="21"/>
              </w:rPr>
            </w:pPr>
            <w:r>
              <w:rPr>
                <w:rFonts w:hint="eastAsia"/>
                <w:color w:val="auto"/>
                <w:szCs w:val="21"/>
              </w:rPr>
              <w:t>本项目建设项目用地范围内无生态环境保护目标，因此无需进行生态现状调查。</w:t>
            </w:r>
          </w:p>
          <w:p w14:paraId="21B21ED4">
            <w:pPr>
              <w:numPr>
                <w:ilvl w:val="0"/>
                <w:numId w:val="9"/>
              </w:numPr>
              <w:spacing w:line="360" w:lineRule="auto"/>
              <w:rPr>
                <w:rFonts w:hint="eastAsia"/>
                <w:b/>
                <w:bCs/>
                <w:color w:val="auto"/>
                <w:szCs w:val="21"/>
                <w:lang w:val="en-US" w:eastAsia="zh-CN"/>
              </w:rPr>
            </w:pPr>
            <w:r>
              <w:rPr>
                <w:rFonts w:hint="eastAsia"/>
                <w:b/>
                <w:bCs/>
                <w:color w:val="auto"/>
                <w:szCs w:val="21"/>
                <w:lang w:val="en-US" w:eastAsia="zh-CN"/>
              </w:rPr>
              <w:t>电磁辐射</w:t>
            </w:r>
          </w:p>
          <w:p w14:paraId="7EDC6B50">
            <w:pPr>
              <w:numPr>
                <w:ilvl w:val="0"/>
                <w:numId w:val="0"/>
              </w:numPr>
              <w:spacing w:line="360" w:lineRule="auto"/>
              <w:rPr>
                <w:rFonts w:hint="default"/>
                <w:color w:val="auto"/>
                <w:szCs w:val="21"/>
                <w:lang w:val="en-US" w:eastAsia="zh-CN"/>
              </w:rPr>
            </w:pPr>
            <w:r>
              <w:rPr>
                <w:rFonts w:hint="eastAsia"/>
                <w:color w:val="auto"/>
                <w:szCs w:val="21"/>
                <w:lang w:val="en-US" w:eastAsia="zh-CN"/>
              </w:rPr>
              <w:t xml:space="preserve">     无</w:t>
            </w:r>
          </w:p>
        </w:tc>
      </w:tr>
      <w:tr w14:paraId="4D06F5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5" w:hRule="atLeast"/>
        </w:trPr>
        <w:tc>
          <w:tcPr>
            <w:tcW w:w="392" w:type="dxa"/>
            <w:vAlign w:val="center"/>
          </w:tcPr>
          <w:p w14:paraId="20447836">
            <w:pPr>
              <w:adjustRightInd w:val="0"/>
              <w:snapToGrid w:val="0"/>
              <w:jc w:val="center"/>
              <w:rPr>
                <w:rFonts w:ascii="宋体" w:hAnsi="宋体" w:cs="宋体"/>
                <w:color w:val="auto"/>
                <w:kern w:val="0"/>
                <w:szCs w:val="21"/>
              </w:rPr>
            </w:pPr>
            <w:r>
              <w:rPr>
                <w:rFonts w:hint="eastAsia" w:ascii="宋体" w:hAnsi="宋体" w:cs="宋体"/>
                <w:color w:val="auto"/>
                <w:kern w:val="0"/>
                <w:szCs w:val="21"/>
              </w:rPr>
              <w:t>环境</w:t>
            </w:r>
          </w:p>
          <w:p w14:paraId="2C2E273C">
            <w:pPr>
              <w:adjustRightInd w:val="0"/>
              <w:snapToGrid w:val="0"/>
              <w:jc w:val="center"/>
              <w:rPr>
                <w:rFonts w:ascii="宋体" w:hAnsi="宋体" w:cs="宋体"/>
                <w:color w:val="auto"/>
                <w:kern w:val="0"/>
                <w:szCs w:val="21"/>
              </w:rPr>
            </w:pPr>
            <w:r>
              <w:rPr>
                <w:rFonts w:hint="eastAsia" w:ascii="宋体" w:hAnsi="宋体" w:cs="宋体"/>
                <w:color w:val="auto"/>
                <w:kern w:val="0"/>
                <w:szCs w:val="21"/>
              </w:rPr>
              <w:t>保护</w:t>
            </w:r>
          </w:p>
          <w:p w14:paraId="32B47698">
            <w:pPr>
              <w:adjustRightInd w:val="0"/>
              <w:snapToGrid w:val="0"/>
              <w:jc w:val="center"/>
              <w:rPr>
                <w:rFonts w:ascii="宋体" w:hAnsi="宋体" w:cs="宋体"/>
                <w:color w:val="auto"/>
                <w:kern w:val="0"/>
                <w:szCs w:val="21"/>
              </w:rPr>
            </w:pPr>
            <w:r>
              <w:rPr>
                <w:rFonts w:hint="eastAsia" w:ascii="宋体" w:hAnsi="宋体" w:cs="宋体"/>
                <w:color w:val="auto"/>
                <w:kern w:val="0"/>
                <w:szCs w:val="21"/>
              </w:rPr>
              <w:t>目标</w:t>
            </w:r>
          </w:p>
        </w:tc>
        <w:tc>
          <w:tcPr>
            <w:tcW w:w="8669" w:type="dxa"/>
          </w:tcPr>
          <w:p w14:paraId="1193507E">
            <w:pPr>
              <w:pStyle w:val="95"/>
              <w:ind w:firstLine="0" w:firstLineChars="0"/>
              <w:rPr>
                <w:b/>
                <w:color w:val="auto"/>
                <w:sz w:val="21"/>
                <w:szCs w:val="21"/>
              </w:rPr>
            </w:pPr>
            <w:r>
              <w:rPr>
                <w:rFonts w:hint="eastAsia"/>
                <w:b/>
                <w:color w:val="auto"/>
                <w:sz w:val="21"/>
                <w:szCs w:val="21"/>
              </w:rPr>
              <w:t>1</w:t>
            </w:r>
            <w:r>
              <w:rPr>
                <w:b/>
                <w:color w:val="auto"/>
                <w:sz w:val="21"/>
                <w:szCs w:val="21"/>
              </w:rPr>
              <w:t>、大气环境</w:t>
            </w:r>
            <w:r>
              <w:rPr>
                <w:rFonts w:hint="eastAsia"/>
                <w:b/>
                <w:color w:val="auto"/>
                <w:sz w:val="21"/>
                <w:szCs w:val="21"/>
              </w:rPr>
              <w:t>保护目标</w:t>
            </w:r>
          </w:p>
          <w:p w14:paraId="44D2B76A">
            <w:pPr>
              <w:pStyle w:val="9"/>
              <w:ind w:left="630" w:leftChars="0" w:firstLineChars="0"/>
              <w:rPr>
                <w:color w:val="auto"/>
                <w:szCs w:val="21"/>
              </w:rPr>
            </w:pPr>
            <w:r>
              <w:rPr>
                <w:rFonts w:hint="eastAsia"/>
                <w:color w:val="auto"/>
                <w:szCs w:val="21"/>
              </w:rPr>
              <w:t>厂界外500m范围内大气环境保护目标</w:t>
            </w:r>
          </w:p>
          <w:tbl>
            <w:tblPr>
              <w:tblStyle w:val="35"/>
              <w:tblW w:w="48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6"/>
              <w:gridCol w:w="1225"/>
              <w:gridCol w:w="1206"/>
              <w:gridCol w:w="447"/>
              <w:gridCol w:w="599"/>
              <w:gridCol w:w="1954"/>
              <w:gridCol w:w="710"/>
              <w:gridCol w:w="1044"/>
            </w:tblGrid>
            <w:tr w14:paraId="43511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 w:hRule="atLeast"/>
              </w:trPr>
              <w:tc>
                <w:tcPr>
                  <w:tcW w:w="656" w:type="pct"/>
                  <w:vMerge w:val="restart"/>
                  <w:shd w:val="clear" w:color="auto" w:fill="auto"/>
                  <w:noWrap/>
                  <w:vAlign w:val="center"/>
                </w:tcPr>
                <w:p w14:paraId="334EE5EB">
                  <w:pPr>
                    <w:pStyle w:val="70"/>
                    <w:rPr>
                      <w:color w:val="auto"/>
                    </w:rPr>
                  </w:pPr>
                  <w:r>
                    <w:rPr>
                      <w:rFonts w:hint="eastAsia"/>
                      <w:color w:val="auto"/>
                    </w:rPr>
                    <w:t>敏感点名称</w:t>
                  </w:r>
                </w:p>
              </w:tc>
              <w:tc>
                <w:tcPr>
                  <w:tcW w:w="1469" w:type="pct"/>
                  <w:gridSpan w:val="2"/>
                  <w:shd w:val="clear" w:color="000000" w:fill="CCE8CF"/>
                  <w:vAlign w:val="center"/>
                </w:tcPr>
                <w:p w14:paraId="45FD212A">
                  <w:pPr>
                    <w:pStyle w:val="70"/>
                    <w:rPr>
                      <w:color w:val="auto"/>
                    </w:rPr>
                  </w:pPr>
                  <w:r>
                    <w:rPr>
                      <w:rFonts w:hint="eastAsia"/>
                      <w:color w:val="auto"/>
                    </w:rPr>
                    <w:t>坐标</w:t>
                  </w:r>
                  <w:r>
                    <w:rPr>
                      <w:color w:val="auto"/>
                    </w:rPr>
                    <w:t>/m</w:t>
                  </w:r>
                </w:p>
              </w:tc>
              <w:tc>
                <w:tcPr>
                  <w:tcW w:w="270" w:type="pct"/>
                  <w:vMerge w:val="restart"/>
                  <w:shd w:val="clear" w:color="000000" w:fill="CCE8CF"/>
                  <w:vAlign w:val="center"/>
                </w:tcPr>
                <w:p w14:paraId="79CAE8EB">
                  <w:pPr>
                    <w:pStyle w:val="70"/>
                    <w:rPr>
                      <w:color w:val="auto"/>
                    </w:rPr>
                  </w:pPr>
                  <w:r>
                    <w:rPr>
                      <w:rFonts w:hint="eastAsia"/>
                      <w:color w:val="auto"/>
                    </w:rPr>
                    <w:t>保护对象</w:t>
                  </w:r>
                </w:p>
              </w:tc>
              <w:tc>
                <w:tcPr>
                  <w:tcW w:w="362" w:type="pct"/>
                  <w:vMerge w:val="restart"/>
                  <w:shd w:val="clear" w:color="000000" w:fill="CCE8CF"/>
                  <w:vAlign w:val="center"/>
                </w:tcPr>
                <w:p w14:paraId="2C5CF206">
                  <w:pPr>
                    <w:pStyle w:val="70"/>
                    <w:rPr>
                      <w:color w:val="auto"/>
                    </w:rPr>
                  </w:pPr>
                  <w:r>
                    <w:rPr>
                      <w:rFonts w:hint="eastAsia"/>
                      <w:color w:val="auto"/>
                    </w:rPr>
                    <w:t>保护内容</w:t>
                  </w:r>
                </w:p>
              </w:tc>
              <w:tc>
                <w:tcPr>
                  <w:tcW w:w="1181" w:type="pct"/>
                  <w:vMerge w:val="restart"/>
                  <w:shd w:val="clear" w:color="000000" w:fill="CCE8CF"/>
                  <w:vAlign w:val="center"/>
                </w:tcPr>
                <w:p w14:paraId="65AAC2FA">
                  <w:pPr>
                    <w:pStyle w:val="70"/>
                    <w:rPr>
                      <w:color w:val="auto"/>
                    </w:rPr>
                  </w:pPr>
                  <w:r>
                    <w:rPr>
                      <w:rFonts w:hint="eastAsia"/>
                      <w:color w:val="auto"/>
                    </w:rPr>
                    <w:t>环境功能区</w:t>
                  </w:r>
                </w:p>
              </w:tc>
              <w:tc>
                <w:tcPr>
                  <w:tcW w:w="429" w:type="pct"/>
                  <w:vMerge w:val="restart"/>
                  <w:shd w:val="clear" w:color="000000" w:fill="CCE8CF"/>
                  <w:vAlign w:val="center"/>
                </w:tcPr>
                <w:p w14:paraId="00B064CD">
                  <w:pPr>
                    <w:pStyle w:val="70"/>
                    <w:rPr>
                      <w:color w:val="auto"/>
                    </w:rPr>
                  </w:pPr>
                  <w:r>
                    <w:rPr>
                      <w:rFonts w:hint="eastAsia"/>
                      <w:color w:val="auto"/>
                    </w:rPr>
                    <w:t>相对厂址方位</w:t>
                  </w:r>
                </w:p>
              </w:tc>
              <w:tc>
                <w:tcPr>
                  <w:tcW w:w="631" w:type="pct"/>
                  <w:vMerge w:val="restart"/>
                  <w:shd w:val="clear" w:color="000000" w:fill="CCE8CF"/>
                  <w:vAlign w:val="center"/>
                </w:tcPr>
                <w:p w14:paraId="36DB41D4">
                  <w:pPr>
                    <w:pStyle w:val="70"/>
                    <w:rPr>
                      <w:color w:val="auto"/>
                    </w:rPr>
                  </w:pPr>
                  <w:r>
                    <w:rPr>
                      <w:rFonts w:hint="eastAsia"/>
                      <w:color w:val="auto"/>
                    </w:rPr>
                    <w:t>相对厂界距离</w:t>
                  </w:r>
                  <w:r>
                    <w:rPr>
                      <w:color w:val="auto"/>
                    </w:rPr>
                    <w:t>/m</w:t>
                  </w:r>
                </w:p>
              </w:tc>
            </w:tr>
            <w:tr w14:paraId="59560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trPr>
              <w:tc>
                <w:tcPr>
                  <w:tcW w:w="656" w:type="pct"/>
                  <w:vMerge w:val="continue"/>
                  <w:shd w:val="clear" w:color="auto" w:fill="auto"/>
                  <w:vAlign w:val="center"/>
                </w:tcPr>
                <w:p w14:paraId="5B5F1464">
                  <w:pPr>
                    <w:pStyle w:val="70"/>
                    <w:rPr>
                      <w:color w:val="auto"/>
                    </w:rPr>
                  </w:pPr>
                </w:p>
              </w:tc>
              <w:tc>
                <w:tcPr>
                  <w:tcW w:w="740" w:type="pct"/>
                  <w:shd w:val="clear" w:color="000000" w:fill="CCE8CF"/>
                  <w:vAlign w:val="center"/>
                </w:tcPr>
                <w:p w14:paraId="7942C6CB">
                  <w:pPr>
                    <w:pStyle w:val="70"/>
                    <w:rPr>
                      <w:i/>
                      <w:iCs/>
                      <w:color w:val="auto"/>
                    </w:rPr>
                  </w:pPr>
                  <w:r>
                    <w:rPr>
                      <w:i/>
                      <w:iCs/>
                      <w:color w:val="auto"/>
                    </w:rPr>
                    <w:t>X</w:t>
                  </w:r>
                </w:p>
              </w:tc>
              <w:tc>
                <w:tcPr>
                  <w:tcW w:w="729" w:type="pct"/>
                  <w:shd w:val="clear" w:color="000000" w:fill="CCE8CF"/>
                  <w:vAlign w:val="center"/>
                </w:tcPr>
                <w:p w14:paraId="08EF3A53">
                  <w:pPr>
                    <w:pStyle w:val="70"/>
                    <w:rPr>
                      <w:i/>
                      <w:iCs/>
                      <w:color w:val="auto"/>
                    </w:rPr>
                  </w:pPr>
                  <w:r>
                    <w:rPr>
                      <w:i/>
                      <w:iCs/>
                      <w:color w:val="auto"/>
                    </w:rPr>
                    <w:t>Y</w:t>
                  </w:r>
                </w:p>
              </w:tc>
              <w:tc>
                <w:tcPr>
                  <w:tcW w:w="270" w:type="pct"/>
                  <w:vMerge w:val="continue"/>
                  <w:vAlign w:val="center"/>
                </w:tcPr>
                <w:p w14:paraId="7D3E77C3">
                  <w:pPr>
                    <w:pStyle w:val="70"/>
                    <w:rPr>
                      <w:color w:val="auto"/>
                    </w:rPr>
                  </w:pPr>
                </w:p>
              </w:tc>
              <w:tc>
                <w:tcPr>
                  <w:tcW w:w="362" w:type="pct"/>
                  <w:vMerge w:val="continue"/>
                  <w:vAlign w:val="center"/>
                </w:tcPr>
                <w:p w14:paraId="798AB688">
                  <w:pPr>
                    <w:pStyle w:val="70"/>
                    <w:rPr>
                      <w:color w:val="auto"/>
                    </w:rPr>
                  </w:pPr>
                </w:p>
              </w:tc>
              <w:tc>
                <w:tcPr>
                  <w:tcW w:w="1181" w:type="pct"/>
                  <w:vMerge w:val="continue"/>
                  <w:vAlign w:val="center"/>
                </w:tcPr>
                <w:p w14:paraId="0B3EA9B3">
                  <w:pPr>
                    <w:pStyle w:val="70"/>
                    <w:rPr>
                      <w:color w:val="auto"/>
                    </w:rPr>
                  </w:pPr>
                </w:p>
              </w:tc>
              <w:tc>
                <w:tcPr>
                  <w:tcW w:w="429" w:type="pct"/>
                  <w:vMerge w:val="continue"/>
                  <w:vAlign w:val="center"/>
                </w:tcPr>
                <w:p w14:paraId="30EB9A44">
                  <w:pPr>
                    <w:pStyle w:val="70"/>
                    <w:rPr>
                      <w:color w:val="auto"/>
                    </w:rPr>
                  </w:pPr>
                </w:p>
              </w:tc>
              <w:tc>
                <w:tcPr>
                  <w:tcW w:w="631" w:type="pct"/>
                  <w:vMerge w:val="continue"/>
                  <w:vAlign w:val="center"/>
                </w:tcPr>
                <w:p w14:paraId="41A6F4BA">
                  <w:pPr>
                    <w:pStyle w:val="70"/>
                    <w:rPr>
                      <w:color w:val="auto"/>
                    </w:rPr>
                  </w:pPr>
                </w:p>
              </w:tc>
            </w:tr>
            <w:tr w14:paraId="5A2CB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56" w:type="pct"/>
                  <w:shd w:val="clear" w:color="000000" w:fill="CCE8CF"/>
                  <w:vAlign w:val="center"/>
                </w:tcPr>
                <w:p w14:paraId="71DAFA3B">
                  <w:pPr>
                    <w:pStyle w:val="70"/>
                    <w:rPr>
                      <w:rFonts w:hint="eastAsia" w:eastAsia="宋体"/>
                      <w:color w:val="auto"/>
                      <w:lang w:val="en-US" w:eastAsia="zh-CN"/>
                    </w:rPr>
                  </w:pPr>
                  <w:r>
                    <w:rPr>
                      <w:rFonts w:hint="eastAsia"/>
                      <w:color w:val="auto"/>
                      <w:lang w:val="en-US"/>
                    </w:rPr>
                    <w:t>西亨</w:t>
                  </w:r>
                  <w:r>
                    <w:rPr>
                      <w:rFonts w:hint="eastAsia"/>
                      <w:color w:val="auto"/>
                      <w:lang w:val="en-US" w:eastAsia="zh-CN"/>
                    </w:rPr>
                    <w:t>社区</w:t>
                  </w:r>
                </w:p>
              </w:tc>
              <w:tc>
                <w:tcPr>
                  <w:tcW w:w="740" w:type="pct"/>
                  <w:shd w:val="clear" w:color="000000" w:fill="CCE8CF"/>
                  <w:vAlign w:val="center"/>
                </w:tcPr>
                <w:p w14:paraId="6EB2AAA0">
                  <w:pPr>
                    <w:pStyle w:val="70"/>
                    <w:rPr>
                      <w:rFonts w:hint="default" w:eastAsia="宋体"/>
                      <w:color w:val="auto"/>
                      <w:lang w:val="en-US" w:eastAsia="zh-CN"/>
                    </w:rPr>
                  </w:pPr>
                  <w:r>
                    <w:rPr>
                      <w:rFonts w:hint="eastAsia"/>
                      <w:color w:val="auto"/>
                      <w:lang w:val="en-US"/>
                    </w:rPr>
                    <w:t>22.48</w:t>
                  </w:r>
                  <w:r>
                    <w:rPr>
                      <w:rFonts w:hint="eastAsia"/>
                      <w:color w:val="auto"/>
                      <w:lang w:val="en-US" w:eastAsia="zh-CN"/>
                    </w:rPr>
                    <w:t>5544</w:t>
                  </w:r>
                </w:p>
              </w:tc>
              <w:tc>
                <w:tcPr>
                  <w:tcW w:w="729" w:type="pct"/>
                  <w:shd w:val="clear" w:color="000000" w:fill="CCE8CF"/>
                  <w:vAlign w:val="center"/>
                </w:tcPr>
                <w:p w14:paraId="29ADF764">
                  <w:pPr>
                    <w:pStyle w:val="70"/>
                    <w:rPr>
                      <w:rFonts w:hint="default" w:eastAsia="宋体"/>
                      <w:color w:val="auto"/>
                      <w:lang w:val="en-US" w:eastAsia="zh-CN"/>
                    </w:rPr>
                  </w:pPr>
                  <w:r>
                    <w:rPr>
                      <w:rFonts w:hint="eastAsia"/>
                      <w:color w:val="auto"/>
                      <w:lang w:val="en-US"/>
                    </w:rPr>
                    <w:t>113.5</w:t>
                  </w:r>
                  <w:r>
                    <w:rPr>
                      <w:rFonts w:hint="eastAsia"/>
                      <w:color w:val="auto"/>
                      <w:lang w:val="en-US" w:eastAsia="zh-CN"/>
                    </w:rPr>
                    <w:t>41889</w:t>
                  </w:r>
                </w:p>
              </w:tc>
              <w:tc>
                <w:tcPr>
                  <w:tcW w:w="270" w:type="pct"/>
                  <w:vMerge w:val="restart"/>
                  <w:shd w:val="clear" w:color="000000" w:fill="CCE8CF"/>
                  <w:vAlign w:val="center"/>
                </w:tcPr>
                <w:p w14:paraId="0CC194B3">
                  <w:pPr>
                    <w:pStyle w:val="70"/>
                    <w:rPr>
                      <w:rFonts w:hint="default" w:eastAsia="宋体"/>
                      <w:color w:val="auto"/>
                      <w:lang w:val="en-US" w:eastAsia="zh-CN"/>
                    </w:rPr>
                  </w:pPr>
                  <w:r>
                    <w:rPr>
                      <w:rFonts w:hint="eastAsia"/>
                      <w:color w:val="auto"/>
                      <w:lang w:val="en-US" w:eastAsia="zh-CN"/>
                    </w:rPr>
                    <w:t>居民</w:t>
                  </w:r>
                </w:p>
              </w:tc>
              <w:tc>
                <w:tcPr>
                  <w:tcW w:w="362" w:type="pct"/>
                  <w:vMerge w:val="restart"/>
                  <w:shd w:val="clear" w:color="000000" w:fill="CCE8CF"/>
                  <w:vAlign w:val="center"/>
                </w:tcPr>
                <w:p w14:paraId="06FC1E2B">
                  <w:pPr>
                    <w:pStyle w:val="70"/>
                    <w:rPr>
                      <w:rFonts w:hint="eastAsia" w:eastAsia="宋体"/>
                      <w:color w:val="auto"/>
                      <w:lang w:eastAsia="zh-CN"/>
                    </w:rPr>
                  </w:pPr>
                  <w:r>
                    <w:rPr>
                      <w:rFonts w:hint="eastAsia"/>
                      <w:color w:val="auto"/>
                      <w:lang w:val="en-US" w:eastAsia="zh-CN"/>
                    </w:rPr>
                    <w:t>大气</w:t>
                  </w:r>
                </w:p>
              </w:tc>
              <w:tc>
                <w:tcPr>
                  <w:tcW w:w="1181" w:type="pct"/>
                  <w:vMerge w:val="restart"/>
                  <w:shd w:val="clear" w:color="000000" w:fill="CCE8CF"/>
                  <w:vAlign w:val="center"/>
                </w:tcPr>
                <w:p w14:paraId="2040A458">
                  <w:pPr>
                    <w:pStyle w:val="70"/>
                    <w:rPr>
                      <w:color w:val="auto"/>
                    </w:rPr>
                  </w:pPr>
                  <w:r>
                    <w:rPr>
                      <w:color w:val="auto"/>
                    </w:rPr>
                    <w:t>《中山市环境空气质量功能区划》中的二类区域</w:t>
                  </w:r>
                </w:p>
              </w:tc>
              <w:tc>
                <w:tcPr>
                  <w:tcW w:w="429" w:type="pct"/>
                  <w:shd w:val="clear" w:color="000000" w:fill="CCE8CF"/>
                  <w:vAlign w:val="center"/>
                </w:tcPr>
                <w:p w14:paraId="7FB577AE">
                  <w:pPr>
                    <w:pStyle w:val="70"/>
                    <w:rPr>
                      <w:color w:val="auto"/>
                    </w:rPr>
                  </w:pPr>
                  <w:r>
                    <w:rPr>
                      <w:rFonts w:hint="eastAsia"/>
                      <w:color w:val="auto"/>
                    </w:rPr>
                    <w:t>南</w:t>
                  </w:r>
                </w:p>
              </w:tc>
              <w:tc>
                <w:tcPr>
                  <w:tcW w:w="631" w:type="pct"/>
                  <w:shd w:val="clear" w:color="000000" w:fill="CCE8CF"/>
                  <w:vAlign w:val="center"/>
                </w:tcPr>
                <w:p w14:paraId="12614805">
                  <w:pPr>
                    <w:pStyle w:val="70"/>
                    <w:rPr>
                      <w:color w:val="auto"/>
                      <w:lang w:val="en-US"/>
                    </w:rPr>
                  </w:pPr>
                  <w:r>
                    <w:rPr>
                      <w:rFonts w:hint="eastAsia"/>
                      <w:color w:val="auto"/>
                      <w:lang w:val="en-US"/>
                    </w:rPr>
                    <w:t>59</w:t>
                  </w:r>
                </w:p>
              </w:tc>
            </w:tr>
            <w:tr w14:paraId="63277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56" w:type="pct"/>
                  <w:shd w:val="clear" w:color="000000" w:fill="CCE8CF"/>
                  <w:vAlign w:val="center"/>
                </w:tcPr>
                <w:p w14:paraId="6573657F">
                  <w:pPr>
                    <w:pStyle w:val="70"/>
                    <w:rPr>
                      <w:color w:val="auto"/>
                      <w:lang w:val="en-US"/>
                    </w:rPr>
                  </w:pPr>
                  <w:r>
                    <w:rPr>
                      <w:rFonts w:hint="eastAsia"/>
                      <w:color w:val="auto"/>
                      <w:lang w:val="en-US"/>
                    </w:rPr>
                    <w:t>南庄社区</w:t>
                  </w:r>
                </w:p>
              </w:tc>
              <w:tc>
                <w:tcPr>
                  <w:tcW w:w="740" w:type="pct"/>
                  <w:shd w:val="clear" w:color="000000" w:fill="CCE8CF"/>
                  <w:vAlign w:val="center"/>
                </w:tcPr>
                <w:p w14:paraId="1B577FC7">
                  <w:pPr>
                    <w:pStyle w:val="70"/>
                    <w:rPr>
                      <w:rFonts w:hint="eastAsia" w:eastAsia="宋体"/>
                      <w:color w:val="auto"/>
                      <w:lang w:val="en-US" w:eastAsia="zh-CN"/>
                    </w:rPr>
                  </w:pPr>
                  <w:r>
                    <w:rPr>
                      <w:rFonts w:hint="eastAsia"/>
                      <w:color w:val="auto"/>
                      <w:lang w:val="en-US"/>
                    </w:rPr>
                    <w:t>22.48240</w:t>
                  </w:r>
                  <w:r>
                    <w:rPr>
                      <w:rFonts w:hint="eastAsia"/>
                      <w:color w:val="auto"/>
                      <w:lang w:val="en-US" w:eastAsia="zh-CN"/>
                    </w:rPr>
                    <w:t>4</w:t>
                  </w:r>
                </w:p>
              </w:tc>
              <w:tc>
                <w:tcPr>
                  <w:tcW w:w="729" w:type="pct"/>
                  <w:shd w:val="clear" w:color="000000" w:fill="CCE8CF"/>
                  <w:vAlign w:val="center"/>
                </w:tcPr>
                <w:p w14:paraId="796479D1">
                  <w:pPr>
                    <w:pStyle w:val="70"/>
                    <w:rPr>
                      <w:color w:val="auto"/>
                      <w:lang w:val="en-US"/>
                    </w:rPr>
                  </w:pPr>
                  <w:r>
                    <w:rPr>
                      <w:rFonts w:hint="eastAsia"/>
                      <w:color w:val="auto"/>
                      <w:lang w:val="en-US"/>
                    </w:rPr>
                    <w:t>113.539420</w:t>
                  </w:r>
                </w:p>
              </w:tc>
              <w:tc>
                <w:tcPr>
                  <w:tcW w:w="270" w:type="pct"/>
                  <w:vMerge w:val="continue"/>
                  <w:shd w:val="clear" w:color="000000" w:fill="CCE8CF"/>
                  <w:vAlign w:val="center"/>
                </w:tcPr>
                <w:p w14:paraId="30E4AA37">
                  <w:pPr>
                    <w:pStyle w:val="70"/>
                    <w:rPr>
                      <w:color w:val="auto"/>
                    </w:rPr>
                  </w:pPr>
                </w:p>
              </w:tc>
              <w:tc>
                <w:tcPr>
                  <w:tcW w:w="362" w:type="pct"/>
                  <w:vMerge w:val="continue"/>
                  <w:shd w:val="clear" w:color="000000" w:fill="CCE8CF"/>
                  <w:vAlign w:val="center"/>
                </w:tcPr>
                <w:p w14:paraId="7B5D899B">
                  <w:pPr>
                    <w:pStyle w:val="70"/>
                    <w:rPr>
                      <w:color w:val="auto"/>
                    </w:rPr>
                  </w:pPr>
                </w:p>
              </w:tc>
              <w:tc>
                <w:tcPr>
                  <w:tcW w:w="1181" w:type="pct"/>
                  <w:vMerge w:val="continue"/>
                  <w:shd w:val="clear" w:color="000000" w:fill="CCE8CF"/>
                  <w:vAlign w:val="center"/>
                </w:tcPr>
                <w:p w14:paraId="0A1FF5E1">
                  <w:pPr>
                    <w:pStyle w:val="70"/>
                    <w:rPr>
                      <w:color w:val="auto"/>
                    </w:rPr>
                  </w:pPr>
                </w:p>
              </w:tc>
              <w:tc>
                <w:tcPr>
                  <w:tcW w:w="429" w:type="pct"/>
                  <w:shd w:val="clear" w:color="000000" w:fill="CCE8CF"/>
                  <w:vAlign w:val="center"/>
                </w:tcPr>
                <w:p w14:paraId="19745F05">
                  <w:pPr>
                    <w:pStyle w:val="70"/>
                    <w:rPr>
                      <w:color w:val="auto"/>
                      <w:lang w:val="en-US"/>
                    </w:rPr>
                  </w:pPr>
                  <w:r>
                    <w:rPr>
                      <w:rFonts w:hint="eastAsia"/>
                      <w:color w:val="auto"/>
                      <w:lang w:val="en-US"/>
                    </w:rPr>
                    <w:t>东南</w:t>
                  </w:r>
                </w:p>
              </w:tc>
              <w:tc>
                <w:tcPr>
                  <w:tcW w:w="631" w:type="pct"/>
                  <w:shd w:val="clear" w:color="000000" w:fill="CCE8CF"/>
                  <w:vAlign w:val="center"/>
                </w:tcPr>
                <w:p w14:paraId="35D0E1C6">
                  <w:pPr>
                    <w:pStyle w:val="70"/>
                    <w:rPr>
                      <w:color w:val="auto"/>
                      <w:lang w:val="en-US"/>
                    </w:rPr>
                  </w:pPr>
                  <w:r>
                    <w:rPr>
                      <w:rFonts w:hint="eastAsia"/>
                      <w:color w:val="auto"/>
                      <w:lang w:val="en-US"/>
                    </w:rPr>
                    <w:t>327</w:t>
                  </w:r>
                </w:p>
              </w:tc>
            </w:tr>
            <w:tr w14:paraId="01AC1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56" w:type="pct"/>
                  <w:shd w:val="clear" w:color="000000" w:fill="CCE8CF"/>
                  <w:vAlign w:val="center"/>
                </w:tcPr>
                <w:p w14:paraId="56D04CA0">
                  <w:pPr>
                    <w:pStyle w:val="70"/>
                    <w:rPr>
                      <w:rFonts w:hint="eastAsia" w:eastAsia="宋体"/>
                      <w:color w:val="auto"/>
                      <w:lang w:val="en-US" w:eastAsia="zh-CN"/>
                    </w:rPr>
                  </w:pPr>
                  <w:r>
                    <w:rPr>
                      <w:rFonts w:hint="eastAsia"/>
                      <w:color w:val="auto"/>
                      <w:lang w:val="en-US" w:eastAsia="zh-CN"/>
                    </w:rPr>
                    <w:t>家逸楼</w:t>
                  </w:r>
                </w:p>
              </w:tc>
              <w:tc>
                <w:tcPr>
                  <w:tcW w:w="740" w:type="pct"/>
                  <w:shd w:val="clear" w:color="000000" w:fill="CCE8CF"/>
                  <w:vAlign w:val="center"/>
                </w:tcPr>
                <w:p w14:paraId="2EE6F1AC">
                  <w:pPr>
                    <w:pStyle w:val="70"/>
                    <w:rPr>
                      <w:rFonts w:hint="default" w:eastAsia="宋体"/>
                      <w:color w:val="auto"/>
                      <w:lang w:val="en-US" w:eastAsia="zh-CN"/>
                    </w:rPr>
                  </w:pPr>
                  <w:r>
                    <w:rPr>
                      <w:rFonts w:hint="eastAsia"/>
                      <w:color w:val="auto"/>
                      <w:lang w:val="en-US" w:eastAsia="zh-CN"/>
                    </w:rPr>
                    <w:t>22.484962</w:t>
                  </w:r>
                </w:p>
              </w:tc>
              <w:tc>
                <w:tcPr>
                  <w:tcW w:w="729" w:type="pct"/>
                  <w:shd w:val="clear" w:color="000000" w:fill="CCE8CF"/>
                  <w:vAlign w:val="center"/>
                </w:tcPr>
                <w:p w14:paraId="20703A87">
                  <w:pPr>
                    <w:pStyle w:val="70"/>
                    <w:rPr>
                      <w:rFonts w:hint="default" w:eastAsia="宋体"/>
                      <w:color w:val="auto"/>
                      <w:lang w:val="en-US" w:eastAsia="zh-CN"/>
                    </w:rPr>
                  </w:pPr>
                  <w:r>
                    <w:rPr>
                      <w:rFonts w:hint="eastAsia"/>
                      <w:color w:val="auto"/>
                      <w:lang w:val="en-US" w:eastAsia="zh-CN"/>
                    </w:rPr>
                    <w:t>113.540693</w:t>
                  </w:r>
                </w:p>
              </w:tc>
              <w:tc>
                <w:tcPr>
                  <w:tcW w:w="270" w:type="pct"/>
                  <w:vMerge w:val="continue"/>
                  <w:shd w:val="clear" w:color="000000" w:fill="CCE8CF"/>
                  <w:vAlign w:val="center"/>
                </w:tcPr>
                <w:p w14:paraId="5D9D0842">
                  <w:pPr>
                    <w:pStyle w:val="70"/>
                    <w:rPr>
                      <w:rFonts w:hint="eastAsia"/>
                      <w:color w:val="auto"/>
                    </w:rPr>
                  </w:pPr>
                </w:p>
              </w:tc>
              <w:tc>
                <w:tcPr>
                  <w:tcW w:w="362" w:type="pct"/>
                  <w:vMerge w:val="continue"/>
                  <w:shd w:val="clear" w:color="000000" w:fill="CCE8CF"/>
                  <w:vAlign w:val="center"/>
                </w:tcPr>
                <w:p w14:paraId="6D6D0444">
                  <w:pPr>
                    <w:pStyle w:val="70"/>
                    <w:rPr>
                      <w:rFonts w:hint="eastAsia" w:eastAsia="宋体"/>
                      <w:color w:val="auto"/>
                      <w:lang w:val="en-US" w:eastAsia="zh-CN"/>
                    </w:rPr>
                  </w:pPr>
                </w:p>
              </w:tc>
              <w:tc>
                <w:tcPr>
                  <w:tcW w:w="1181" w:type="pct"/>
                  <w:vMerge w:val="continue"/>
                  <w:shd w:val="clear" w:color="000000" w:fill="CCE8CF"/>
                  <w:vAlign w:val="center"/>
                </w:tcPr>
                <w:p w14:paraId="5439B0C8">
                  <w:pPr>
                    <w:pStyle w:val="70"/>
                    <w:rPr>
                      <w:color w:val="auto"/>
                    </w:rPr>
                  </w:pPr>
                </w:p>
              </w:tc>
              <w:tc>
                <w:tcPr>
                  <w:tcW w:w="429" w:type="pct"/>
                  <w:shd w:val="clear" w:color="000000" w:fill="CCE8CF"/>
                  <w:vAlign w:val="center"/>
                </w:tcPr>
                <w:p w14:paraId="79ECA1F5">
                  <w:pPr>
                    <w:pStyle w:val="70"/>
                    <w:rPr>
                      <w:rFonts w:hint="eastAsia" w:eastAsia="宋体"/>
                      <w:color w:val="auto"/>
                      <w:lang w:val="en-US" w:eastAsia="zh-CN"/>
                    </w:rPr>
                  </w:pPr>
                  <w:r>
                    <w:rPr>
                      <w:rFonts w:hint="eastAsia"/>
                      <w:color w:val="auto"/>
                      <w:lang w:val="en-US" w:eastAsia="zh-CN"/>
                    </w:rPr>
                    <w:t>东</w:t>
                  </w:r>
                </w:p>
              </w:tc>
              <w:tc>
                <w:tcPr>
                  <w:tcW w:w="631" w:type="pct"/>
                  <w:shd w:val="clear" w:color="000000" w:fill="CCE8CF"/>
                  <w:vAlign w:val="center"/>
                </w:tcPr>
                <w:p w14:paraId="53E44549">
                  <w:pPr>
                    <w:pStyle w:val="70"/>
                    <w:rPr>
                      <w:rFonts w:hint="default" w:eastAsia="宋体"/>
                      <w:color w:val="auto"/>
                      <w:lang w:val="en-US" w:eastAsia="zh-CN"/>
                    </w:rPr>
                  </w:pPr>
                  <w:r>
                    <w:rPr>
                      <w:rFonts w:hint="eastAsia"/>
                      <w:color w:val="auto"/>
                      <w:lang w:val="en-US" w:eastAsia="zh-CN"/>
                    </w:rPr>
                    <w:t>300</w:t>
                  </w:r>
                </w:p>
              </w:tc>
            </w:tr>
            <w:tr w14:paraId="6BC72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56" w:type="pct"/>
                  <w:shd w:val="clear" w:color="000000" w:fill="CCE8CF"/>
                  <w:vAlign w:val="center"/>
                </w:tcPr>
                <w:p w14:paraId="2C5FA6F9">
                  <w:pPr>
                    <w:pStyle w:val="70"/>
                    <w:rPr>
                      <w:rFonts w:hint="eastAsia"/>
                      <w:color w:val="auto"/>
                      <w:lang w:val="en-US"/>
                    </w:rPr>
                  </w:pPr>
                  <w:r>
                    <w:rPr>
                      <w:rFonts w:hint="eastAsia"/>
                      <w:b w:val="0"/>
                      <w:bCs w:val="0"/>
                      <w:color w:val="auto"/>
                      <w:lang w:val="en-US" w:eastAsia="zh-CN"/>
                    </w:rPr>
                    <w:t>朗悦轩</w:t>
                  </w:r>
                  <w:r>
                    <w:rPr>
                      <w:rFonts w:hint="default" w:ascii="Times New Roman" w:hAnsi="Times New Roman" w:eastAsia="微软雅黑" w:cs="Times New Roman"/>
                      <w:b w:val="0"/>
                      <w:bCs w:val="0"/>
                      <w:color w:val="auto"/>
                      <w:lang w:val="en-US" w:eastAsia="zh-CN"/>
                    </w:rPr>
                    <w:t>•</w:t>
                  </w:r>
                  <w:r>
                    <w:rPr>
                      <w:rFonts w:hint="eastAsia"/>
                      <w:b w:val="0"/>
                      <w:bCs w:val="0"/>
                      <w:color w:val="auto"/>
                      <w:lang w:val="en-US" w:eastAsia="zh-CN"/>
                    </w:rPr>
                    <w:t>祥和楼</w:t>
                  </w:r>
                </w:p>
              </w:tc>
              <w:tc>
                <w:tcPr>
                  <w:tcW w:w="740" w:type="pct"/>
                  <w:shd w:val="clear" w:color="000000" w:fill="CCE8CF"/>
                  <w:vAlign w:val="center"/>
                </w:tcPr>
                <w:p w14:paraId="7267FA81">
                  <w:pPr>
                    <w:pStyle w:val="70"/>
                    <w:rPr>
                      <w:rFonts w:hint="default" w:eastAsia="宋体"/>
                      <w:color w:val="auto"/>
                      <w:lang w:val="en-US" w:eastAsia="zh-CN"/>
                    </w:rPr>
                  </w:pPr>
                  <w:r>
                    <w:rPr>
                      <w:rFonts w:hint="eastAsia"/>
                      <w:color w:val="auto"/>
                      <w:lang w:val="en-US" w:eastAsia="zh-CN"/>
                    </w:rPr>
                    <w:t>22.485544</w:t>
                  </w:r>
                </w:p>
              </w:tc>
              <w:tc>
                <w:tcPr>
                  <w:tcW w:w="729" w:type="pct"/>
                  <w:shd w:val="clear" w:color="000000" w:fill="CCE8CF"/>
                  <w:vAlign w:val="center"/>
                </w:tcPr>
                <w:p w14:paraId="3E1F415B">
                  <w:pPr>
                    <w:pStyle w:val="70"/>
                    <w:rPr>
                      <w:rFonts w:hint="default" w:eastAsia="宋体"/>
                      <w:color w:val="auto"/>
                      <w:lang w:val="en-US" w:eastAsia="zh-CN"/>
                    </w:rPr>
                  </w:pPr>
                  <w:r>
                    <w:rPr>
                      <w:rFonts w:hint="eastAsia"/>
                      <w:color w:val="auto"/>
                      <w:lang w:val="en-US" w:eastAsia="zh-CN"/>
                    </w:rPr>
                    <w:t>113.541889</w:t>
                  </w:r>
                </w:p>
              </w:tc>
              <w:tc>
                <w:tcPr>
                  <w:tcW w:w="270" w:type="pct"/>
                  <w:vMerge w:val="continue"/>
                  <w:shd w:val="clear" w:color="000000" w:fill="CCE8CF"/>
                  <w:vAlign w:val="center"/>
                </w:tcPr>
                <w:p w14:paraId="6F93E884">
                  <w:pPr>
                    <w:pStyle w:val="70"/>
                    <w:rPr>
                      <w:rFonts w:hint="eastAsia"/>
                      <w:color w:val="auto"/>
                    </w:rPr>
                  </w:pPr>
                </w:p>
              </w:tc>
              <w:tc>
                <w:tcPr>
                  <w:tcW w:w="362" w:type="pct"/>
                  <w:vMerge w:val="continue"/>
                  <w:shd w:val="clear" w:color="000000" w:fill="CCE8CF"/>
                  <w:vAlign w:val="center"/>
                </w:tcPr>
                <w:p w14:paraId="5895B950">
                  <w:pPr>
                    <w:pStyle w:val="70"/>
                    <w:rPr>
                      <w:rFonts w:hint="eastAsia"/>
                      <w:color w:val="auto"/>
                    </w:rPr>
                  </w:pPr>
                </w:p>
              </w:tc>
              <w:tc>
                <w:tcPr>
                  <w:tcW w:w="1181" w:type="pct"/>
                  <w:vMerge w:val="continue"/>
                  <w:shd w:val="clear" w:color="000000" w:fill="CCE8CF"/>
                  <w:vAlign w:val="center"/>
                </w:tcPr>
                <w:p w14:paraId="53B984FB">
                  <w:pPr>
                    <w:pStyle w:val="70"/>
                    <w:rPr>
                      <w:color w:val="auto"/>
                    </w:rPr>
                  </w:pPr>
                </w:p>
              </w:tc>
              <w:tc>
                <w:tcPr>
                  <w:tcW w:w="429" w:type="pct"/>
                  <w:shd w:val="clear" w:color="000000" w:fill="CCE8CF"/>
                  <w:vAlign w:val="center"/>
                </w:tcPr>
                <w:p w14:paraId="0A5C8C85">
                  <w:pPr>
                    <w:pStyle w:val="70"/>
                    <w:rPr>
                      <w:rFonts w:hint="eastAsia" w:eastAsia="宋体"/>
                      <w:color w:val="auto"/>
                      <w:lang w:val="en-US" w:eastAsia="zh-CN"/>
                    </w:rPr>
                  </w:pPr>
                  <w:r>
                    <w:rPr>
                      <w:rFonts w:hint="eastAsia"/>
                      <w:color w:val="auto"/>
                      <w:lang w:val="en-US" w:eastAsia="zh-CN"/>
                    </w:rPr>
                    <w:t>东</w:t>
                  </w:r>
                </w:p>
              </w:tc>
              <w:tc>
                <w:tcPr>
                  <w:tcW w:w="631" w:type="pct"/>
                  <w:shd w:val="clear" w:color="000000" w:fill="CCE8CF"/>
                  <w:vAlign w:val="center"/>
                </w:tcPr>
                <w:p w14:paraId="2371A481">
                  <w:pPr>
                    <w:pStyle w:val="70"/>
                    <w:rPr>
                      <w:rFonts w:hint="default" w:eastAsia="宋体"/>
                      <w:color w:val="auto"/>
                      <w:lang w:val="en-US" w:eastAsia="zh-CN"/>
                    </w:rPr>
                  </w:pPr>
                  <w:r>
                    <w:rPr>
                      <w:rFonts w:hint="eastAsia"/>
                      <w:color w:val="auto"/>
                      <w:lang w:val="en-US" w:eastAsia="zh-CN"/>
                    </w:rPr>
                    <w:t>400</w:t>
                  </w:r>
                </w:p>
              </w:tc>
            </w:tr>
            <w:tr w14:paraId="0FBEB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56" w:type="pct"/>
                  <w:shd w:val="clear" w:color="000000" w:fill="CCE8CF"/>
                  <w:vAlign w:val="center"/>
                </w:tcPr>
                <w:p w14:paraId="2ECBD333">
                  <w:pPr>
                    <w:pStyle w:val="70"/>
                    <w:rPr>
                      <w:rFonts w:hint="default" w:eastAsia="宋体"/>
                      <w:color w:val="auto"/>
                      <w:lang w:val="en-US" w:eastAsia="zh-CN"/>
                    </w:rPr>
                  </w:pPr>
                  <w:r>
                    <w:rPr>
                      <w:rFonts w:hint="eastAsia"/>
                      <w:color w:val="auto"/>
                      <w:lang w:val="en-US" w:eastAsia="zh-CN"/>
                    </w:rPr>
                    <w:t>平安公寓</w:t>
                  </w:r>
                </w:p>
              </w:tc>
              <w:tc>
                <w:tcPr>
                  <w:tcW w:w="740" w:type="pct"/>
                  <w:shd w:val="clear" w:color="000000" w:fill="CCE8CF"/>
                  <w:vAlign w:val="center"/>
                </w:tcPr>
                <w:p w14:paraId="5D662BA2">
                  <w:pPr>
                    <w:pStyle w:val="70"/>
                    <w:rPr>
                      <w:rFonts w:hint="default" w:eastAsia="宋体"/>
                      <w:color w:val="auto"/>
                      <w:lang w:val="en-US" w:eastAsia="zh-CN"/>
                    </w:rPr>
                  </w:pPr>
                  <w:r>
                    <w:rPr>
                      <w:rFonts w:hint="eastAsia"/>
                      <w:color w:val="auto"/>
                      <w:lang w:val="en-US" w:eastAsia="zh-CN"/>
                    </w:rPr>
                    <w:t>22.488772</w:t>
                  </w:r>
                </w:p>
              </w:tc>
              <w:tc>
                <w:tcPr>
                  <w:tcW w:w="729" w:type="pct"/>
                  <w:shd w:val="clear" w:color="000000" w:fill="CCE8CF"/>
                  <w:vAlign w:val="center"/>
                </w:tcPr>
                <w:p w14:paraId="4F7DD0D9">
                  <w:pPr>
                    <w:pStyle w:val="70"/>
                    <w:rPr>
                      <w:rFonts w:hint="default" w:eastAsia="宋体"/>
                      <w:color w:val="auto"/>
                      <w:lang w:val="en-US" w:eastAsia="zh-CN"/>
                    </w:rPr>
                  </w:pPr>
                  <w:r>
                    <w:rPr>
                      <w:rFonts w:hint="eastAsia"/>
                      <w:color w:val="auto"/>
                      <w:lang w:val="en-US" w:eastAsia="zh-CN"/>
                    </w:rPr>
                    <w:t>113.540456</w:t>
                  </w:r>
                </w:p>
              </w:tc>
              <w:tc>
                <w:tcPr>
                  <w:tcW w:w="270" w:type="pct"/>
                  <w:vMerge w:val="continue"/>
                  <w:shd w:val="clear" w:color="000000" w:fill="CCE8CF"/>
                  <w:vAlign w:val="center"/>
                </w:tcPr>
                <w:p w14:paraId="1BDF9033">
                  <w:pPr>
                    <w:pStyle w:val="70"/>
                    <w:rPr>
                      <w:rFonts w:hint="eastAsia" w:eastAsia="宋体"/>
                      <w:color w:val="auto"/>
                      <w:lang w:val="en-US" w:eastAsia="zh-CN"/>
                    </w:rPr>
                  </w:pPr>
                </w:p>
              </w:tc>
              <w:tc>
                <w:tcPr>
                  <w:tcW w:w="362" w:type="pct"/>
                  <w:vMerge w:val="continue"/>
                  <w:shd w:val="clear" w:color="000000" w:fill="CCE8CF"/>
                  <w:vAlign w:val="center"/>
                </w:tcPr>
                <w:p w14:paraId="6D7ABA20">
                  <w:pPr>
                    <w:pStyle w:val="70"/>
                    <w:rPr>
                      <w:rFonts w:hint="eastAsia"/>
                      <w:color w:val="auto"/>
                    </w:rPr>
                  </w:pPr>
                </w:p>
              </w:tc>
              <w:tc>
                <w:tcPr>
                  <w:tcW w:w="1181" w:type="pct"/>
                  <w:vMerge w:val="continue"/>
                  <w:shd w:val="clear" w:color="000000" w:fill="CCE8CF"/>
                  <w:vAlign w:val="center"/>
                </w:tcPr>
                <w:p w14:paraId="7570ABF3">
                  <w:pPr>
                    <w:pStyle w:val="70"/>
                    <w:rPr>
                      <w:color w:val="auto"/>
                    </w:rPr>
                  </w:pPr>
                </w:p>
              </w:tc>
              <w:tc>
                <w:tcPr>
                  <w:tcW w:w="429" w:type="pct"/>
                  <w:shd w:val="clear" w:color="000000" w:fill="CCE8CF"/>
                  <w:vAlign w:val="center"/>
                </w:tcPr>
                <w:p w14:paraId="20679D22">
                  <w:pPr>
                    <w:pStyle w:val="70"/>
                    <w:rPr>
                      <w:rFonts w:hint="eastAsia" w:eastAsia="宋体"/>
                      <w:color w:val="auto"/>
                      <w:lang w:val="en-US" w:eastAsia="zh-CN"/>
                    </w:rPr>
                  </w:pPr>
                  <w:r>
                    <w:rPr>
                      <w:rFonts w:hint="eastAsia"/>
                      <w:color w:val="auto"/>
                      <w:lang w:val="en-US" w:eastAsia="zh-CN"/>
                    </w:rPr>
                    <w:t>东北</w:t>
                  </w:r>
                </w:p>
              </w:tc>
              <w:tc>
                <w:tcPr>
                  <w:tcW w:w="631" w:type="pct"/>
                  <w:shd w:val="clear" w:color="000000" w:fill="CCE8CF"/>
                  <w:vAlign w:val="center"/>
                </w:tcPr>
                <w:p w14:paraId="5544EC42">
                  <w:pPr>
                    <w:pStyle w:val="70"/>
                    <w:rPr>
                      <w:rFonts w:hint="default" w:eastAsia="宋体"/>
                      <w:color w:val="auto"/>
                      <w:lang w:val="en-US" w:eastAsia="zh-CN"/>
                    </w:rPr>
                  </w:pPr>
                  <w:r>
                    <w:rPr>
                      <w:rFonts w:hint="eastAsia"/>
                      <w:color w:val="auto"/>
                      <w:lang w:val="en-US" w:eastAsia="zh-CN"/>
                    </w:rPr>
                    <w:t>420</w:t>
                  </w:r>
                </w:p>
              </w:tc>
            </w:tr>
            <w:tr w14:paraId="6F77C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56" w:type="pct"/>
                  <w:shd w:val="clear" w:color="000000" w:fill="CCE8CF"/>
                  <w:vAlign w:val="center"/>
                </w:tcPr>
                <w:p w14:paraId="2A5D005B">
                  <w:pPr>
                    <w:pStyle w:val="70"/>
                    <w:rPr>
                      <w:rFonts w:hint="default" w:eastAsia="宋体"/>
                      <w:color w:val="auto"/>
                      <w:lang w:val="en-US" w:eastAsia="zh-CN"/>
                    </w:rPr>
                  </w:pPr>
                  <w:r>
                    <w:rPr>
                      <w:rFonts w:hint="eastAsia"/>
                      <w:color w:val="auto"/>
                      <w:lang w:val="en-US" w:eastAsia="zh-CN"/>
                    </w:rPr>
                    <w:t>中熙朗晴居</w:t>
                  </w:r>
                </w:p>
              </w:tc>
              <w:tc>
                <w:tcPr>
                  <w:tcW w:w="740" w:type="pct"/>
                  <w:shd w:val="clear" w:color="000000" w:fill="CCE8CF"/>
                  <w:vAlign w:val="center"/>
                </w:tcPr>
                <w:p w14:paraId="5AE5D566">
                  <w:pPr>
                    <w:pStyle w:val="70"/>
                    <w:rPr>
                      <w:rFonts w:hint="default" w:eastAsia="宋体"/>
                      <w:color w:val="auto"/>
                      <w:lang w:val="en-US" w:eastAsia="zh-CN"/>
                    </w:rPr>
                  </w:pPr>
                  <w:r>
                    <w:rPr>
                      <w:rFonts w:hint="eastAsia"/>
                      <w:color w:val="auto"/>
                      <w:lang w:val="en-US" w:eastAsia="zh-CN"/>
                    </w:rPr>
                    <w:t>22.486982</w:t>
                  </w:r>
                </w:p>
              </w:tc>
              <w:tc>
                <w:tcPr>
                  <w:tcW w:w="729" w:type="pct"/>
                  <w:shd w:val="clear" w:color="000000" w:fill="CCE8CF"/>
                  <w:vAlign w:val="center"/>
                </w:tcPr>
                <w:p w14:paraId="77B23F07">
                  <w:pPr>
                    <w:pStyle w:val="70"/>
                    <w:rPr>
                      <w:rFonts w:hint="default" w:eastAsia="宋体"/>
                      <w:color w:val="auto"/>
                      <w:lang w:val="en-US" w:eastAsia="zh-CN"/>
                    </w:rPr>
                  </w:pPr>
                  <w:r>
                    <w:rPr>
                      <w:rFonts w:hint="eastAsia"/>
                      <w:color w:val="auto"/>
                      <w:lang w:val="en-US" w:eastAsia="zh-CN"/>
                    </w:rPr>
                    <w:t>113.532132</w:t>
                  </w:r>
                </w:p>
              </w:tc>
              <w:tc>
                <w:tcPr>
                  <w:tcW w:w="270" w:type="pct"/>
                  <w:vMerge w:val="continue"/>
                  <w:shd w:val="clear" w:color="000000" w:fill="CCE8CF"/>
                  <w:vAlign w:val="center"/>
                </w:tcPr>
                <w:p w14:paraId="2C6489B0">
                  <w:pPr>
                    <w:pStyle w:val="70"/>
                    <w:rPr>
                      <w:rFonts w:hint="eastAsia"/>
                      <w:color w:val="auto"/>
                    </w:rPr>
                  </w:pPr>
                </w:p>
              </w:tc>
              <w:tc>
                <w:tcPr>
                  <w:tcW w:w="362" w:type="pct"/>
                  <w:vMerge w:val="continue"/>
                  <w:shd w:val="clear" w:color="000000" w:fill="CCE8CF"/>
                  <w:vAlign w:val="center"/>
                </w:tcPr>
                <w:p w14:paraId="6D723D5E">
                  <w:pPr>
                    <w:pStyle w:val="70"/>
                    <w:rPr>
                      <w:rFonts w:hint="eastAsia"/>
                      <w:color w:val="auto"/>
                    </w:rPr>
                  </w:pPr>
                </w:p>
              </w:tc>
              <w:tc>
                <w:tcPr>
                  <w:tcW w:w="1181" w:type="pct"/>
                  <w:vMerge w:val="continue"/>
                  <w:shd w:val="clear" w:color="000000" w:fill="CCE8CF"/>
                  <w:vAlign w:val="center"/>
                </w:tcPr>
                <w:p w14:paraId="59D3FC15">
                  <w:pPr>
                    <w:pStyle w:val="70"/>
                    <w:rPr>
                      <w:color w:val="auto"/>
                    </w:rPr>
                  </w:pPr>
                </w:p>
              </w:tc>
              <w:tc>
                <w:tcPr>
                  <w:tcW w:w="429" w:type="pct"/>
                  <w:shd w:val="clear" w:color="000000" w:fill="CCE8CF"/>
                  <w:vAlign w:val="center"/>
                </w:tcPr>
                <w:p w14:paraId="6778C48E">
                  <w:pPr>
                    <w:pStyle w:val="70"/>
                    <w:rPr>
                      <w:rFonts w:hint="eastAsia" w:eastAsia="宋体"/>
                      <w:color w:val="auto"/>
                      <w:lang w:val="en-US" w:eastAsia="zh-CN"/>
                    </w:rPr>
                  </w:pPr>
                  <w:r>
                    <w:rPr>
                      <w:rFonts w:hint="eastAsia"/>
                      <w:color w:val="auto"/>
                      <w:lang w:val="en-US" w:eastAsia="zh-CN"/>
                    </w:rPr>
                    <w:t>西北</w:t>
                  </w:r>
                </w:p>
              </w:tc>
              <w:tc>
                <w:tcPr>
                  <w:tcW w:w="631" w:type="pct"/>
                  <w:shd w:val="clear" w:color="000000" w:fill="CCE8CF"/>
                  <w:vAlign w:val="center"/>
                </w:tcPr>
                <w:p w14:paraId="31DAAAF6">
                  <w:pPr>
                    <w:pStyle w:val="70"/>
                    <w:rPr>
                      <w:rFonts w:hint="default" w:eastAsia="宋体"/>
                      <w:color w:val="auto"/>
                      <w:lang w:val="en-US" w:eastAsia="zh-CN"/>
                    </w:rPr>
                  </w:pPr>
                  <w:r>
                    <w:rPr>
                      <w:rFonts w:hint="eastAsia"/>
                      <w:color w:val="auto"/>
                      <w:lang w:val="en-US" w:eastAsia="zh-CN"/>
                    </w:rPr>
                    <w:t>480</w:t>
                  </w:r>
                </w:p>
              </w:tc>
            </w:tr>
          </w:tbl>
          <w:p w14:paraId="4CD02D58">
            <w:pPr>
              <w:pStyle w:val="95"/>
              <w:ind w:firstLine="0" w:firstLineChars="0"/>
              <w:rPr>
                <w:rFonts w:hint="eastAsia"/>
                <w:b/>
                <w:color w:val="auto"/>
                <w:sz w:val="21"/>
                <w:szCs w:val="21"/>
              </w:rPr>
            </w:pPr>
          </w:p>
          <w:p w14:paraId="600700C7">
            <w:pPr>
              <w:pStyle w:val="95"/>
              <w:ind w:firstLine="0" w:firstLineChars="0"/>
              <w:rPr>
                <w:b/>
                <w:color w:val="auto"/>
                <w:sz w:val="21"/>
                <w:szCs w:val="21"/>
              </w:rPr>
            </w:pPr>
            <w:r>
              <w:rPr>
                <w:rFonts w:hint="eastAsia"/>
                <w:b/>
                <w:color w:val="auto"/>
                <w:sz w:val="21"/>
                <w:szCs w:val="21"/>
              </w:rPr>
              <w:t>2、</w:t>
            </w:r>
            <w:r>
              <w:rPr>
                <w:b/>
                <w:color w:val="auto"/>
                <w:sz w:val="21"/>
                <w:szCs w:val="21"/>
              </w:rPr>
              <w:t>声环境</w:t>
            </w:r>
            <w:r>
              <w:rPr>
                <w:rFonts w:hint="eastAsia"/>
                <w:b/>
                <w:color w:val="auto"/>
                <w:sz w:val="21"/>
                <w:szCs w:val="21"/>
              </w:rPr>
              <w:t>保护目标</w:t>
            </w:r>
          </w:p>
          <w:p w14:paraId="2E18AB01">
            <w:pPr>
              <w:spacing w:line="360" w:lineRule="auto"/>
              <w:ind w:firstLine="457" w:firstLineChars="218"/>
              <w:rPr>
                <w:color w:val="auto"/>
                <w:szCs w:val="21"/>
              </w:rPr>
            </w:pPr>
            <w:r>
              <w:rPr>
                <w:rFonts w:hint="eastAsia"/>
                <w:color w:val="auto"/>
                <w:szCs w:val="21"/>
              </w:rPr>
              <w:t>本项目厂界外50米处范围内没有声环境保护目标。</w:t>
            </w:r>
          </w:p>
          <w:p w14:paraId="4EEF1A38">
            <w:pPr>
              <w:pStyle w:val="95"/>
              <w:ind w:firstLine="0" w:firstLineChars="0"/>
              <w:rPr>
                <w:b/>
                <w:color w:val="auto"/>
                <w:sz w:val="21"/>
                <w:szCs w:val="21"/>
              </w:rPr>
            </w:pPr>
            <w:r>
              <w:rPr>
                <w:rFonts w:hint="eastAsia"/>
                <w:b/>
                <w:color w:val="auto"/>
                <w:sz w:val="21"/>
                <w:szCs w:val="21"/>
              </w:rPr>
              <w:t>3</w:t>
            </w:r>
            <w:r>
              <w:rPr>
                <w:b/>
                <w:color w:val="auto"/>
                <w:sz w:val="21"/>
                <w:szCs w:val="21"/>
              </w:rPr>
              <w:t>、</w:t>
            </w:r>
            <w:r>
              <w:rPr>
                <w:rFonts w:hint="eastAsia"/>
                <w:b/>
                <w:color w:val="auto"/>
                <w:sz w:val="21"/>
                <w:szCs w:val="21"/>
              </w:rPr>
              <w:t>水</w:t>
            </w:r>
            <w:r>
              <w:rPr>
                <w:b/>
                <w:color w:val="auto"/>
                <w:sz w:val="21"/>
                <w:szCs w:val="21"/>
              </w:rPr>
              <w:t>环境</w:t>
            </w:r>
            <w:r>
              <w:rPr>
                <w:rFonts w:hint="eastAsia"/>
                <w:b/>
                <w:color w:val="auto"/>
                <w:sz w:val="21"/>
                <w:szCs w:val="21"/>
              </w:rPr>
              <w:t>保护目标</w:t>
            </w:r>
          </w:p>
          <w:p w14:paraId="4EED9426">
            <w:pPr>
              <w:snapToGrid w:val="0"/>
              <w:spacing w:line="360" w:lineRule="auto"/>
              <w:ind w:firstLine="420" w:firstLineChars="200"/>
              <w:rPr>
                <w:color w:val="auto"/>
                <w:szCs w:val="21"/>
                <w:highlight w:val="none"/>
              </w:rPr>
            </w:pPr>
            <w:r>
              <w:rPr>
                <w:rFonts w:hint="eastAsia"/>
                <w:color w:val="auto"/>
                <w:szCs w:val="21"/>
                <w:highlight w:val="none"/>
              </w:rPr>
              <w:t>项目评价范围内无饮用水源保护区，因此</w:t>
            </w:r>
            <w:r>
              <w:rPr>
                <w:color w:val="auto"/>
                <w:szCs w:val="21"/>
                <w:highlight w:val="none"/>
              </w:rPr>
              <w:t>水环境保护目标是确保项目建成后周围的河流水质不受明显的影响，</w:t>
            </w:r>
            <w:r>
              <w:rPr>
                <w:rFonts w:hint="eastAsia"/>
                <w:color w:val="auto"/>
                <w:szCs w:val="21"/>
                <w:highlight w:val="none"/>
                <w:lang w:val="en-US" w:eastAsia="zh-CN"/>
              </w:rPr>
              <w:t>生活</w:t>
            </w:r>
            <w:r>
              <w:rPr>
                <w:rFonts w:hint="eastAsia"/>
                <w:color w:val="auto"/>
                <w:szCs w:val="21"/>
                <w:highlight w:val="none"/>
              </w:rPr>
              <w:t>污水经过收集后进入</w:t>
            </w:r>
            <w:r>
              <w:rPr>
                <w:rFonts w:hint="eastAsia"/>
                <w:color w:val="auto"/>
                <w:szCs w:val="21"/>
                <w:highlight w:val="none"/>
                <w:lang w:eastAsia="zh-CN"/>
              </w:rPr>
              <w:t>中山市</w:t>
            </w:r>
            <w:r>
              <w:rPr>
                <w:rFonts w:hint="eastAsia"/>
                <w:color w:val="auto"/>
                <w:szCs w:val="21"/>
                <w:highlight w:val="none"/>
                <w:lang w:val="en-US" w:eastAsia="zh-CN"/>
              </w:rPr>
              <w:t>南朗横门污水处理厂</w:t>
            </w:r>
            <w:r>
              <w:rPr>
                <w:rFonts w:hint="eastAsia"/>
                <w:color w:val="auto"/>
                <w:szCs w:val="21"/>
                <w:highlight w:val="none"/>
              </w:rPr>
              <w:t>进行处理</w:t>
            </w:r>
            <w:r>
              <w:rPr>
                <w:rFonts w:hint="eastAsia"/>
                <w:color w:val="auto"/>
                <w:szCs w:val="21"/>
                <w:highlight w:val="none"/>
                <w:lang w:val="en-US" w:eastAsia="zh-CN"/>
              </w:rPr>
              <w:t>，不会对</w:t>
            </w:r>
            <w:r>
              <w:rPr>
                <w:color w:val="auto"/>
                <w:szCs w:val="21"/>
                <w:highlight w:val="none"/>
              </w:rPr>
              <w:t>受纳水体</w:t>
            </w:r>
            <w:r>
              <w:rPr>
                <w:rFonts w:hint="eastAsia"/>
                <w:strike w:val="0"/>
                <w:dstrike w:val="0"/>
                <w:color w:val="auto"/>
                <w:szCs w:val="21"/>
                <w:highlight w:val="none"/>
                <w:lang w:val="en-US" w:eastAsia="zh-CN"/>
              </w:rPr>
              <w:t>横门水道</w:t>
            </w:r>
            <w:r>
              <w:rPr>
                <w:color w:val="auto"/>
                <w:szCs w:val="21"/>
                <w:highlight w:val="none"/>
              </w:rPr>
              <w:t>的水环境质量</w:t>
            </w:r>
            <w:r>
              <w:rPr>
                <w:rFonts w:hint="eastAsia"/>
                <w:color w:val="auto"/>
                <w:szCs w:val="21"/>
                <w:highlight w:val="none"/>
                <w:lang w:val="en-US" w:eastAsia="zh-CN"/>
              </w:rPr>
              <w:t>造成明显影响</w:t>
            </w:r>
            <w:r>
              <w:rPr>
                <w:color w:val="auto"/>
                <w:szCs w:val="21"/>
                <w:highlight w:val="none"/>
              </w:rPr>
              <w:t>。</w:t>
            </w:r>
          </w:p>
          <w:p w14:paraId="359E76FF">
            <w:pPr>
              <w:pStyle w:val="95"/>
              <w:ind w:firstLine="0" w:firstLineChars="0"/>
              <w:rPr>
                <w:b/>
                <w:color w:val="auto"/>
                <w:sz w:val="21"/>
                <w:szCs w:val="21"/>
              </w:rPr>
            </w:pPr>
            <w:r>
              <w:rPr>
                <w:rFonts w:hint="eastAsia"/>
                <w:b/>
                <w:color w:val="auto"/>
                <w:sz w:val="21"/>
                <w:szCs w:val="21"/>
              </w:rPr>
              <w:t>4、地下水环境保护目标</w:t>
            </w:r>
          </w:p>
          <w:p w14:paraId="26FD87D8">
            <w:pPr>
              <w:spacing w:line="360" w:lineRule="auto"/>
              <w:ind w:firstLine="457" w:firstLineChars="218"/>
              <w:rPr>
                <w:color w:val="auto"/>
                <w:szCs w:val="21"/>
              </w:rPr>
            </w:pPr>
            <w:r>
              <w:rPr>
                <w:rFonts w:hint="eastAsia"/>
                <w:color w:val="auto"/>
                <w:szCs w:val="21"/>
              </w:rPr>
              <w:t>厂界外500米范围内无地下水集中式饮用水水源和热水、 矿泉水、 温泉等特殊地下水资源。</w:t>
            </w:r>
          </w:p>
          <w:p w14:paraId="34325FD4">
            <w:pPr>
              <w:pStyle w:val="95"/>
              <w:ind w:firstLine="0" w:firstLineChars="0"/>
              <w:rPr>
                <w:b/>
                <w:color w:val="auto"/>
                <w:sz w:val="21"/>
                <w:szCs w:val="21"/>
              </w:rPr>
            </w:pPr>
            <w:r>
              <w:rPr>
                <w:b/>
                <w:color w:val="auto"/>
                <w:sz w:val="21"/>
                <w:szCs w:val="21"/>
              </w:rPr>
              <w:t>5</w:t>
            </w:r>
            <w:r>
              <w:rPr>
                <w:rFonts w:hint="eastAsia"/>
                <w:b/>
                <w:color w:val="auto"/>
                <w:sz w:val="21"/>
                <w:szCs w:val="21"/>
              </w:rPr>
              <w:t>、土壤环境保护目标</w:t>
            </w:r>
          </w:p>
          <w:p w14:paraId="7B85CD5B">
            <w:pPr>
              <w:spacing w:line="360" w:lineRule="auto"/>
              <w:ind w:firstLine="457" w:firstLineChars="218"/>
              <w:rPr>
                <w:color w:val="auto"/>
                <w:szCs w:val="21"/>
              </w:rPr>
            </w:pPr>
            <w:r>
              <w:rPr>
                <w:rFonts w:hint="eastAsia" w:ascii="宋体" w:hAnsi="Arial" w:cs="宋体"/>
                <w:color w:val="auto"/>
                <w:szCs w:val="21"/>
              </w:rPr>
              <w:t>厂界外50米范围内</w:t>
            </w:r>
            <w:r>
              <w:rPr>
                <w:rFonts w:hint="eastAsia" w:ascii="宋体" w:hAnsi="Arial" w:cs="宋体"/>
                <w:color w:val="auto"/>
                <w:szCs w:val="21"/>
                <w:lang w:eastAsia="zh-CN"/>
              </w:rPr>
              <w:t>无</w:t>
            </w:r>
            <w:r>
              <w:rPr>
                <w:rFonts w:hint="eastAsia" w:ascii="宋体" w:hAnsi="Arial" w:cs="宋体"/>
                <w:color w:val="auto"/>
                <w:szCs w:val="21"/>
              </w:rPr>
              <w:t>土壤环境保护目标</w:t>
            </w:r>
            <w:r>
              <w:rPr>
                <w:rFonts w:hint="eastAsia"/>
                <w:color w:val="auto"/>
                <w:szCs w:val="21"/>
              </w:rPr>
              <w:t>。</w:t>
            </w:r>
          </w:p>
          <w:p w14:paraId="5757926A">
            <w:pPr>
              <w:pStyle w:val="95"/>
              <w:ind w:firstLine="0" w:firstLineChars="0"/>
              <w:rPr>
                <w:b/>
                <w:color w:val="auto"/>
                <w:sz w:val="21"/>
                <w:szCs w:val="21"/>
              </w:rPr>
            </w:pPr>
            <w:r>
              <w:rPr>
                <w:b/>
                <w:color w:val="auto"/>
                <w:sz w:val="21"/>
                <w:szCs w:val="21"/>
              </w:rPr>
              <w:t>6</w:t>
            </w:r>
            <w:r>
              <w:rPr>
                <w:rFonts w:hint="eastAsia"/>
                <w:b/>
                <w:color w:val="auto"/>
                <w:sz w:val="21"/>
                <w:szCs w:val="21"/>
              </w:rPr>
              <w:t>、生态环境保护目标</w:t>
            </w:r>
          </w:p>
          <w:p w14:paraId="25C1D392">
            <w:pPr>
              <w:spacing w:line="360" w:lineRule="auto"/>
              <w:ind w:firstLine="457" w:firstLineChars="218"/>
              <w:rPr>
                <w:color w:val="auto"/>
                <w:szCs w:val="21"/>
              </w:rPr>
            </w:pPr>
            <w:r>
              <w:rPr>
                <w:rFonts w:hint="eastAsia" w:ascii="宋体" w:hAnsi="宋体" w:cs="宋体"/>
                <w:bCs/>
                <w:color w:val="auto"/>
                <w:szCs w:val="21"/>
              </w:rPr>
              <w:t>本项目用地范围内无生态自然保护区、无珍稀</w:t>
            </w:r>
            <w:r>
              <w:rPr>
                <w:rFonts w:hint="eastAsia" w:ascii="宋体" w:hAnsi="宋体" w:cs="宋体"/>
                <w:bCs/>
                <w:color w:val="auto"/>
                <w:szCs w:val="21"/>
                <w:lang w:eastAsia="zh-CN"/>
              </w:rPr>
              <w:t>濒危</w:t>
            </w:r>
            <w:r>
              <w:rPr>
                <w:rFonts w:hint="eastAsia" w:ascii="宋体" w:hAnsi="宋体" w:cs="宋体"/>
                <w:bCs/>
                <w:color w:val="auto"/>
                <w:szCs w:val="21"/>
              </w:rPr>
              <w:t>物，且周围无生态自然保护区、无珍稀</w:t>
            </w:r>
            <w:r>
              <w:rPr>
                <w:rFonts w:hint="eastAsia" w:ascii="宋体" w:hAnsi="宋体" w:cs="宋体"/>
                <w:bCs/>
                <w:color w:val="auto"/>
                <w:szCs w:val="21"/>
                <w:lang w:eastAsia="zh-CN"/>
              </w:rPr>
              <w:t>濒危</w:t>
            </w:r>
            <w:r>
              <w:rPr>
                <w:rFonts w:hint="eastAsia" w:ascii="宋体" w:hAnsi="宋体" w:cs="宋体"/>
                <w:bCs/>
                <w:color w:val="auto"/>
                <w:szCs w:val="21"/>
              </w:rPr>
              <w:t>物。项目所在地周围无生态环境保护目标</w:t>
            </w:r>
            <w:r>
              <w:rPr>
                <w:rFonts w:hint="eastAsia"/>
                <w:color w:val="auto"/>
                <w:szCs w:val="21"/>
              </w:rPr>
              <w:t>。</w:t>
            </w:r>
          </w:p>
        </w:tc>
      </w:tr>
      <w:tr w14:paraId="047D0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392" w:type="dxa"/>
            <w:tcMar>
              <w:left w:w="28" w:type="dxa"/>
              <w:right w:w="28" w:type="dxa"/>
            </w:tcMar>
            <w:vAlign w:val="center"/>
          </w:tcPr>
          <w:p w14:paraId="7F1E26A0">
            <w:pPr>
              <w:adjustRightInd w:val="0"/>
              <w:snapToGrid w:val="0"/>
              <w:jc w:val="center"/>
              <w:rPr>
                <w:rFonts w:ascii="宋体" w:hAnsi="宋体" w:cs="宋体"/>
                <w:color w:val="auto"/>
                <w:kern w:val="0"/>
                <w:szCs w:val="21"/>
              </w:rPr>
            </w:pPr>
            <w:r>
              <w:rPr>
                <w:rFonts w:hint="eastAsia" w:ascii="宋体" w:hAnsi="宋体" w:cs="宋体"/>
                <w:color w:val="auto"/>
                <w:kern w:val="0"/>
                <w:szCs w:val="21"/>
              </w:rPr>
              <w:t>污染</w:t>
            </w:r>
          </w:p>
          <w:p w14:paraId="63507FB7">
            <w:pPr>
              <w:adjustRightInd w:val="0"/>
              <w:snapToGrid w:val="0"/>
              <w:jc w:val="center"/>
              <w:rPr>
                <w:rFonts w:ascii="宋体" w:hAnsi="宋体" w:cs="宋体"/>
                <w:color w:val="auto"/>
                <w:kern w:val="0"/>
                <w:szCs w:val="21"/>
              </w:rPr>
            </w:pPr>
            <w:r>
              <w:rPr>
                <w:rFonts w:hint="eastAsia" w:ascii="宋体" w:hAnsi="宋体" w:cs="宋体"/>
                <w:color w:val="auto"/>
                <w:kern w:val="0"/>
                <w:szCs w:val="21"/>
              </w:rPr>
              <w:t>物排</w:t>
            </w:r>
          </w:p>
          <w:p w14:paraId="6DCE4802">
            <w:pPr>
              <w:adjustRightInd w:val="0"/>
              <w:snapToGrid w:val="0"/>
              <w:jc w:val="center"/>
              <w:rPr>
                <w:rFonts w:ascii="宋体" w:hAnsi="宋体" w:cs="宋体"/>
                <w:color w:val="auto"/>
                <w:kern w:val="0"/>
                <w:szCs w:val="21"/>
              </w:rPr>
            </w:pPr>
            <w:r>
              <w:rPr>
                <w:rFonts w:hint="eastAsia" w:ascii="宋体" w:hAnsi="宋体" w:cs="宋体"/>
                <w:color w:val="auto"/>
                <w:kern w:val="0"/>
                <w:szCs w:val="21"/>
              </w:rPr>
              <w:t>放控</w:t>
            </w:r>
          </w:p>
          <w:p w14:paraId="052E4645">
            <w:pPr>
              <w:adjustRightInd w:val="0"/>
              <w:snapToGrid w:val="0"/>
              <w:jc w:val="center"/>
              <w:rPr>
                <w:rFonts w:ascii="宋体" w:hAnsi="宋体" w:cs="宋体"/>
                <w:color w:val="auto"/>
                <w:kern w:val="0"/>
                <w:szCs w:val="21"/>
              </w:rPr>
            </w:pPr>
            <w:r>
              <w:rPr>
                <w:rFonts w:hint="eastAsia" w:ascii="宋体" w:hAnsi="宋体" w:cs="宋体"/>
                <w:color w:val="auto"/>
                <w:kern w:val="0"/>
                <w:szCs w:val="21"/>
              </w:rPr>
              <w:t>制标</w:t>
            </w:r>
          </w:p>
          <w:p w14:paraId="4E6C3519">
            <w:pPr>
              <w:adjustRightInd w:val="0"/>
              <w:snapToGrid w:val="0"/>
              <w:jc w:val="center"/>
              <w:rPr>
                <w:rFonts w:ascii="宋体" w:hAnsi="宋体" w:cs="宋体"/>
                <w:color w:val="auto"/>
                <w:kern w:val="0"/>
                <w:szCs w:val="21"/>
              </w:rPr>
            </w:pPr>
            <w:r>
              <w:rPr>
                <w:rFonts w:hint="eastAsia" w:ascii="宋体" w:hAnsi="宋体" w:cs="宋体"/>
                <w:color w:val="auto"/>
                <w:kern w:val="0"/>
                <w:szCs w:val="21"/>
              </w:rPr>
              <w:t>准</w:t>
            </w:r>
          </w:p>
        </w:tc>
        <w:tc>
          <w:tcPr>
            <w:tcW w:w="8669" w:type="dxa"/>
          </w:tcPr>
          <w:p w14:paraId="26BA7CE6">
            <w:pPr>
              <w:pStyle w:val="95"/>
              <w:ind w:firstLine="0" w:firstLineChars="0"/>
              <w:rPr>
                <w:rFonts w:ascii="宋体" w:hAnsi="宋体" w:cs="宋体"/>
                <w:b/>
                <w:color w:val="auto"/>
                <w:kern w:val="0"/>
                <w:sz w:val="21"/>
                <w:szCs w:val="21"/>
              </w:rPr>
            </w:pPr>
            <w:r>
              <w:rPr>
                <w:rFonts w:hint="eastAsia" w:ascii="宋体" w:hAnsi="宋体" w:cs="宋体"/>
                <w:b/>
                <w:color w:val="auto"/>
                <w:kern w:val="0"/>
                <w:sz w:val="21"/>
                <w:szCs w:val="21"/>
              </w:rPr>
              <w:t>1、</w:t>
            </w:r>
            <w:r>
              <w:rPr>
                <w:rFonts w:hint="eastAsia" w:ascii="宋体" w:hAnsi="宋体" w:cs="宋体"/>
                <w:b/>
                <w:color w:val="auto"/>
                <w:kern w:val="0"/>
                <w:sz w:val="21"/>
                <w:szCs w:val="21"/>
              </w:rPr>
              <w:tab/>
            </w:r>
            <w:r>
              <w:rPr>
                <w:rFonts w:hint="eastAsia" w:ascii="宋体" w:hAnsi="宋体" w:cs="宋体"/>
                <w:b/>
                <w:color w:val="auto"/>
                <w:kern w:val="0"/>
                <w:sz w:val="21"/>
                <w:szCs w:val="21"/>
              </w:rPr>
              <w:t>大气污染物排放标准</w:t>
            </w:r>
          </w:p>
          <w:p w14:paraId="5ECB26BE">
            <w:pPr>
              <w:pStyle w:val="108"/>
              <w:ind w:left="210" w:leftChars="0" w:firstLineChars="0"/>
              <w:rPr>
                <w:color w:val="auto"/>
                <w:szCs w:val="21"/>
                <w:highlight w:val="none"/>
              </w:rPr>
            </w:pPr>
            <w:r>
              <w:rPr>
                <w:rFonts w:hint="eastAsia"/>
                <w:color w:val="auto"/>
                <w:szCs w:val="21"/>
                <w:highlight w:val="none"/>
              </w:rPr>
              <w:t>项目大气污染物排放标准</w:t>
            </w:r>
          </w:p>
          <w:tbl>
            <w:tblPr>
              <w:tblStyle w:val="3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8"/>
              <w:gridCol w:w="750"/>
              <w:gridCol w:w="1392"/>
              <w:gridCol w:w="916"/>
              <w:gridCol w:w="992"/>
              <w:gridCol w:w="1134"/>
              <w:gridCol w:w="2211"/>
            </w:tblGrid>
            <w:tr w14:paraId="3E467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048" w:type="dxa"/>
                  <w:vMerge w:val="restart"/>
                  <w:shd w:val="clear" w:color="auto" w:fill="auto"/>
                  <w:vAlign w:val="center"/>
                </w:tcPr>
                <w:p w14:paraId="4D87F9DF">
                  <w:pPr>
                    <w:pStyle w:val="70"/>
                    <w:rPr>
                      <w:color w:val="auto"/>
                    </w:rPr>
                  </w:pPr>
                  <w:r>
                    <w:rPr>
                      <w:rFonts w:hint="eastAsia"/>
                      <w:color w:val="auto"/>
                    </w:rPr>
                    <w:t>废气种类</w:t>
                  </w:r>
                </w:p>
              </w:tc>
              <w:tc>
                <w:tcPr>
                  <w:tcW w:w="750" w:type="dxa"/>
                  <w:vMerge w:val="restart"/>
                  <w:shd w:val="clear" w:color="auto" w:fill="auto"/>
                  <w:noWrap/>
                  <w:vAlign w:val="center"/>
                </w:tcPr>
                <w:p w14:paraId="44D7BBB3">
                  <w:pPr>
                    <w:pStyle w:val="70"/>
                    <w:rPr>
                      <w:color w:val="auto"/>
                    </w:rPr>
                  </w:pPr>
                  <w:r>
                    <w:rPr>
                      <w:rFonts w:hint="eastAsia"/>
                      <w:color w:val="auto"/>
                    </w:rPr>
                    <w:t>排气筒编号</w:t>
                  </w:r>
                </w:p>
              </w:tc>
              <w:tc>
                <w:tcPr>
                  <w:tcW w:w="1392" w:type="dxa"/>
                  <w:vMerge w:val="restart"/>
                  <w:shd w:val="clear" w:color="auto" w:fill="auto"/>
                  <w:vAlign w:val="center"/>
                </w:tcPr>
                <w:p w14:paraId="4BD42613">
                  <w:pPr>
                    <w:pStyle w:val="70"/>
                    <w:rPr>
                      <w:color w:val="auto"/>
                    </w:rPr>
                  </w:pPr>
                  <w:r>
                    <w:rPr>
                      <w:rFonts w:hint="eastAsia"/>
                      <w:color w:val="auto"/>
                    </w:rPr>
                    <w:t>污染物</w:t>
                  </w:r>
                </w:p>
              </w:tc>
              <w:tc>
                <w:tcPr>
                  <w:tcW w:w="916" w:type="dxa"/>
                  <w:vMerge w:val="restart"/>
                  <w:shd w:val="clear" w:color="auto" w:fill="auto"/>
                  <w:vAlign w:val="center"/>
                </w:tcPr>
                <w:p w14:paraId="2CCE54E4">
                  <w:pPr>
                    <w:pStyle w:val="70"/>
                    <w:rPr>
                      <w:color w:val="auto"/>
                    </w:rPr>
                  </w:pPr>
                  <w:r>
                    <w:rPr>
                      <w:rFonts w:hint="eastAsia"/>
                      <w:color w:val="auto"/>
                    </w:rPr>
                    <w:t>排气筒高度</w:t>
                  </w:r>
                  <w:r>
                    <w:rPr>
                      <w:color w:val="auto"/>
                    </w:rPr>
                    <w:t>m</w:t>
                  </w:r>
                </w:p>
              </w:tc>
              <w:tc>
                <w:tcPr>
                  <w:tcW w:w="992" w:type="dxa"/>
                  <w:vMerge w:val="restart"/>
                  <w:shd w:val="clear" w:color="auto" w:fill="auto"/>
                  <w:vAlign w:val="center"/>
                </w:tcPr>
                <w:p w14:paraId="09A98C02">
                  <w:pPr>
                    <w:pStyle w:val="70"/>
                    <w:rPr>
                      <w:color w:val="auto"/>
                    </w:rPr>
                  </w:pPr>
                  <w:r>
                    <w:rPr>
                      <w:rFonts w:hint="eastAsia"/>
                      <w:color w:val="auto"/>
                    </w:rPr>
                    <w:t>最高允许排放浓度mg/m</w:t>
                  </w:r>
                  <w:r>
                    <w:rPr>
                      <w:rFonts w:hint="eastAsia"/>
                      <w:color w:val="auto"/>
                      <w:vertAlign w:val="superscript"/>
                    </w:rPr>
                    <w:t>3</w:t>
                  </w:r>
                </w:p>
              </w:tc>
              <w:tc>
                <w:tcPr>
                  <w:tcW w:w="1134" w:type="dxa"/>
                  <w:vMerge w:val="restart"/>
                  <w:shd w:val="clear" w:color="auto" w:fill="auto"/>
                  <w:vAlign w:val="center"/>
                </w:tcPr>
                <w:p w14:paraId="04EE0AC2">
                  <w:pPr>
                    <w:pStyle w:val="70"/>
                    <w:rPr>
                      <w:color w:val="auto"/>
                    </w:rPr>
                  </w:pPr>
                  <w:r>
                    <w:rPr>
                      <w:rFonts w:hint="eastAsia"/>
                      <w:color w:val="auto"/>
                    </w:rPr>
                    <w:t>最高允许排放速率</w:t>
                  </w:r>
                  <w:r>
                    <w:rPr>
                      <w:color w:val="auto"/>
                    </w:rPr>
                    <w:t>kg/h</w:t>
                  </w:r>
                </w:p>
              </w:tc>
              <w:tc>
                <w:tcPr>
                  <w:tcW w:w="2211" w:type="dxa"/>
                  <w:vMerge w:val="restart"/>
                  <w:shd w:val="clear" w:color="auto" w:fill="auto"/>
                  <w:vAlign w:val="center"/>
                </w:tcPr>
                <w:p w14:paraId="771D5EE2">
                  <w:pPr>
                    <w:pStyle w:val="70"/>
                    <w:rPr>
                      <w:color w:val="auto"/>
                    </w:rPr>
                  </w:pPr>
                  <w:r>
                    <w:rPr>
                      <w:rFonts w:hint="eastAsia"/>
                      <w:color w:val="auto"/>
                    </w:rPr>
                    <w:t>标准来源</w:t>
                  </w:r>
                </w:p>
              </w:tc>
            </w:tr>
            <w:tr w14:paraId="407D2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048" w:type="dxa"/>
                  <w:vMerge w:val="continue"/>
                  <w:vAlign w:val="center"/>
                </w:tcPr>
                <w:p w14:paraId="0596C486">
                  <w:pPr>
                    <w:pStyle w:val="70"/>
                    <w:rPr>
                      <w:color w:val="auto"/>
                    </w:rPr>
                  </w:pPr>
                </w:p>
              </w:tc>
              <w:tc>
                <w:tcPr>
                  <w:tcW w:w="750" w:type="dxa"/>
                  <w:vMerge w:val="continue"/>
                  <w:vAlign w:val="center"/>
                </w:tcPr>
                <w:p w14:paraId="54A95B22">
                  <w:pPr>
                    <w:pStyle w:val="70"/>
                    <w:rPr>
                      <w:color w:val="auto"/>
                    </w:rPr>
                  </w:pPr>
                </w:p>
              </w:tc>
              <w:tc>
                <w:tcPr>
                  <w:tcW w:w="1392" w:type="dxa"/>
                  <w:vMerge w:val="continue"/>
                  <w:vAlign w:val="center"/>
                </w:tcPr>
                <w:p w14:paraId="3D16560E">
                  <w:pPr>
                    <w:pStyle w:val="70"/>
                    <w:rPr>
                      <w:color w:val="auto"/>
                    </w:rPr>
                  </w:pPr>
                </w:p>
              </w:tc>
              <w:tc>
                <w:tcPr>
                  <w:tcW w:w="916" w:type="dxa"/>
                  <w:vMerge w:val="continue"/>
                  <w:vAlign w:val="center"/>
                </w:tcPr>
                <w:p w14:paraId="550BCAA5">
                  <w:pPr>
                    <w:pStyle w:val="70"/>
                    <w:rPr>
                      <w:color w:val="auto"/>
                    </w:rPr>
                  </w:pPr>
                </w:p>
              </w:tc>
              <w:tc>
                <w:tcPr>
                  <w:tcW w:w="992" w:type="dxa"/>
                  <w:vMerge w:val="continue"/>
                  <w:vAlign w:val="center"/>
                </w:tcPr>
                <w:p w14:paraId="5A8BDE16">
                  <w:pPr>
                    <w:pStyle w:val="70"/>
                    <w:rPr>
                      <w:color w:val="auto"/>
                    </w:rPr>
                  </w:pPr>
                </w:p>
              </w:tc>
              <w:tc>
                <w:tcPr>
                  <w:tcW w:w="1134" w:type="dxa"/>
                  <w:vMerge w:val="continue"/>
                  <w:vAlign w:val="center"/>
                </w:tcPr>
                <w:p w14:paraId="5129B53E">
                  <w:pPr>
                    <w:pStyle w:val="70"/>
                    <w:rPr>
                      <w:color w:val="auto"/>
                    </w:rPr>
                  </w:pPr>
                </w:p>
              </w:tc>
              <w:tc>
                <w:tcPr>
                  <w:tcW w:w="2211" w:type="dxa"/>
                  <w:vMerge w:val="continue"/>
                  <w:vAlign w:val="center"/>
                </w:tcPr>
                <w:p w14:paraId="5A54DFD8">
                  <w:pPr>
                    <w:pStyle w:val="70"/>
                    <w:rPr>
                      <w:color w:val="auto"/>
                    </w:rPr>
                  </w:pPr>
                </w:p>
              </w:tc>
            </w:tr>
            <w:tr w14:paraId="12605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7" w:hRule="atLeast"/>
              </w:trPr>
              <w:tc>
                <w:tcPr>
                  <w:tcW w:w="1048" w:type="dxa"/>
                  <w:vMerge w:val="restart"/>
                  <w:shd w:val="clear" w:color="auto" w:fill="auto"/>
                  <w:vAlign w:val="center"/>
                </w:tcPr>
                <w:p w14:paraId="2C7A627E">
                  <w:pPr>
                    <w:pStyle w:val="70"/>
                    <w:rPr>
                      <w:rFonts w:hint="eastAsia"/>
                      <w:color w:val="auto"/>
                    </w:rPr>
                  </w:pPr>
                  <w:r>
                    <w:rPr>
                      <w:rFonts w:hint="eastAsia" w:ascii="Times New Roman" w:hAnsi="Times New Roman" w:eastAsia="宋体" w:cs="Times New Roman"/>
                      <w:color w:val="auto"/>
                      <w:sz w:val="21"/>
                      <w:szCs w:val="21"/>
                      <w:highlight w:val="none"/>
                      <w:lang w:val="en-US" w:eastAsia="zh-CN"/>
                    </w:rPr>
                    <w:t>自动线喷粉</w:t>
                  </w:r>
                  <w:r>
                    <w:rPr>
                      <w:rFonts w:hint="default" w:ascii="Times New Roman" w:hAnsi="Times New Roman" w:eastAsia="宋体" w:cs="Times New Roman"/>
                      <w:color w:val="auto"/>
                      <w:sz w:val="21"/>
                      <w:szCs w:val="21"/>
                      <w:highlight w:val="none"/>
                      <w:lang w:val="en-US" w:eastAsia="zh-CN"/>
                    </w:rPr>
                    <w:t>废气</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手动线喷粉</w:t>
                  </w:r>
                  <w:r>
                    <w:rPr>
                      <w:rFonts w:hint="default" w:ascii="Times New Roman" w:hAnsi="Times New Roman" w:eastAsia="宋体" w:cs="Times New Roman"/>
                      <w:color w:val="auto"/>
                      <w:sz w:val="21"/>
                      <w:szCs w:val="21"/>
                      <w:highlight w:val="none"/>
                      <w:lang w:val="en-US" w:eastAsia="zh-CN"/>
                    </w:rPr>
                    <w:t>废气</w:t>
                  </w:r>
                </w:p>
              </w:tc>
              <w:tc>
                <w:tcPr>
                  <w:tcW w:w="750" w:type="dxa"/>
                  <w:vMerge w:val="restart"/>
                  <w:shd w:val="clear" w:color="auto" w:fill="auto"/>
                  <w:vAlign w:val="center"/>
                </w:tcPr>
                <w:p w14:paraId="1A5C6C5C">
                  <w:pPr>
                    <w:pStyle w:val="70"/>
                    <w:rPr>
                      <w:rFonts w:hint="eastAsia"/>
                      <w:color w:val="auto"/>
                    </w:rPr>
                  </w:pPr>
                  <w:r>
                    <w:rPr>
                      <w:rFonts w:hint="eastAsia"/>
                      <w:color w:val="auto"/>
                    </w:rPr>
                    <w:t>G</w:t>
                  </w:r>
                  <w:r>
                    <w:rPr>
                      <w:rFonts w:hint="eastAsia"/>
                      <w:color w:val="auto"/>
                      <w:lang w:val="en-US" w:eastAsia="zh-CN"/>
                    </w:rPr>
                    <w:t>1</w:t>
                  </w:r>
                </w:p>
              </w:tc>
              <w:tc>
                <w:tcPr>
                  <w:tcW w:w="1392" w:type="dxa"/>
                  <w:shd w:val="clear" w:color="auto" w:fill="auto"/>
                  <w:vAlign w:val="center"/>
                </w:tcPr>
                <w:p w14:paraId="4F84C013">
                  <w:pPr>
                    <w:pStyle w:val="70"/>
                    <w:rPr>
                      <w:color w:val="auto"/>
                    </w:rPr>
                  </w:pPr>
                  <w:r>
                    <w:rPr>
                      <w:rFonts w:hint="eastAsia"/>
                      <w:color w:val="auto"/>
                      <w:lang w:val="en-US" w:eastAsia="zh-CN"/>
                    </w:rPr>
                    <w:t>颗粒物</w:t>
                  </w:r>
                </w:p>
              </w:tc>
              <w:tc>
                <w:tcPr>
                  <w:tcW w:w="916" w:type="dxa"/>
                  <w:vMerge w:val="restart"/>
                  <w:shd w:val="clear" w:color="auto" w:fill="auto"/>
                  <w:vAlign w:val="center"/>
                </w:tcPr>
                <w:p w14:paraId="47F67C6A">
                  <w:pPr>
                    <w:pStyle w:val="70"/>
                    <w:rPr>
                      <w:color w:val="auto"/>
                    </w:rPr>
                  </w:pPr>
                  <w:r>
                    <w:rPr>
                      <w:color w:val="auto"/>
                    </w:rPr>
                    <w:t>15</w:t>
                  </w:r>
                </w:p>
              </w:tc>
              <w:tc>
                <w:tcPr>
                  <w:tcW w:w="992" w:type="dxa"/>
                  <w:shd w:val="clear" w:color="auto" w:fill="auto"/>
                  <w:vAlign w:val="center"/>
                </w:tcPr>
                <w:p w14:paraId="0151EC6F">
                  <w:pPr>
                    <w:pStyle w:val="70"/>
                    <w:rPr>
                      <w:rFonts w:hint="default" w:eastAsia="宋体"/>
                      <w:color w:val="auto"/>
                      <w:lang w:val="en-US" w:eastAsia="zh-CN"/>
                    </w:rPr>
                  </w:pPr>
                  <w:r>
                    <w:rPr>
                      <w:rFonts w:hint="eastAsia"/>
                      <w:color w:val="auto"/>
                      <w:lang w:val="en-US" w:eastAsia="zh-CN"/>
                    </w:rPr>
                    <w:t>120</w:t>
                  </w:r>
                </w:p>
              </w:tc>
              <w:tc>
                <w:tcPr>
                  <w:tcW w:w="1134" w:type="dxa"/>
                  <w:shd w:val="clear" w:color="auto" w:fill="auto"/>
                  <w:vAlign w:val="center"/>
                </w:tcPr>
                <w:p w14:paraId="0D72781C">
                  <w:pPr>
                    <w:pStyle w:val="70"/>
                    <w:rPr>
                      <w:rFonts w:hint="default"/>
                      <w:color w:val="auto"/>
                      <w:highlight w:val="none"/>
                      <w:lang w:val="en-US"/>
                    </w:rPr>
                  </w:pPr>
                  <w:r>
                    <w:rPr>
                      <w:rFonts w:hint="eastAsia"/>
                      <w:color w:val="auto"/>
                      <w:highlight w:val="none"/>
                      <w:lang w:val="en-US" w:eastAsia="zh-CN"/>
                    </w:rPr>
                    <w:t>1.45</w:t>
                  </w:r>
                </w:p>
              </w:tc>
              <w:tc>
                <w:tcPr>
                  <w:tcW w:w="2211" w:type="dxa"/>
                  <w:shd w:val="clear" w:color="auto" w:fill="auto"/>
                  <w:vAlign w:val="center"/>
                </w:tcPr>
                <w:p w14:paraId="09884CB9">
                  <w:pPr>
                    <w:pStyle w:val="70"/>
                    <w:rPr>
                      <w:rFonts w:hint="eastAsia"/>
                      <w:color w:val="auto"/>
                    </w:rPr>
                  </w:pPr>
                  <w:r>
                    <w:rPr>
                      <w:rFonts w:hint="eastAsia"/>
                      <w:color w:val="auto"/>
                    </w:rPr>
                    <w:t>广东省地方标准《大气污染物排放限值》（DB44/27-2001）</w:t>
                  </w:r>
                  <w:r>
                    <w:rPr>
                      <w:rFonts w:hint="eastAsia"/>
                      <w:color w:val="auto"/>
                      <w:lang w:val="en-US" w:eastAsia="zh-CN"/>
                    </w:rPr>
                    <w:t>表2</w:t>
                  </w:r>
                  <w:r>
                    <w:rPr>
                      <w:rFonts w:hint="eastAsia"/>
                      <w:color w:val="auto"/>
                    </w:rPr>
                    <w:t>第二时段二级标准</w:t>
                  </w:r>
                </w:p>
              </w:tc>
            </w:tr>
            <w:tr w14:paraId="009C0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1048" w:type="dxa"/>
                  <w:vMerge w:val="restart"/>
                  <w:shd w:val="clear" w:color="auto" w:fill="auto"/>
                  <w:vAlign w:val="center"/>
                </w:tcPr>
                <w:p w14:paraId="1634A846">
                  <w:pPr>
                    <w:pStyle w:val="70"/>
                    <w:rPr>
                      <w:color w:val="auto"/>
                      <w:lang w:val="en-US"/>
                    </w:rPr>
                  </w:pPr>
                  <w:r>
                    <w:rPr>
                      <w:rFonts w:hint="eastAsia"/>
                      <w:color w:val="auto"/>
                      <w:lang w:val="en-US"/>
                    </w:rPr>
                    <w:t>手动线面包炉固化工序废气</w:t>
                  </w:r>
                  <w:r>
                    <w:rPr>
                      <w:rFonts w:hint="eastAsia"/>
                      <w:color w:val="auto"/>
                      <w:lang w:val="en-US" w:eastAsia="zh-CN"/>
                    </w:rPr>
                    <w:t>、</w:t>
                  </w:r>
                  <w:r>
                    <w:rPr>
                      <w:rFonts w:hint="eastAsia"/>
                      <w:color w:val="auto"/>
                    </w:rPr>
                    <w:t>自动线固化工序和液化石油气燃烧废气</w:t>
                  </w:r>
                </w:p>
              </w:tc>
              <w:tc>
                <w:tcPr>
                  <w:tcW w:w="750" w:type="dxa"/>
                  <w:vMerge w:val="restart"/>
                  <w:shd w:val="clear" w:color="auto" w:fill="auto"/>
                  <w:vAlign w:val="center"/>
                </w:tcPr>
                <w:p w14:paraId="601113C9">
                  <w:pPr>
                    <w:pStyle w:val="70"/>
                    <w:rPr>
                      <w:rFonts w:hint="eastAsia" w:eastAsia="宋体"/>
                      <w:color w:val="auto"/>
                      <w:lang w:eastAsia="zh-CN"/>
                    </w:rPr>
                  </w:pPr>
                  <w:r>
                    <w:rPr>
                      <w:rFonts w:hint="eastAsia"/>
                      <w:color w:val="auto"/>
                    </w:rPr>
                    <w:t>G</w:t>
                  </w:r>
                  <w:r>
                    <w:rPr>
                      <w:rFonts w:hint="eastAsia"/>
                      <w:color w:val="auto"/>
                      <w:lang w:val="en-US" w:eastAsia="zh-CN"/>
                    </w:rPr>
                    <w:t>2</w:t>
                  </w:r>
                </w:p>
              </w:tc>
              <w:tc>
                <w:tcPr>
                  <w:tcW w:w="1392" w:type="dxa"/>
                  <w:shd w:val="clear" w:color="auto" w:fill="auto"/>
                  <w:vAlign w:val="center"/>
                </w:tcPr>
                <w:p w14:paraId="4D4C53EA">
                  <w:pPr>
                    <w:pStyle w:val="70"/>
                    <w:rPr>
                      <w:rFonts w:hint="default" w:eastAsia="宋体"/>
                      <w:color w:val="auto"/>
                      <w:lang w:val="en-US" w:eastAsia="zh-CN"/>
                    </w:rPr>
                  </w:pPr>
                  <w:r>
                    <w:rPr>
                      <w:rFonts w:hint="eastAsia"/>
                      <w:color w:val="auto"/>
                      <w:lang w:val="en-US" w:eastAsia="zh-CN"/>
                    </w:rPr>
                    <w:t>TVOC</w:t>
                  </w:r>
                </w:p>
              </w:tc>
              <w:tc>
                <w:tcPr>
                  <w:tcW w:w="916" w:type="dxa"/>
                  <w:vMerge w:val="continue"/>
                  <w:shd w:val="clear" w:color="auto" w:fill="auto"/>
                  <w:vAlign w:val="center"/>
                </w:tcPr>
                <w:p w14:paraId="551EA722">
                  <w:pPr>
                    <w:pStyle w:val="70"/>
                    <w:rPr>
                      <w:color w:val="auto"/>
                    </w:rPr>
                  </w:pPr>
                </w:p>
              </w:tc>
              <w:tc>
                <w:tcPr>
                  <w:tcW w:w="992" w:type="dxa"/>
                  <w:shd w:val="clear" w:color="auto" w:fill="auto"/>
                  <w:vAlign w:val="center"/>
                </w:tcPr>
                <w:p w14:paraId="43B9B495">
                  <w:pPr>
                    <w:pStyle w:val="70"/>
                    <w:rPr>
                      <w:rFonts w:hint="default" w:eastAsia="宋体"/>
                      <w:color w:val="auto"/>
                      <w:lang w:val="en-US" w:eastAsia="zh-CN"/>
                    </w:rPr>
                  </w:pPr>
                  <w:r>
                    <w:rPr>
                      <w:rFonts w:hint="eastAsia"/>
                      <w:color w:val="auto"/>
                      <w:lang w:val="en-US" w:eastAsia="zh-CN"/>
                    </w:rPr>
                    <w:t>100</w:t>
                  </w:r>
                </w:p>
              </w:tc>
              <w:tc>
                <w:tcPr>
                  <w:tcW w:w="1134" w:type="dxa"/>
                  <w:shd w:val="clear" w:color="auto" w:fill="auto"/>
                  <w:vAlign w:val="center"/>
                </w:tcPr>
                <w:p w14:paraId="03C2A763">
                  <w:pPr>
                    <w:pStyle w:val="70"/>
                    <w:rPr>
                      <w:rFonts w:hint="eastAsia" w:eastAsia="宋体"/>
                      <w:color w:val="auto"/>
                      <w:highlight w:val="none"/>
                      <w:lang w:val="en-US" w:eastAsia="zh-CN"/>
                    </w:rPr>
                  </w:pPr>
                  <w:r>
                    <w:rPr>
                      <w:rFonts w:hint="eastAsia"/>
                      <w:color w:val="auto"/>
                      <w:highlight w:val="none"/>
                      <w:lang w:val="en-US" w:eastAsia="zh-CN"/>
                    </w:rPr>
                    <w:t>/</w:t>
                  </w:r>
                </w:p>
              </w:tc>
              <w:tc>
                <w:tcPr>
                  <w:tcW w:w="2211" w:type="dxa"/>
                  <w:vMerge w:val="restart"/>
                  <w:shd w:val="clear" w:color="auto" w:fill="auto"/>
                  <w:vAlign w:val="center"/>
                </w:tcPr>
                <w:p w14:paraId="7F1286E7">
                  <w:pPr>
                    <w:pStyle w:val="70"/>
                    <w:rPr>
                      <w:rFonts w:hint="default"/>
                      <w:color w:val="auto"/>
                      <w:lang w:val="en-US"/>
                    </w:rPr>
                  </w:pPr>
                  <w:r>
                    <w:rPr>
                      <w:rFonts w:hint="eastAsia"/>
                      <w:color w:val="auto"/>
                    </w:rPr>
                    <w:t>广东省地方标准《固定污染源挥发性有机物综合排放标准》（DB44/2</w:t>
                  </w:r>
                  <w:r>
                    <w:rPr>
                      <w:rFonts w:hint="eastAsia"/>
                      <w:color w:val="auto"/>
                      <w:lang w:val="en-US" w:eastAsia="zh-CN"/>
                    </w:rPr>
                    <w:t>36</w:t>
                  </w:r>
                  <w:r>
                    <w:rPr>
                      <w:rFonts w:hint="eastAsia"/>
                      <w:color w:val="auto"/>
                    </w:rPr>
                    <w:t>7-20</w:t>
                  </w:r>
                  <w:r>
                    <w:rPr>
                      <w:rFonts w:hint="eastAsia"/>
                      <w:color w:val="auto"/>
                      <w:lang w:val="en-US" w:eastAsia="zh-CN"/>
                    </w:rPr>
                    <w:t>22</w:t>
                  </w:r>
                  <w:r>
                    <w:rPr>
                      <w:rFonts w:hint="eastAsia"/>
                      <w:color w:val="auto"/>
                    </w:rPr>
                    <w:t>）</w:t>
                  </w:r>
                  <w:r>
                    <w:rPr>
                      <w:rFonts w:hint="eastAsia"/>
                      <w:color w:val="auto"/>
                      <w:lang w:val="en-US" w:eastAsia="zh-CN"/>
                    </w:rPr>
                    <w:t>表1挥发性有机物排放限值</w:t>
                  </w:r>
                </w:p>
              </w:tc>
            </w:tr>
            <w:tr w14:paraId="20373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vMerge w:val="continue"/>
                  <w:shd w:val="clear" w:color="auto" w:fill="auto"/>
                  <w:vAlign w:val="center"/>
                </w:tcPr>
                <w:p w14:paraId="23DF5114">
                  <w:pPr>
                    <w:pStyle w:val="70"/>
                    <w:rPr>
                      <w:color w:val="auto"/>
                      <w:lang w:val="en-US"/>
                    </w:rPr>
                  </w:pPr>
                </w:p>
              </w:tc>
              <w:tc>
                <w:tcPr>
                  <w:tcW w:w="750" w:type="dxa"/>
                  <w:vMerge w:val="continue"/>
                  <w:shd w:val="clear" w:color="auto" w:fill="auto"/>
                  <w:vAlign w:val="center"/>
                </w:tcPr>
                <w:p w14:paraId="4937FF77">
                  <w:pPr>
                    <w:pStyle w:val="70"/>
                    <w:rPr>
                      <w:rFonts w:hint="eastAsia" w:eastAsia="宋体"/>
                      <w:color w:val="auto"/>
                      <w:lang w:eastAsia="zh-CN"/>
                    </w:rPr>
                  </w:pPr>
                </w:p>
              </w:tc>
              <w:tc>
                <w:tcPr>
                  <w:tcW w:w="1392" w:type="dxa"/>
                  <w:shd w:val="clear" w:color="auto" w:fill="auto"/>
                  <w:vAlign w:val="center"/>
                </w:tcPr>
                <w:p w14:paraId="4973167B">
                  <w:pPr>
                    <w:pStyle w:val="70"/>
                    <w:rPr>
                      <w:color w:val="auto"/>
                    </w:rPr>
                  </w:pPr>
                  <w:r>
                    <w:rPr>
                      <w:color w:val="auto"/>
                    </w:rPr>
                    <w:t>非甲烷总烃</w:t>
                  </w:r>
                </w:p>
              </w:tc>
              <w:tc>
                <w:tcPr>
                  <w:tcW w:w="916" w:type="dxa"/>
                  <w:vMerge w:val="continue"/>
                  <w:shd w:val="clear" w:color="auto" w:fill="auto"/>
                  <w:vAlign w:val="center"/>
                </w:tcPr>
                <w:p w14:paraId="6565EABB">
                  <w:pPr>
                    <w:pStyle w:val="70"/>
                    <w:rPr>
                      <w:color w:val="auto"/>
                    </w:rPr>
                  </w:pPr>
                </w:p>
              </w:tc>
              <w:tc>
                <w:tcPr>
                  <w:tcW w:w="992" w:type="dxa"/>
                  <w:shd w:val="clear" w:color="auto" w:fill="auto"/>
                  <w:vAlign w:val="center"/>
                </w:tcPr>
                <w:p w14:paraId="43936468">
                  <w:pPr>
                    <w:pStyle w:val="70"/>
                    <w:rPr>
                      <w:color w:val="auto"/>
                    </w:rPr>
                  </w:pPr>
                  <w:r>
                    <w:rPr>
                      <w:rFonts w:hint="eastAsia"/>
                      <w:color w:val="auto"/>
                      <w:lang w:val="en-US" w:eastAsia="zh-CN"/>
                    </w:rPr>
                    <w:t>8</w:t>
                  </w:r>
                  <w:r>
                    <w:rPr>
                      <w:color w:val="auto"/>
                    </w:rPr>
                    <w:t>0</w:t>
                  </w:r>
                </w:p>
              </w:tc>
              <w:tc>
                <w:tcPr>
                  <w:tcW w:w="1134" w:type="dxa"/>
                  <w:shd w:val="clear" w:color="auto" w:fill="auto"/>
                  <w:vAlign w:val="center"/>
                </w:tcPr>
                <w:p w14:paraId="2793023C">
                  <w:pPr>
                    <w:pStyle w:val="70"/>
                    <w:rPr>
                      <w:rFonts w:hint="eastAsia" w:eastAsia="宋体"/>
                      <w:color w:val="auto"/>
                      <w:lang w:val="en-US" w:eastAsia="zh-CN"/>
                    </w:rPr>
                  </w:pPr>
                  <w:r>
                    <w:rPr>
                      <w:rFonts w:hint="eastAsia"/>
                      <w:color w:val="auto"/>
                      <w:highlight w:val="none"/>
                      <w:lang w:val="en-US" w:eastAsia="zh-CN"/>
                    </w:rPr>
                    <w:t>/</w:t>
                  </w:r>
                </w:p>
              </w:tc>
              <w:tc>
                <w:tcPr>
                  <w:tcW w:w="2211" w:type="dxa"/>
                  <w:vMerge w:val="continue"/>
                  <w:shd w:val="clear" w:color="auto" w:fill="auto"/>
                  <w:vAlign w:val="center"/>
                </w:tcPr>
                <w:p w14:paraId="69A39FA9">
                  <w:pPr>
                    <w:pStyle w:val="70"/>
                    <w:rPr>
                      <w:rFonts w:hint="default"/>
                      <w:color w:val="auto"/>
                      <w:lang w:val="en-US"/>
                    </w:rPr>
                  </w:pPr>
                </w:p>
              </w:tc>
            </w:tr>
            <w:tr w14:paraId="3A609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8" w:type="dxa"/>
                  <w:vMerge w:val="continue"/>
                  <w:shd w:val="clear" w:color="auto" w:fill="auto"/>
                  <w:vAlign w:val="center"/>
                </w:tcPr>
                <w:p w14:paraId="3D2B7D37">
                  <w:pPr>
                    <w:pStyle w:val="70"/>
                    <w:rPr>
                      <w:color w:val="auto"/>
                      <w:lang w:val="en-US"/>
                    </w:rPr>
                  </w:pPr>
                </w:p>
              </w:tc>
              <w:tc>
                <w:tcPr>
                  <w:tcW w:w="750" w:type="dxa"/>
                  <w:vMerge w:val="continue"/>
                  <w:shd w:val="clear" w:color="auto" w:fill="auto"/>
                  <w:vAlign w:val="center"/>
                </w:tcPr>
                <w:p w14:paraId="4DAFC36D">
                  <w:pPr>
                    <w:pStyle w:val="70"/>
                    <w:rPr>
                      <w:color w:val="auto"/>
                    </w:rPr>
                  </w:pPr>
                </w:p>
              </w:tc>
              <w:tc>
                <w:tcPr>
                  <w:tcW w:w="1392" w:type="dxa"/>
                  <w:shd w:val="clear" w:color="auto" w:fill="auto"/>
                  <w:vAlign w:val="center"/>
                </w:tcPr>
                <w:p w14:paraId="4B417488">
                  <w:pPr>
                    <w:pStyle w:val="70"/>
                    <w:rPr>
                      <w:color w:val="auto"/>
                    </w:rPr>
                  </w:pPr>
                  <w:r>
                    <w:rPr>
                      <w:color w:val="auto"/>
                    </w:rPr>
                    <w:t>SO</w:t>
                  </w:r>
                  <w:r>
                    <w:rPr>
                      <w:color w:val="auto"/>
                      <w:vertAlign w:val="subscript"/>
                    </w:rPr>
                    <w:t>2</w:t>
                  </w:r>
                </w:p>
              </w:tc>
              <w:tc>
                <w:tcPr>
                  <w:tcW w:w="916" w:type="dxa"/>
                  <w:vMerge w:val="continue"/>
                  <w:shd w:val="clear" w:color="auto" w:fill="auto"/>
                  <w:vAlign w:val="center"/>
                </w:tcPr>
                <w:p w14:paraId="14BA820D">
                  <w:pPr>
                    <w:pStyle w:val="70"/>
                    <w:rPr>
                      <w:color w:val="auto"/>
                    </w:rPr>
                  </w:pPr>
                </w:p>
              </w:tc>
              <w:tc>
                <w:tcPr>
                  <w:tcW w:w="992" w:type="dxa"/>
                  <w:shd w:val="clear" w:color="auto" w:fill="auto"/>
                  <w:vAlign w:val="center"/>
                </w:tcPr>
                <w:p w14:paraId="3F152BE5">
                  <w:pPr>
                    <w:pStyle w:val="70"/>
                    <w:rPr>
                      <w:color w:val="auto"/>
                    </w:rPr>
                  </w:pPr>
                  <w:r>
                    <w:rPr>
                      <w:color w:val="auto"/>
                    </w:rPr>
                    <w:t>200</w:t>
                  </w:r>
                </w:p>
              </w:tc>
              <w:tc>
                <w:tcPr>
                  <w:tcW w:w="1134" w:type="dxa"/>
                  <w:shd w:val="clear" w:color="auto" w:fill="auto"/>
                  <w:vAlign w:val="center"/>
                </w:tcPr>
                <w:p w14:paraId="7A4183BA">
                  <w:pPr>
                    <w:pStyle w:val="70"/>
                    <w:rPr>
                      <w:color w:val="auto"/>
                      <w:lang w:val="en-US"/>
                    </w:rPr>
                  </w:pPr>
                  <w:r>
                    <w:rPr>
                      <w:rFonts w:hint="eastAsia"/>
                      <w:color w:val="auto"/>
                      <w:lang w:val="en-US"/>
                    </w:rPr>
                    <w:t>/</w:t>
                  </w:r>
                </w:p>
              </w:tc>
              <w:tc>
                <w:tcPr>
                  <w:tcW w:w="2211" w:type="dxa"/>
                  <w:vMerge w:val="restart"/>
                  <w:shd w:val="clear" w:color="auto" w:fill="auto"/>
                  <w:vAlign w:val="center"/>
                </w:tcPr>
                <w:p w14:paraId="79BBE91D">
                  <w:pPr>
                    <w:pStyle w:val="70"/>
                    <w:rPr>
                      <w:color w:val="auto"/>
                    </w:rPr>
                  </w:pPr>
                  <w:r>
                    <w:rPr>
                      <w:rFonts w:hint="eastAsia"/>
                      <w:color w:val="auto"/>
                    </w:rPr>
                    <w:t>《工业炉窑大气污染综合治理方案》（环大气〔2019〕56号）中</w:t>
                  </w:r>
                  <w:r>
                    <w:rPr>
                      <w:rFonts w:hint="eastAsia"/>
                      <w:color w:val="auto"/>
                      <w:lang w:val="en-US" w:eastAsia="zh-CN"/>
                    </w:rPr>
                    <w:t>重点区域</w:t>
                  </w:r>
                  <w:r>
                    <w:rPr>
                      <w:rFonts w:hint="eastAsia"/>
                      <w:color w:val="auto"/>
                    </w:rPr>
                    <w:t>限值要求</w:t>
                  </w:r>
                </w:p>
              </w:tc>
            </w:tr>
            <w:tr w14:paraId="04921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1048" w:type="dxa"/>
                  <w:vMerge w:val="continue"/>
                  <w:shd w:val="clear" w:color="auto" w:fill="auto"/>
                  <w:vAlign w:val="center"/>
                </w:tcPr>
                <w:p w14:paraId="2827ED59">
                  <w:pPr>
                    <w:pStyle w:val="70"/>
                    <w:rPr>
                      <w:color w:val="auto"/>
                      <w:lang w:val="en-US"/>
                    </w:rPr>
                  </w:pPr>
                </w:p>
              </w:tc>
              <w:tc>
                <w:tcPr>
                  <w:tcW w:w="750" w:type="dxa"/>
                  <w:vMerge w:val="continue"/>
                  <w:shd w:val="clear" w:color="auto" w:fill="auto"/>
                  <w:vAlign w:val="center"/>
                </w:tcPr>
                <w:p w14:paraId="76002C65">
                  <w:pPr>
                    <w:pStyle w:val="70"/>
                    <w:rPr>
                      <w:color w:val="auto"/>
                    </w:rPr>
                  </w:pPr>
                </w:p>
              </w:tc>
              <w:tc>
                <w:tcPr>
                  <w:tcW w:w="1392" w:type="dxa"/>
                  <w:shd w:val="clear" w:color="auto" w:fill="auto"/>
                  <w:vAlign w:val="center"/>
                </w:tcPr>
                <w:p w14:paraId="5569DF8B">
                  <w:pPr>
                    <w:pStyle w:val="70"/>
                    <w:rPr>
                      <w:color w:val="auto"/>
                    </w:rPr>
                  </w:pPr>
                  <w:r>
                    <w:rPr>
                      <w:color w:val="auto"/>
                    </w:rPr>
                    <w:t>NO</w:t>
                  </w:r>
                  <w:r>
                    <w:rPr>
                      <w:color w:val="auto"/>
                      <w:vertAlign w:val="subscript"/>
                    </w:rPr>
                    <w:t>X</w:t>
                  </w:r>
                </w:p>
              </w:tc>
              <w:tc>
                <w:tcPr>
                  <w:tcW w:w="916" w:type="dxa"/>
                  <w:vMerge w:val="continue"/>
                  <w:shd w:val="clear" w:color="auto" w:fill="auto"/>
                  <w:vAlign w:val="center"/>
                </w:tcPr>
                <w:p w14:paraId="66FE76C1">
                  <w:pPr>
                    <w:pStyle w:val="70"/>
                    <w:rPr>
                      <w:color w:val="auto"/>
                    </w:rPr>
                  </w:pPr>
                </w:p>
              </w:tc>
              <w:tc>
                <w:tcPr>
                  <w:tcW w:w="992" w:type="dxa"/>
                  <w:shd w:val="clear" w:color="auto" w:fill="auto"/>
                  <w:vAlign w:val="center"/>
                </w:tcPr>
                <w:p w14:paraId="7BD9D08C">
                  <w:pPr>
                    <w:pStyle w:val="70"/>
                    <w:rPr>
                      <w:color w:val="auto"/>
                    </w:rPr>
                  </w:pPr>
                  <w:r>
                    <w:rPr>
                      <w:color w:val="auto"/>
                    </w:rPr>
                    <w:t>300</w:t>
                  </w:r>
                </w:p>
              </w:tc>
              <w:tc>
                <w:tcPr>
                  <w:tcW w:w="1134" w:type="dxa"/>
                  <w:shd w:val="clear" w:color="auto" w:fill="auto"/>
                  <w:vAlign w:val="center"/>
                </w:tcPr>
                <w:p w14:paraId="2A40F8B4">
                  <w:pPr>
                    <w:pStyle w:val="70"/>
                    <w:rPr>
                      <w:color w:val="auto"/>
                      <w:lang w:val="en-US"/>
                    </w:rPr>
                  </w:pPr>
                  <w:r>
                    <w:rPr>
                      <w:rFonts w:hint="eastAsia"/>
                      <w:color w:val="auto"/>
                      <w:lang w:val="en-US"/>
                    </w:rPr>
                    <w:t>/</w:t>
                  </w:r>
                </w:p>
              </w:tc>
              <w:tc>
                <w:tcPr>
                  <w:tcW w:w="2211" w:type="dxa"/>
                  <w:vMerge w:val="continue"/>
                  <w:shd w:val="clear" w:color="auto" w:fill="auto"/>
                  <w:vAlign w:val="center"/>
                </w:tcPr>
                <w:p w14:paraId="14B46A54">
                  <w:pPr>
                    <w:pStyle w:val="70"/>
                    <w:rPr>
                      <w:color w:val="auto"/>
                    </w:rPr>
                  </w:pPr>
                </w:p>
              </w:tc>
            </w:tr>
            <w:tr w14:paraId="07F5C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1048" w:type="dxa"/>
                  <w:vMerge w:val="continue"/>
                  <w:shd w:val="clear" w:color="auto" w:fill="auto"/>
                  <w:vAlign w:val="center"/>
                </w:tcPr>
                <w:p w14:paraId="6DC22449">
                  <w:pPr>
                    <w:pStyle w:val="70"/>
                    <w:rPr>
                      <w:color w:val="auto"/>
                      <w:lang w:val="en-US"/>
                    </w:rPr>
                  </w:pPr>
                </w:p>
              </w:tc>
              <w:tc>
                <w:tcPr>
                  <w:tcW w:w="750" w:type="dxa"/>
                  <w:vMerge w:val="continue"/>
                  <w:shd w:val="clear" w:color="auto" w:fill="auto"/>
                  <w:vAlign w:val="center"/>
                </w:tcPr>
                <w:p w14:paraId="122A4ABB">
                  <w:pPr>
                    <w:pStyle w:val="70"/>
                    <w:rPr>
                      <w:color w:val="auto"/>
                    </w:rPr>
                  </w:pPr>
                </w:p>
              </w:tc>
              <w:tc>
                <w:tcPr>
                  <w:tcW w:w="1392" w:type="dxa"/>
                  <w:shd w:val="clear" w:color="auto" w:fill="auto"/>
                  <w:vAlign w:val="center"/>
                </w:tcPr>
                <w:p w14:paraId="4B268E50">
                  <w:pPr>
                    <w:pStyle w:val="70"/>
                    <w:rPr>
                      <w:color w:val="auto"/>
                    </w:rPr>
                  </w:pPr>
                  <w:r>
                    <w:rPr>
                      <w:rFonts w:hint="eastAsia"/>
                      <w:color w:val="auto"/>
                    </w:rPr>
                    <w:t>颗粒物</w:t>
                  </w:r>
                </w:p>
              </w:tc>
              <w:tc>
                <w:tcPr>
                  <w:tcW w:w="916" w:type="dxa"/>
                  <w:vMerge w:val="continue"/>
                  <w:shd w:val="clear" w:color="auto" w:fill="auto"/>
                  <w:vAlign w:val="center"/>
                </w:tcPr>
                <w:p w14:paraId="26ABA30F">
                  <w:pPr>
                    <w:pStyle w:val="70"/>
                    <w:rPr>
                      <w:color w:val="auto"/>
                    </w:rPr>
                  </w:pPr>
                </w:p>
              </w:tc>
              <w:tc>
                <w:tcPr>
                  <w:tcW w:w="992" w:type="dxa"/>
                  <w:shd w:val="clear" w:color="auto" w:fill="auto"/>
                  <w:vAlign w:val="center"/>
                </w:tcPr>
                <w:p w14:paraId="5D7CD64B">
                  <w:pPr>
                    <w:pStyle w:val="70"/>
                    <w:rPr>
                      <w:color w:val="auto"/>
                    </w:rPr>
                  </w:pPr>
                  <w:r>
                    <w:rPr>
                      <w:color w:val="auto"/>
                      <w:lang w:val="en-US"/>
                    </w:rPr>
                    <w:t>30</w:t>
                  </w:r>
                </w:p>
              </w:tc>
              <w:tc>
                <w:tcPr>
                  <w:tcW w:w="1134" w:type="dxa"/>
                  <w:shd w:val="clear" w:color="auto" w:fill="auto"/>
                  <w:vAlign w:val="center"/>
                </w:tcPr>
                <w:p w14:paraId="08C05538">
                  <w:pPr>
                    <w:pStyle w:val="70"/>
                    <w:rPr>
                      <w:color w:val="auto"/>
                      <w:lang w:val="en-US"/>
                    </w:rPr>
                  </w:pPr>
                  <w:r>
                    <w:rPr>
                      <w:rFonts w:hint="eastAsia"/>
                      <w:color w:val="auto"/>
                      <w:lang w:val="en-US"/>
                    </w:rPr>
                    <w:t>/</w:t>
                  </w:r>
                </w:p>
              </w:tc>
              <w:tc>
                <w:tcPr>
                  <w:tcW w:w="2211" w:type="dxa"/>
                  <w:vMerge w:val="continue"/>
                  <w:shd w:val="clear" w:color="auto" w:fill="auto"/>
                  <w:vAlign w:val="center"/>
                </w:tcPr>
                <w:p w14:paraId="7FADD5E5">
                  <w:pPr>
                    <w:pStyle w:val="70"/>
                    <w:rPr>
                      <w:color w:val="auto"/>
                    </w:rPr>
                  </w:pPr>
                </w:p>
              </w:tc>
            </w:tr>
            <w:tr w14:paraId="0A649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vMerge w:val="continue"/>
                  <w:shd w:val="clear" w:color="auto" w:fill="auto"/>
                  <w:vAlign w:val="center"/>
                </w:tcPr>
                <w:p w14:paraId="60100706">
                  <w:pPr>
                    <w:pStyle w:val="70"/>
                    <w:rPr>
                      <w:color w:val="auto"/>
                      <w:lang w:val="en-US"/>
                    </w:rPr>
                  </w:pPr>
                </w:p>
              </w:tc>
              <w:tc>
                <w:tcPr>
                  <w:tcW w:w="750" w:type="dxa"/>
                  <w:vMerge w:val="continue"/>
                  <w:shd w:val="clear" w:color="auto" w:fill="auto"/>
                  <w:vAlign w:val="center"/>
                </w:tcPr>
                <w:p w14:paraId="4365757D">
                  <w:pPr>
                    <w:pStyle w:val="70"/>
                    <w:rPr>
                      <w:color w:val="auto"/>
                    </w:rPr>
                  </w:pPr>
                </w:p>
              </w:tc>
              <w:tc>
                <w:tcPr>
                  <w:tcW w:w="1392" w:type="dxa"/>
                  <w:shd w:val="clear" w:color="auto" w:fill="auto"/>
                  <w:vAlign w:val="center"/>
                </w:tcPr>
                <w:p w14:paraId="6A7A7963">
                  <w:pPr>
                    <w:pStyle w:val="70"/>
                    <w:rPr>
                      <w:color w:val="auto"/>
                    </w:rPr>
                  </w:pPr>
                  <w:r>
                    <w:rPr>
                      <w:rFonts w:hint="eastAsia"/>
                      <w:color w:val="auto"/>
                      <w:lang w:val="en-US" w:eastAsia="zh-CN"/>
                    </w:rPr>
                    <w:t>林格曼</w:t>
                  </w:r>
                  <w:r>
                    <w:rPr>
                      <w:rFonts w:hint="eastAsia"/>
                      <w:color w:val="auto"/>
                    </w:rPr>
                    <w:t>黑度</w:t>
                  </w:r>
                </w:p>
              </w:tc>
              <w:tc>
                <w:tcPr>
                  <w:tcW w:w="916" w:type="dxa"/>
                  <w:vMerge w:val="continue"/>
                  <w:shd w:val="clear" w:color="auto" w:fill="auto"/>
                  <w:vAlign w:val="center"/>
                </w:tcPr>
                <w:p w14:paraId="067E4131">
                  <w:pPr>
                    <w:pStyle w:val="70"/>
                    <w:rPr>
                      <w:color w:val="auto"/>
                    </w:rPr>
                  </w:pPr>
                </w:p>
              </w:tc>
              <w:tc>
                <w:tcPr>
                  <w:tcW w:w="992" w:type="dxa"/>
                  <w:shd w:val="clear" w:color="auto" w:fill="auto"/>
                  <w:vAlign w:val="center"/>
                </w:tcPr>
                <w:p w14:paraId="27F3699D">
                  <w:pPr>
                    <w:pStyle w:val="70"/>
                    <w:rPr>
                      <w:color w:val="auto"/>
                    </w:rPr>
                  </w:pPr>
                  <w:r>
                    <w:rPr>
                      <w:color w:val="auto"/>
                      <w:lang w:val="en-US"/>
                    </w:rPr>
                    <w:t>1级</w:t>
                  </w:r>
                </w:p>
              </w:tc>
              <w:tc>
                <w:tcPr>
                  <w:tcW w:w="1134" w:type="dxa"/>
                  <w:shd w:val="clear" w:color="auto" w:fill="auto"/>
                  <w:vAlign w:val="center"/>
                </w:tcPr>
                <w:p w14:paraId="398F9C49">
                  <w:pPr>
                    <w:pStyle w:val="70"/>
                    <w:rPr>
                      <w:color w:val="auto"/>
                      <w:lang w:val="en-US"/>
                    </w:rPr>
                  </w:pPr>
                  <w:r>
                    <w:rPr>
                      <w:rFonts w:hint="eastAsia"/>
                      <w:color w:val="auto"/>
                      <w:lang w:val="en-US"/>
                    </w:rPr>
                    <w:t>/</w:t>
                  </w:r>
                </w:p>
              </w:tc>
              <w:tc>
                <w:tcPr>
                  <w:tcW w:w="2211" w:type="dxa"/>
                  <w:shd w:val="clear" w:color="auto" w:fill="auto"/>
                  <w:vAlign w:val="center"/>
                </w:tcPr>
                <w:p w14:paraId="27D873D8">
                  <w:pPr>
                    <w:pStyle w:val="70"/>
                    <w:rPr>
                      <w:color w:val="auto"/>
                    </w:rPr>
                  </w:pPr>
                  <w:r>
                    <w:rPr>
                      <w:rFonts w:hint="eastAsia"/>
                      <w:color w:val="auto"/>
                    </w:rPr>
                    <w:t>《工业炉窑大气污染物排放标准》（GB9078-1996）干燥炉二级标准</w:t>
                  </w:r>
                </w:p>
              </w:tc>
            </w:tr>
            <w:tr w14:paraId="05F03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vMerge w:val="continue"/>
                  <w:shd w:val="clear" w:color="auto" w:fill="auto"/>
                  <w:vAlign w:val="center"/>
                </w:tcPr>
                <w:p w14:paraId="1F411200">
                  <w:pPr>
                    <w:pStyle w:val="70"/>
                    <w:rPr>
                      <w:color w:val="auto"/>
                    </w:rPr>
                  </w:pPr>
                </w:p>
              </w:tc>
              <w:tc>
                <w:tcPr>
                  <w:tcW w:w="750" w:type="dxa"/>
                  <w:vMerge w:val="continue"/>
                  <w:shd w:val="clear" w:color="auto" w:fill="auto"/>
                  <w:vAlign w:val="center"/>
                </w:tcPr>
                <w:p w14:paraId="7555A233">
                  <w:pPr>
                    <w:pStyle w:val="70"/>
                    <w:rPr>
                      <w:color w:val="auto"/>
                    </w:rPr>
                  </w:pPr>
                </w:p>
              </w:tc>
              <w:tc>
                <w:tcPr>
                  <w:tcW w:w="1392" w:type="dxa"/>
                  <w:shd w:val="clear" w:color="auto" w:fill="auto"/>
                  <w:vAlign w:val="center"/>
                </w:tcPr>
                <w:p w14:paraId="271BF05E">
                  <w:pPr>
                    <w:pStyle w:val="70"/>
                    <w:rPr>
                      <w:color w:val="auto"/>
                    </w:rPr>
                  </w:pPr>
                  <w:r>
                    <w:rPr>
                      <w:color w:val="auto"/>
                    </w:rPr>
                    <w:t>臭气浓度</w:t>
                  </w:r>
                </w:p>
              </w:tc>
              <w:tc>
                <w:tcPr>
                  <w:tcW w:w="916" w:type="dxa"/>
                  <w:vMerge w:val="continue"/>
                  <w:shd w:val="clear" w:color="auto" w:fill="auto"/>
                  <w:vAlign w:val="center"/>
                </w:tcPr>
                <w:p w14:paraId="27F439BB">
                  <w:pPr>
                    <w:pStyle w:val="70"/>
                    <w:rPr>
                      <w:color w:val="auto"/>
                    </w:rPr>
                  </w:pPr>
                </w:p>
              </w:tc>
              <w:tc>
                <w:tcPr>
                  <w:tcW w:w="2126" w:type="dxa"/>
                  <w:gridSpan w:val="2"/>
                  <w:shd w:val="clear" w:color="auto" w:fill="auto"/>
                  <w:vAlign w:val="center"/>
                </w:tcPr>
                <w:p w14:paraId="272DE1E7">
                  <w:pPr>
                    <w:pStyle w:val="70"/>
                    <w:rPr>
                      <w:color w:val="auto"/>
                    </w:rPr>
                  </w:pPr>
                  <w:r>
                    <w:rPr>
                      <w:rFonts w:hint="eastAsia"/>
                      <w:color w:val="auto"/>
                    </w:rPr>
                    <w:t>2000（无量纲）</w:t>
                  </w:r>
                </w:p>
              </w:tc>
              <w:tc>
                <w:tcPr>
                  <w:tcW w:w="2211" w:type="dxa"/>
                  <w:shd w:val="clear" w:color="auto" w:fill="auto"/>
                  <w:vAlign w:val="center"/>
                </w:tcPr>
                <w:p w14:paraId="0B98EDD5">
                  <w:pPr>
                    <w:pStyle w:val="70"/>
                    <w:rPr>
                      <w:color w:val="auto"/>
                    </w:rPr>
                  </w:pPr>
                  <w:r>
                    <w:rPr>
                      <w:rFonts w:hint="eastAsia"/>
                      <w:color w:val="auto"/>
                    </w:rPr>
                    <w:t>《恶臭污染物排放标准》（GB14554-93）表2恶臭污染物排放标准值</w:t>
                  </w:r>
                </w:p>
              </w:tc>
            </w:tr>
            <w:tr w14:paraId="63EFA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1048" w:type="dxa"/>
                  <w:vMerge w:val="restart"/>
                  <w:shd w:val="clear" w:color="auto" w:fill="auto"/>
                  <w:vAlign w:val="center"/>
                </w:tcPr>
                <w:p w14:paraId="0F042BF3">
                  <w:pPr>
                    <w:pStyle w:val="70"/>
                    <w:rPr>
                      <w:color w:val="auto"/>
                    </w:rPr>
                  </w:pPr>
                  <w:r>
                    <w:rPr>
                      <w:rFonts w:hint="eastAsia"/>
                      <w:color w:val="auto"/>
                    </w:rPr>
                    <w:t>厂界无组织废气</w:t>
                  </w:r>
                </w:p>
              </w:tc>
              <w:tc>
                <w:tcPr>
                  <w:tcW w:w="750" w:type="dxa"/>
                  <w:vMerge w:val="restart"/>
                  <w:shd w:val="clear" w:color="auto" w:fill="auto"/>
                  <w:vAlign w:val="center"/>
                </w:tcPr>
                <w:p w14:paraId="4E865A26">
                  <w:pPr>
                    <w:pStyle w:val="70"/>
                    <w:rPr>
                      <w:color w:val="auto"/>
                    </w:rPr>
                  </w:pPr>
                  <w:r>
                    <w:rPr>
                      <w:rFonts w:hint="eastAsia"/>
                      <w:color w:val="auto"/>
                    </w:rPr>
                    <w:t>/</w:t>
                  </w:r>
                </w:p>
              </w:tc>
              <w:tc>
                <w:tcPr>
                  <w:tcW w:w="1392" w:type="dxa"/>
                  <w:shd w:val="clear" w:color="auto" w:fill="auto"/>
                  <w:vAlign w:val="center"/>
                </w:tcPr>
                <w:p w14:paraId="0ED7C614">
                  <w:pPr>
                    <w:pStyle w:val="70"/>
                    <w:rPr>
                      <w:color w:val="auto"/>
                    </w:rPr>
                  </w:pPr>
                  <w:r>
                    <w:rPr>
                      <w:rFonts w:hint="eastAsia"/>
                      <w:color w:val="auto"/>
                    </w:rPr>
                    <w:t>非甲烷总烃</w:t>
                  </w:r>
                </w:p>
              </w:tc>
              <w:tc>
                <w:tcPr>
                  <w:tcW w:w="916" w:type="dxa"/>
                  <w:vMerge w:val="restart"/>
                  <w:shd w:val="clear" w:color="auto" w:fill="auto"/>
                  <w:vAlign w:val="center"/>
                </w:tcPr>
                <w:p w14:paraId="2681041C">
                  <w:pPr>
                    <w:pStyle w:val="70"/>
                    <w:rPr>
                      <w:color w:val="auto"/>
                    </w:rPr>
                  </w:pPr>
                  <w:r>
                    <w:rPr>
                      <w:rFonts w:hint="eastAsia"/>
                      <w:color w:val="auto"/>
                    </w:rPr>
                    <w:t>/</w:t>
                  </w:r>
                </w:p>
              </w:tc>
              <w:tc>
                <w:tcPr>
                  <w:tcW w:w="992" w:type="dxa"/>
                  <w:shd w:val="clear" w:color="auto" w:fill="auto"/>
                  <w:vAlign w:val="center"/>
                </w:tcPr>
                <w:p w14:paraId="01C12603">
                  <w:pPr>
                    <w:pStyle w:val="70"/>
                    <w:rPr>
                      <w:color w:val="auto"/>
                    </w:rPr>
                  </w:pPr>
                  <w:r>
                    <w:rPr>
                      <w:rFonts w:hint="eastAsia"/>
                      <w:color w:val="auto"/>
                    </w:rPr>
                    <w:t>4</w:t>
                  </w:r>
                  <w:r>
                    <w:rPr>
                      <w:color w:val="auto"/>
                    </w:rPr>
                    <w:t>.0</w:t>
                  </w:r>
                </w:p>
              </w:tc>
              <w:tc>
                <w:tcPr>
                  <w:tcW w:w="1134" w:type="dxa"/>
                  <w:vMerge w:val="restart"/>
                  <w:shd w:val="clear" w:color="auto" w:fill="auto"/>
                  <w:vAlign w:val="center"/>
                </w:tcPr>
                <w:p w14:paraId="2E3AA852">
                  <w:pPr>
                    <w:pStyle w:val="70"/>
                    <w:rPr>
                      <w:color w:val="auto"/>
                    </w:rPr>
                  </w:pPr>
                  <w:r>
                    <w:rPr>
                      <w:color w:val="auto"/>
                    </w:rPr>
                    <w:t>/</w:t>
                  </w:r>
                </w:p>
              </w:tc>
              <w:tc>
                <w:tcPr>
                  <w:tcW w:w="2211" w:type="dxa"/>
                  <w:vMerge w:val="restart"/>
                  <w:shd w:val="clear" w:color="auto" w:fill="auto"/>
                  <w:vAlign w:val="center"/>
                </w:tcPr>
                <w:p w14:paraId="228BEDFE">
                  <w:pPr>
                    <w:pStyle w:val="70"/>
                    <w:rPr>
                      <w:color w:val="auto"/>
                    </w:rPr>
                  </w:pPr>
                  <w:r>
                    <w:rPr>
                      <w:rFonts w:hint="eastAsia"/>
                      <w:color w:val="auto"/>
                    </w:rPr>
                    <w:t>广东省</w:t>
                  </w:r>
                  <w:r>
                    <w:rPr>
                      <w:rFonts w:hint="eastAsia"/>
                      <w:color w:val="auto"/>
                      <w:lang w:val="en-US" w:eastAsia="zh-CN"/>
                    </w:rPr>
                    <w:t>地方标准</w:t>
                  </w:r>
                  <w:r>
                    <w:rPr>
                      <w:rFonts w:hint="eastAsia"/>
                      <w:color w:val="auto"/>
                    </w:rPr>
                    <w:t>《大气污染物排放限值》(DB44/27－2001)（第二时段）无组织排放监控浓度限值</w:t>
                  </w:r>
                </w:p>
              </w:tc>
            </w:tr>
            <w:tr w14:paraId="0C8FC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1048" w:type="dxa"/>
                  <w:vMerge w:val="continue"/>
                  <w:vAlign w:val="center"/>
                </w:tcPr>
                <w:p w14:paraId="5F2C87B5">
                  <w:pPr>
                    <w:pStyle w:val="70"/>
                    <w:rPr>
                      <w:color w:val="auto"/>
                    </w:rPr>
                  </w:pPr>
                </w:p>
              </w:tc>
              <w:tc>
                <w:tcPr>
                  <w:tcW w:w="750" w:type="dxa"/>
                  <w:vMerge w:val="continue"/>
                  <w:vAlign w:val="center"/>
                </w:tcPr>
                <w:p w14:paraId="4A903EF7">
                  <w:pPr>
                    <w:pStyle w:val="70"/>
                    <w:rPr>
                      <w:color w:val="auto"/>
                    </w:rPr>
                  </w:pPr>
                </w:p>
              </w:tc>
              <w:tc>
                <w:tcPr>
                  <w:tcW w:w="1392" w:type="dxa"/>
                  <w:shd w:val="clear" w:color="auto" w:fill="auto"/>
                  <w:vAlign w:val="center"/>
                </w:tcPr>
                <w:p w14:paraId="7BF92684">
                  <w:pPr>
                    <w:pStyle w:val="70"/>
                    <w:rPr>
                      <w:color w:val="auto"/>
                    </w:rPr>
                  </w:pPr>
                  <w:r>
                    <w:rPr>
                      <w:color w:val="auto"/>
                    </w:rPr>
                    <w:t>颗粒物</w:t>
                  </w:r>
                </w:p>
              </w:tc>
              <w:tc>
                <w:tcPr>
                  <w:tcW w:w="916" w:type="dxa"/>
                  <w:vMerge w:val="continue"/>
                  <w:vAlign w:val="center"/>
                </w:tcPr>
                <w:p w14:paraId="6C249B2C">
                  <w:pPr>
                    <w:pStyle w:val="70"/>
                    <w:rPr>
                      <w:color w:val="auto"/>
                    </w:rPr>
                  </w:pPr>
                </w:p>
              </w:tc>
              <w:tc>
                <w:tcPr>
                  <w:tcW w:w="992" w:type="dxa"/>
                  <w:shd w:val="clear" w:color="auto" w:fill="auto"/>
                  <w:vAlign w:val="center"/>
                </w:tcPr>
                <w:p w14:paraId="7B493DE2">
                  <w:pPr>
                    <w:pStyle w:val="70"/>
                    <w:rPr>
                      <w:color w:val="auto"/>
                    </w:rPr>
                  </w:pPr>
                  <w:r>
                    <w:rPr>
                      <w:rFonts w:hint="eastAsia"/>
                      <w:color w:val="auto"/>
                    </w:rPr>
                    <w:t>1</w:t>
                  </w:r>
                  <w:r>
                    <w:rPr>
                      <w:color w:val="auto"/>
                    </w:rPr>
                    <w:t>.0</w:t>
                  </w:r>
                </w:p>
              </w:tc>
              <w:tc>
                <w:tcPr>
                  <w:tcW w:w="1134" w:type="dxa"/>
                  <w:vMerge w:val="continue"/>
                  <w:shd w:val="clear" w:color="auto" w:fill="auto"/>
                  <w:vAlign w:val="center"/>
                </w:tcPr>
                <w:p w14:paraId="3797CF95">
                  <w:pPr>
                    <w:pStyle w:val="70"/>
                    <w:rPr>
                      <w:color w:val="auto"/>
                    </w:rPr>
                  </w:pPr>
                </w:p>
              </w:tc>
              <w:tc>
                <w:tcPr>
                  <w:tcW w:w="2211" w:type="dxa"/>
                  <w:vMerge w:val="continue"/>
                  <w:shd w:val="clear" w:color="auto" w:fill="auto"/>
                  <w:vAlign w:val="center"/>
                </w:tcPr>
                <w:p w14:paraId="53ADFA02">
                  <w:pPr>
                    <w:pStyle w:val="70"/>
                    <w:rPr>
                      <w:color w:val="auto"/>
                    </w:rPr>
                  </w:pPr>
                </w:p>
              </w:tc>
            </w:tr>
            <w:tr w14:paraId="571D7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048" w:type="dxa"/>
                  <w:vMerge w:val="continue"/>
                  <w:vAlign w:val="center"/>
                </w:tcPr>
                <w:p w14:paraId="2D141A01">
                  <w:pPr>
                    <w:pStyle w:val="70"/>
                    <w:rPr>
                      <w:color w:val="auto"/>
                    </w:rPr>
                  </w:pPr>
                </w:p>
              </w:tc>
              <w:tc>
                <w:tcPr>
                  <w:tcW w:w="750" w:type="dxa"/>
                  <w:vMerge w:val="continue"/>
                  <w:vAlign w:val="center"/>
                </w:tcPr>
                <w:p w14:paraId="5760AD82">
                  <w:pPr>
                    <w:pStyle w:val="70"/>
                    <w:rPr>
                      <w:color w:val="auto"/>
                    </w:rPr>
                  </w:pPr>
                </w:p>
              </w:tc>
              <w:tc>
                <w:tcPr>
                  <w:tcW w:w="1392" w:type="dxa"/>
                  <w:shd w:val="clear" w:color="auto" w:fill="auto"/>
                  <w:vAlign w:val="center"/>
                </w:tcPr>
                <w:p w14:paraId="07F625E6">
                  <w:pPr>
                    <w:pStyle w:val="70"/>
                    <w:spacing w:before="74" w:line="360" w:lineRule="auto"/>
                    <w:rPr>
                      <w:color w:val="auto"/>
                    </w:rPr>
                  </w:pPr>
                  <w:r>
                    <w:rPr>
                      <w:rFonts w:hint="eastAsia"/>
                      <w:color w:val="auto"/>
                      <w:sz w:val="21"/>
                      <w:lang w:val="en-US" w:eastAsia="zh-CN"/>
                    </w:rPr>
                    <w:t>SO</w:t>
                  </w:r>
                  <w:r>
                    <w:rPr>
                      <w:rFonts w:hint="eastAsia"/>
                      <w:color w:val="auto"/>
                      <w:sz w:val="21"/>
                      <w:vertAlign w:val="subscript"/>
                      <w:lang w:val="en-US" w:eastAsia="zh-CN"/>
                    </w:rPr>
                    <w:t>2</w:t>
                  </w:r>
                </w:p>
              </w:tc>
              <w:tc>
                <w:tcPr>
                  <w:tcW w:w="916" w:type="dxa"/>
                  <w:vMerge w:val="continue"/>
                  <w:vAlign w:val="center"/>
                </w:tcPr>
                <w:p w14:paraId="653E70F7">
                  <w:pPr>
                    <w:pStyle w:val="70"/>
                    <w:rPr>
                      <w:color w:val="auto"/>
                    </w:rPr>
                  </w:pPr>
                </w:p>
              </w:tc>
              <w:tc>
                <w:tcPr>
                  <w:tcW w:w="992" w:type="dxa"/>
                  <w:shd w:val="clear" w:color="auto" w:fill="auto"/>
                  <w:vAlign w:val="center"/>
                </w:tcPr>
                <w:p w14:paraId="15FD7DA6">
                  <w:pPr>
                    <w:pStyle w:val="70"/>
                    <w:spacing w:line="360" w:lineRule="auto"/>
                    <w:rPr>
                      <w:rFonts w:hint="eastAsia"/>
                      <w:color w:val="auto"/>
                    </w:rPr>
                  </w:pPr>
                  <w:r>
                    <w:rPr>
                      <w:rFonts w:hint="eastAsia"/>
                      <w:color w:val="auto"/>
                      <w:lang w:val="en-US"/>
                    </w:rPr>
                    <w:t>1</w:t>
                  </w:r>
                  <w:r>
                    <w:rPr>
                      <w:color w:val="auto"/>
                      <w:lang w:val="en-US"/>
                    </w:rPr>
                    <w:t>.0</w:t>
                  </w:r>
                </w:p>
              </w:tc>
              <w:tc>
                <w:tcPr>
                  <w:tcW w:w="1134" w:type="dxa"/>
                  <w:vMerge w:val="continue"/>
                  <w:shd w:val="clear" w:color="auto" w:fill="auto"/>
                  <w:vAlign w:val="center"/>
                </w:tcPr>
                <w:p w14:paraId="1FB4DB7A">
                  <w:pPr>
                    <w:pStyle w:val="70"/>
                    <w:rPr>
                      <w:color w:val="auto"/>
                    </w:rPr>
                  </w:pPr>
                </w:p>
              </w:tc>
              <w:tc>
                <w:tcPr>
                  <w:tcW w:w="2211" w:type="dxa"/>
                  <w:vMerge w:val="continue"/>
                  <w:shd w:val="clear" w:color="auto" w:fill="auto"/>
                  <w:vAlign w:val="center"/>
                </w:tcPr>
                <w:p w14:paraId="22CD970B">
                  <w:pPr>
                    <w:pStyle w:val="70"/>
                    <w:rPr>
                      <w:color w:val="auto"/>
                    </w:rPr>
                  </w:pPr>
                </w:p>
              </w:tc>
            </w:tr>
            <w:tr w14:paraId="16AE7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8" w:type="dxa"/>
                  <w:vMerge w:val="continue"/>
                  <w:vAlign w:val="center"/>
                </w:tcPr>
                <w:p w14:paraId="12585137">
                  <w:pPr>
                    <w:pStyle w:val="70"/>
                    <w:rPr>
                      <w:color w:val="auto"/>
                    </w:rPr>
                  </w:pPr>
                </w:p>
              </w:tc>
              <w:tc>
                <w:tcPr>
                  <w:tcW w:w="750" w:type="dxa"/>
                  <w:vMerge w:val="continue"/>
                  <w:vAlign w:val="center"/>
                </w:tcPr>
                <w:p w14:paraId="70C1A848">
                  <w:pPr>
                    <w:pStyle w:val="70"/>
                    <w:rPr>
                      <w:color w:val="auto"/>
                    </w:rPr>
                  </w:pPr>
                </w:p>
              </w:tc>
              <w:tc>
                <w:tcPr>
                  <w:tcW w:w="1392" w:type="dxa"/>
                  <w:shd w:val="clear" w:color="auto" w:fill="auto"/>
                  <w:vAlign w:val="center"/>
                </w:tcPr>
                <w:p w14:paraId="128B94EC">
                  <w:pPr>
                    <w:pStyle w:val="70"/>
                    <w:spacing w:before="74" w:line="360" w:lineRule="auto"/>
                    <w:rPr>
                      <w:color w:val="auto"/>
                    </w:rPr>
                  </w:pPr>
                  <w:r>
                    <w:rPr>
                      <w:rFonts w:hint="eastAsia"/>
                      <w:color w:val="auto"/>
                      <w:sz w:val="21"/>
                      <w:lang w:val="en-US" w:eastAsia="zh-CN"/>
                    </w:rPr>
                    <w:t>NO</w:t>
                  </w:r>
                  <w:r>
                    <w:rPr>
                      <w:rFonts w:hint="eastAsia"/>
                      <w:color w:val="auto"/>
                      <w:sz w:val="21"/>
                      <w:vertAlign w:val="subscript"/>
                      <w:lang w:val="en-US" w:eastAsia="zh-CN"/>
                    </w:rPr>
                    <w:t>X</w:t>
                  </w:r>
                </w:p>
              </w:tc>
              <w:tc>
                <w:tcPr>
                  <w:tcW w:w="916" w:type="dxa"/>
                  <w:vMerge w:val="continue"/>
                  <w:vAlign w:val="center"/>
                </w:tcPr>
                <w:p w14:paraId="1BB7C025">
                  <w:pPr>
                    <w:pStyle w:val="70"/>
                    <w:rPr>
                      <w:color w:val="auto"/>
                    </w:rPr>
                  </w:pPr>
                </w:p>
              </w:tc>
              <w:tc>
                <w:tcPr>
                  <w:tcW w:w="992" w:type="dxa"/>
                  <w:shd w:val="clear" w:color="auto" w:fill="auto"/>
                  <w:vAlign w:val="center"/>
                </w:tcPr>
                <w:p w14:paraId="3973CEAB">
                  <w:pPr>
                    <w:pStyle w:val="70"/>
                    <w:spacing w:line="360" w:lineRule="auto"/>
                    <w:rPr>
                      <w:rFonts w:hint="eastAsia"/>
                      <w:color w:val="auto"/>
                    </w:rPr>
                  </w:pPr>
                  <w:r>
                    <w:rPr>
                      <w:rFonts w:hint="eastAsia"/>
                      <w:color w:val="auto"/>
                      <w:lang w:val="en-US"/>
                    </w:rPr>
                    <w:t>0</w:t>
                  </w:r>
                  <w:r>
                    <w:rPr>
                      <w:color w:val="auto"/>
                      <w:lang w:val="en-US"/>
                    </w:rPr>
                    <w:t>.4</w:t>
                  </w:r>
                </w:p>
              </w:tc>
              <w:tc>
                <w:tcPr>
                  <w:tcW w:w="1134" w:type="dxa"/>
                  <w:vMerge w:val="continue"/>
                  <w:shd w:val="clear" w:color="auto" w:fill="auto"/>
                  <w:vAlign w:val="center"/>
                </w:tcPr>
                <w:p w14:paraId="05CEB880">
                  <w:pPr>
                    <w:pStyle w:val="70"/>
                    <w:rPr>
                      <w:color w:val="auto"/>
                    </w:rPr>
                  </w:pPr>
                </w:p>
              </w:tc>
              <w:tc>
                <w:tcPr>
                  <w:tcW w:w="2211" w:type="dxa"/>
                  <w:vMerge w:val="continue"/>
                  <w:shd w:val="clear" w:color="auto" w:fill="auto"/>
                  <w:vAlign w:val="center"/>
                </w:tcPr>
                <w:p w14:paraId="44A5DEB1">
                  <w:pPr>
                    <w:pStyle w:val="70"/>
                    <w:rPr>
                      <w:color w:val="auto"/>
                    </w:rPr>
                  </w:pPr>
                </w:p>
              </w:tc>
            </w:tr>
            <w:tr w14:paraId="1A8F7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vMerge w:val="continue"/>
                  <w:vAlign w:val="center"/>
                </w:tcPr>
                <w:p w14:paraId="775428E7">
                  <w:pPr>
                    <w:pStyle w:val="70"/>
                    <w:rPr>
                      <w:color w:val="auto"/>
                    </w:rPr>
                  </w:pPr>
                </w:p>
              </w:tc>
              <w:tc>
                <w:tcPr>
                  <w:tcW w:w="750" w:type="dxa"/>
                  <w:vMerge w:val="continue"/>
                  <w:vAlign w:val="center"/>
                </w:tcPr>
                <w:p w14:paraId="0C123FEF">
                  <w:pPr>
                    <w:pStyle w:val="70"/>
                    <w:rPr>
                      <w:color w:val="auto"/>
                    </w:rPr>
                  </w:pPr>
                </w:p>
              </w:tc>
              <w:tc>
                <w:tcPr>
                  <w:tcW w:w="1392" w:type="dxa"/>
                  <w:shd w:val="clear" w:color="auto" w:fill="auto"/>
                  <w:vAlign w:val="center"/>
                </w:tcPr>
                <w:p w14:paraId="21C723E4">
                  <w:pPr>
                    <w:pStyle w:val="70"/>
                    <w:rPr>
                      <w:color w:val="auto"/>
                    </w:rPr>
                  </w:pPr>
                  <w:r>
                    <w:rPr>
                      <w:color w:val="auto"/>
                    </w:rPr>
                    <w:t>臭气浓度</w:t>
                  </w:r>
                </w:p>
              </w:tc>
              <w:tc>
                <w:tcPr>
                  <w:tcW w:w="916" w:type="dxa"/>
                  <w:vMerge w:val="continue"/>
                  <w:vAlign w:val="center"/>
                </w:tcPr>
                <w:p w14:paraId="31153C17">
                  <w:pPr>
                    <w:pStyle w:val="70"/>
                    <w:rPr>
                      <w:color w:val="auto"/>
                    </w:rPr>
                  </w:pPr>
                </w:p>
              </w:tc>
              <w:tc>
                <w:tcPr>
                  <w:tcW w:w="992" w:type="dxa"/>
                  <w:shd w:val="clear" w:color="auto" w:fill="auto"/>
                  <w:vAlign w:val="center"/>
                </w:tcPr>
                <w:p w14:paraId="53E50D40">
                  <w:pPr>
                    <w:pStyle w:val="70"/>
                    <w:rPr>
                      <w:color w:val="auto"/>
                    </w:rPr>
                  </w:pPr>
                  <w:r>
                    <w:rPr>
                      <w:rFonts w:hint="eastAsia"/>
                      <w:color w:val="auto"/>
                    </w:rPr>
                    <w:t>2</w:t>
                  </w:r>
                  <w:r>
                    <w:rPr>
                      <w:color w:val="auto"/>
                    </w:rPr>
                    <w:t>0</w:t>
                  </w:r>
                  <w:r>
                    <w:rPr>
                      <w:rFonts w:hint="eastAsia"/>
                      <w:color w:val="auto"/>
                    </w:rPr>
                    <w:t>（无量纲）</w:t>
                  </w:r>
                </w:p>
              </w:tc>
              <w:tc>
                <w:tcPr>
                  <w:tcW w:w="1134" w:type="dxa"/>
                  <w:vMerge w:val="continue"/>
                  <w:shd w:val="clear" w:color="auto" w:fill="auto"/>
                  <w:vAlign w:val="center"/>
                </w:tcPr>
                <w:p w14:paraId="5DD87DAC">
                  <w:pPr>
                    <w:pStyle w:val="70"/>
                    <w:rPr>
                      <w:color w:val="auto"/>
                    </w:rPr>
                  </w:pPr>
                </w:p>
              </w:tc>
              <w:tc>
                <w:tcPr>
                  <w:tcW w:w="2211" w:type="dxa"/>
                  <w:shd w:val="clear" w:color="auto" w:fill="auto"/>
                  <w:vAlign w:val="center"/>
                </w:tcPr>
                <w:p w14:paraId="1F2C5573">
                  <w:pPr>
                    <w:pStyle w:val="70"/>
                    <w:rPr>
                      <w:color w:val="auto"/>
                    </w:rPr>
                  </w:pPr>
                  <w:r>
                    <w:rPr>
                      <w:color w:val="auto"/>
                    </w:rPr>
                    <w:t>《恶臭污染物排放标准》（GB14554-93）表1恶臭污染物厂界标准值</w:t>
                  </w:r>
                </w:p>
              </w:tc>
            </w:tr>
            <w:tr w14:paraId="4F8FF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vMerge w:val="restart"/>
                  <w:vAlign w:val="center"/>
                </w:tcPr>
                <w:p w14:paraId="004C8232">
                  <w:pPr>
                    <w:pStyle w:val="70"/>
                    <w:rPr>
                      <w:color w:val="auto"/>
                    </w:rPr>
                  </w:pPr>
                  <w:r>
                    <w:rPr>
                      <w:rFonts w:hint="eastAsia"/>
                      <w:color w:val="auto"/>
                      <w:lang w:val="en-US"/>
                    </w:rPr>
                    <w:t>厂区内无组织废气</w:t>
                  </w:r>
                </w:p>
              </w:tc>
              <w:tc>
                <w:tcPr>
                  <w:tcW w:w="750" w:type="dxa"/>
                  <w:vMerge w:val="restart"/>
                  <w:vAlign w:val="center"/>
                </w:tcPr>
                <w:p w14:paraId="2B3B639A">
                  <w:pPr>
                    <w:pStyle w:val="70"/>
                    <w:rPr>
                      <w:color w:val="auto"/>
                    </w:rPr>
                  </w:pPr>
                  <w:r>
                    <w:rPr>
                      <w:rFonts w:hint="eastAsia"/>
                      <w:color w:val="auto"/>
                    </w:rPr>
                    <w:t>/</w:t>
                  </w:r>
                </w:p>
              </w:tc>
              <w:tc>
                <w:tcPr>
                  <w:tcW w:w="1392" w:type="dxa"/>
                  <w:vMerge w:val="restart"/>
                  <w:shd w:val="clear" w:color="auto" w:fill="auto"/>
                  <w:vAlign w:val="center"/>
                </w:tcPr>
                <w:p w14:paraId="5A1334DC">
                  <w:pPr>
                    <w:pStyle w:val="70"/>
                    <w:rPr>
                      <w:color w:val="auto"/>
                    </w:rPr>
                  </w:pPr>
                  <w:r>
                    <w:rPr>
                      <w:rFonts w:hint="eastAsia"/>
                      <w:color w:val="auto"/>
                    </w:rPr>
                    <w:t>非甲烷总烃</w:t>
                  </w:r>
                </w:p>
              </w:tc>
              <w:tc>
                <w:tcPr>
                  <w:tcW w:w="916" w:type="dxa"/>
                  <w:vMerge w:val="restart"/>
                  <w:vAlign w:val="center"/>
                </w:tcPr>
                <w:p w14:paraId="24C679E9">
                  <w:pPr>
                    <w:pStyle w:val="70"/>
                    <w:rPr>
                      <w:color w:val="auto"/>
                    </w:rPr>
                  </w:pPr>
                  <w:r>
                    <w:rPr>
                      <w:rFonts w:hint="eastAsia"/>
                      <w:color w:val="auto"/>
                    </w:rPr>
                    <w:t>/</w:t>
                  </w:r>
                </w:p>
              </w:tc>
              <w:tc>
                <w:tcPr>
                  <w:tcW w:w="992" w:type="dxa"/>
                  <w:shd w:val="clear" w:color="auto" w:fill="auto"/>
                  <w:vAlign w:val="center"/>
                </w:tcPr>
                <w:p w14:paraId="3F5C6728">
                  <w:pPr>
                    <w:pStyle w:val="70"/>
                    <w:rPr>
                      <w:color w:val="auto"/>
                    </w:rPr>
                  </w:pPr>
                  <w:r>
                    <w:rPr>
                      <w:color w:val="auto"/>
                    </w:rPr>
                    <w:t>6</w:t>
                  </w:r>
                  <w:r>
                    <w:rPr>
                      <w:rFonts w:hint="eastAsia"/>
                      <w:color w:val="auto"/>
                    </w:rPr>
                    <w:t>（</w:t>
                  </w:r>
                  <w:r>
                    <w:rPr>
                      <w:rFonts w:hint="eastAsia"/>
                      <w:color w:val="auto"/>
                      <w:lang w:val="en-US"/>
                    </w:rPr>
                    <w:t>监控点处1h平均浓度值</w:t>
                  </w:r>
                  <w:r>
                    <w:rPr>
                      <w:rFonts w:hint="eastAsia"/>
                      <w:color w:val="auto"/>
                    </w:rPr>
                    <w:t>）</w:t>
                  </w:r>
                </w:p>
              </w:tc>
              <w:tc>
                <w:tcPr>
                  <w:tcW w:w="1134" w:type="dxa"/>
                  <w:vMerge w:val="restart"/>
                  <w:shd w:val="clear" w:color="auto" w:fill="auto"/>
                  <w:vAlign w:val="center"/>
                </w:tcPr>
                <w:p w14:paraId="1D77451F">
                  <w:pPr>
                    <w:pStyle w:val="70"/>
                    <w:rPr>
                      <w:color w:val="auto"/>
                    </w:rPr>
                  </w:pPr>
                  <w:r>
                    <w:rPr>
                      <w:rFonts w:hint="eastAsia"/>
                      <w:color w:val="auto"/>
                    </w:rPr>
                    <w:t>/</w:t>
                  </w:r>
                </w:p>
              </w:tc>
              <w:tc>
                <w:tcPr>
                  <w:tcW w:w="2211" w:type="dxa"/>
                  <w:vMerge w:val="restart"/>
                  <w:shd w:val="clear" w:color="auto" w:fill="auto"/>
                  <w:vAlign w:val="center"/>
                </w:tcPr>
                <w:p w14:paraId="3A20E7C8">
                  <w:pPr>
                    <w:pStyle w:val="70"/>
                    <w:rPr>
                      <w:color w:val="auto"/>
                    </w:rPr>
                  </w:pPr>
                  <w:r>
                    <w:rPr>
                      <w:rFonts w:hint="eastAsia"/>
                      <w:color w:val="auto"/>
                    </w:rPr>
                    <w:t>广东省地方标准《固定污染源挥发性有机物综合排放标准》（DB44/2</w:t>
                  </w:r>
                  <w:r>
                    <w:rPr>
                      <w:rFonts w:hint="eastAsia"/>
                      <w:color w:val="auto"/>
                      <w:lang w:val="en-US" w:eastAsia="zh-CN"/>
                    </w:rPr>
                    <w:t>36</w:t>
                  </w:r>
                  <w:r>
                    <w:rPr>
                      <w:rFonts w:hint="eastAsia"/>
                      <w:color w:val="auto"/>
                    </w:rPr>
                    <w:t>7-20</w:t>
                  </w:r>
                  <w:r>
                    <w:rPr>
                      <w:rFonts w:hint="eastAsia"/>
                      <w:color w:val="auto"/>
                      <w:lang w:val="en-US" w:eastAsia="zh-CN"/>
                    </w:rPr>
                    <w:t>22</w:t>
                  </w:r>
                  <w:r>
                    <w:rPr>
                      <w:rFonts w:hint="eastAsia"/>
                      <w:color w:val="auto"/>
                    </w:rPr>
                    <w:t>）表</w:t>
                  </w:r>
                  <w:r>
                    <w:rPr>
                      <w:rFonts w:hint="eastAsia"/>
                      <w:color w:val="auto"/>
                      <w:lang w:val="en-US" w:eastAsia="zh-CN"/>
                    </w:rPr>
                    <w:t>3</w:t>
                  </w:r>
                  <w:r>
                    <w:rPr>
                      <w:rFonts w:hint="eastAsia"/>
                      <w:color w:val="auto"/>
                    </w:rPr>
                    <w:t>厂区内VOCs无组织排放限值</w:t>
                  </w:r>
                </w:p>
              </w:tc>
            </w:tr>
            <w:tr w14:paraId="51373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vMerge w:val="continue"/>
                  <w:vAlign w:val="center"/>
                </w:tcPr>
                <w:p w14:paraId="7B940A36">
                  <w:pPr>
                    <w:pStyle w:val="70"/>
                    <w:rPr>
                      <w:color w:val="auto"/>
                      <w:lang w:val="en-US"/>
                    </w:rPr>
                  </w:pPr>
                </w:p>
              </w:tc>
              <w:tc>
                <w:tcPr>
                  <w:tcW w:w="750" w:type="dxa"/>
                  <w:vMerge w:val="continue"/>
                  <w:vAlign w:val="center"/>
                </w:tcPr>
                <w:p w14:paraId="18EF822C">
                  <w:pPr>
                    <w:pStyle w:val="70"/>
                    <w:rPr>
                      <w:color w:val="auto"/>
                    </w:rPr>
                  </w:pPr>
                </w:p>
              </w:tc>
              <w:tc>
                <w:tcPr>
                  <w:tcW w:w="1392" w:type="dxa"/>
                  <w:vMerge w:val="continue"/>
                  <w:shd w:val="clear" w:color="auto" w:fill="auto"/>
                  <w:vAlign w:val="center"/>
                </w:tcPr>
                <w:p w14:paraId="78D0DAE7">
                  <w:pPr>
                    <w:pStyle w:val="70"/>
                    <w:rPr>
                      <w:color w:val="auto"/>
                    </w:rPr>
                  </w:pPr>
                </w:p>
              </w:tc>
              <w:tc>
                <w:tcPr>
                  <w:tcW w:w="916" w:type="dxa"/>
                  <w:vMerge w:val="continue"/>
                  <w:vAlign w:val="center"/>
                </w:tcPr>
                <w:p w14:paraId="22F6B363">
                  <w:pPr>
                    <w:pStyle w:val="70"/>
                    <w:rPr>
                      <w:color w:val="auto"/>
                    </w:rPr>
                  </w:pPr>
                </w:p>
              </w:tc>
              <w:tc>
                <w:tcPr>
                  <w:tcW w:w="992" w:type="dxa"/>
                  <w:shd w:val="clear" w:color="auto" w:fill="auto"/>
                  <w:vAlign w:val="center"/>
                </w:tcPr>
                <w:p w14:paraId="52F35ADB">
                  <w:pPr>
                    <w:pStyle w:val="70"/>
                    <w:rPr>
                      <w:color w:val="auto"/>
                    </w:rPr>
                  </w:pPr>
                  <w:r>
                    <w:rPr>
                      <w:color w:val="auto"/>
                      <w:lang w:val="en-US"/>
                    </w:rPr>
                    <w:t>20</w:t>
                  </w:r>
                  <w:r>
                    <w:rPr>
                      <w:rFonts w:hint="eastAsia"/>
                      <w:color w:val="auto"/>
                      <w:lang w:val="en-US"/>
                    </w:rPr>
                    <w:t>（监控点处任意一点的浓度值）</w:t>
                  </w:r>
                </w:p>
              </w:tc>
              <w:tc>
                <w:tcPr>
                  <w:tcW w:w="1134" w:type="dxa"/>
                  <w:vMerge w:val="continue"/>
                  <w:shd w:val="clear" w:color="auto" w:fill="auto"/>
                  <w:vAlign w:val="center"/>
                </w:tcPr>
                <w:p w14:paraId="285B95B5">
                  <w:pPr>
                    <w:pStyle w:val="70"/>
                    <w:rPr>
                      <w:color w:val="auto"/>
                    </w:rPr>
                  </w:pPr>
                </w:p>
              </w:tc>
              <w:tc>
                <w:tcPr>
                  <w:tcW w:w="2211" w:type="dxa"/>
                  <w:vMerge w:val="continue"/>
                  <w:shd w:val="clear" w:color="auto" w:fill="auto"/>
                  <w:vAlign w:val="center"/>
                </w:tcPr>
                <w:p w14:paraId="30FA6478">
                  <w:pPr>
                    <w:pStyle w:val="70"/>
                    <w:rPr>
                      <w:color w:val="auto"/>
                    </w:rPr>
                  </w:pPr>
                </w:p>
              </w:tc>
            </w:tr>
            <w:tr w14:paraId="384E2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dxa"/>
                  <w:vMerge w:val="continue"/>
                  <w:vAlign w:val="center"/>
                </w:tcPr>
                <w:p w14:paraId="424AD4F0">
                  <w:pPr>
                    <w:pStyle w:val="70"/>
                    <w:rPr>
                      <w:color w:val="auto"/>
                      <w:lang w:val="en-US"/>
                    </w:rPr>
                  </w:pPr>
                </w:p>
              </w:tc>
              <w:tc>
                <w:tcPr>
                  <w:tcW w:w="750" w:type="dxa"/>
                  <w:vMerge w:val="continue"/>
                  <w:vAlign w:val="center"/>
                </w:tcPr>
                <w:p w14:paraId="1623E9A7">
                  <w:pPr>
                    <w:pStyle w:val="70"/>
                    <w:rPr>
                      <w:color w:val="auto"/>
                    </w:rPr>
                  </w:pPr>
                </w:p>
              </w:tc>
              <w:tc>
                <w:tcPr>
                  <w:tcW w:w="1392" w:type="dxa"/>
                  <w:shd w:val="clear" w:color="auto" w:fill="auto"/>
                  <w:vAlign w:val="center"/>
                </w:tcPr>
                <w:p w14:paraId="2B778EB8">
                  <w:pPr>
                    <w:pStyle w:val="70"/>
                    <w:rPr>
                      <w:color w:val="auto"/>
                    </w:rPr>
                  </w:pPr>
                  <w:r>
                    <w:rPr>
                      <w:color w:val="auto"/>
                    </w:rPr>
                    <w:t>颗粒物</w:t>
                  </w:r>
                </w:p>
              </w:tc>
              <w:tc>
                <w:tcPr>
                  <w:tcW w:w="916" w:type="dxa"/>
                  <w:vMerge w:val="continue"/>
                  <w:vAlign w:val="center"/>
                </w:tcPr>
                <w:p w14:paraId="1BFA4DD5">
                  <w:pPr>
                    <w:pStyle w:val="70"/>
                    <w:rPr>
                      <w:color w:val="auto"/>
                    </w:rPr>
                  </w:pPr>
                </w:p>
              </w:tc>
              <w:tc>
                <w:tcPr>
                  <w:tcW w:w="992" w:type="dxa"/>
                  <w:shd w:val="clear" w:color="auto" w:fill="auto"/>
                  <w:vAlign w:val="center"/>
                </w:tcPr>
                <w:p w14:paraId="37FB11CC">
                  <w:pPr>
                    <w:pStyle w:val="70"/>
                    <w:rPr>
                      <w:color w:val="auto"/>
                      <w:lang w:val="en-US"/>
                    </w:rPr>
                  </w:pPr>
                  <w:r>
                    <w:rPr>
                      <w:rFonts w:hint="eastAsia"/>
                      <w:color w:val="auto"/>
                      <w:lang w:val="en-US"/>
                    </w:rPr>
                    <w:t>5</w:t>
                  </w:r>
                </w:p>
              </w:tc>
              <w:tc>
                <w:tcPr>
                  <w:tcW w:w="1134" w:type="dxa"/>
                  <w:vMerge w:val="continue"/>
                  <w:shd w:val="clear" w:color="auto" w:fill="auto"/>
                  <w:vAlign w:val="center"/>
                </w:tcPr>
                <w:p w14:paraId="52453834">
                  <w:pPr>
                    <w:pStyle w:val="70"/>
                    <w:rPr>
                      <w:color w:val="auto"/>
                    </w:rPr>
                  </w:pPr>
                </w:p>
              </w:tc>
              <w:tc>
                <w:tcPr>
                  <w:tcW w:w="2211" w:type="dxa"/>
                  <w:shd w:val="clear" w:color="auto" w:fill="auto"/>
                  <w:vAlign w:val="center"/>
                </w:tcPr>
                <w:p w14:paraId="55CFA055">
                  <w:pPr>
                    <w:pStyle w:val="70"/>
                    <w:rPr>
                      <w:color w:val="auto"/>
                    </w:rPr>
                  </w:pPr>
                  <w:r>
                    <w:rPr>
                      <w:rFonts w:hint="eastAsia"/>
                      <w:color w:val="auto"/>
                    </w:rPr>
                    <w:t>《工业炉窑大气污染物排放标准》（GB9078-1996）表3其他炉窑</w:t>
                  </w:r>
                  <w:r>
                    <w:rPr>
                      <w:rFonts w:hint="eastAsia" w:ascii="Times New Roman" w:hAnsi="Times New Roman" w:cs="Times New Roman"/>
                      <w:color w:val="auto"/>
                      <w:sz w:val="21"/>
                      <w:szCs w:val="21"/>
                      <w:highlight w:val="none"/>
                      <w:lang w:val="en-US" w:eastAsia="zh-CN"/>
                    </w:rPr>
                    <w:t>无组织排放烟（粉）尘最高允许</w:t>
                  </w:r>
                  <w:r>
                    <w:rPr>
                      <w:rFonts w:hint="eastAsia"/>
                      <w:color w:val="auto"/>
                    </w:rPr>
                    <w:t>浓度</w:t>
                  </w:r>
                </w:p>
              </w:tc>
            </w:tr>
          </w:tbl>
          <w:p w14:paraId="288561CF">
            <w:pPr>
              <w:pStyle w:val="157"/>
              <w:ind w:firstLine="0" w:firstLineChars="0"/>
              <w:rPr>
                <w:b/>
                <w:color w:val="auto"/>
                <w:sz w:val="21"/>
                <w:szCs w:val="21"/>
                <w:lang w:val="en-US"/>
              </w:rPr>
            </w:pPr>
            <w:r>
              <w:rPr>
                <w:rFonts w:hint="eastAsia"/>
                <w:color w:val="auto"/>
                <w:sz w:val="21"/>
                <w:szCs w:val="21"/>
              </w:rPr>
              <w:t>注：</w:t>
            </w:r>
            <w:r>
              <w:rPr>
                <w:rFonts w:hint="eastAsia"/>
                <w:color w:val="auto"/>
                <w:sz w:val="21"/>
                <w:szCs w:val="21"/>
                <w:lang w:val="en-US" w:eastAsia="zh-CN"/>
              </w:rPr>
              <w:t>根据</w:t>
            </w:r>
            <w:r>
              <w:rPr>
                <w:rFonts w:hint="eastAsia"/>
                <w:color w:val="auto"/>
                <w:sz w:val="21"/>
                <w:szCs w:val="21"/>
              </w:rPr>
              <w:t>广东省地方标准《大气污染物排放限值》（DB44/27-2001）</w:t>
            </w:r>
            <w:r>
              <w:rPr>
                <w:rFonts w:hint="eastAsia"/>
                <w:color w:val="auto"/>
                <w:lang w:eastAsia="zh-CN"/>
              </w:rPr>
              <w:t>，“</w:t>
            </w:r>
            <w:r>
              <w:rPr>
                <w:rFonts w:hint="eastAsia"/>
                <w:color w:val="auto"/>
                <w:sz w:val="21"/>
                <w:szCs w:val="21"/>
                <w:lang w:eastAsia="zh-CN"/>
              </w:rPr>
              <w:t>排气筒高度除应遵守表列排放速率限值外，还应高出周围 200 m 半径范围的建筑 5 m 以上，不能达到该要求的排气筒，应按其高度对应的排放速率限值的 50％执行</w:t>
            </w:r>
            <w:r>
              <w:rPr>
                <w:rFonts w:hint="eastAsia"/>
                <w:color w:val="auto"/>
                <w:lang w:eastAsia="zh-CN"/>
              </w:rPr>
              <w:t>”，</w:t>
            </w:r>
            <w:r>
              <w:rPr>
                <w:rFonts w:hint="eastAsia"/>
                <w:color w:val="auto"/>
                <w:sz w:val="21"/>
                <w:szCs w:val="21"/>
                <w:lang w:val="en-US"/>
              </w:rPr>
              <w:t>本项目的烟囱</w:t>
            </w:r>
            <w:r>
              <w:rPr>
                <w:rFonts w:hint="eastAsia"/>
                <w:color w:val="auto"/>
                <w:sz w:val="21"/>
                <w:szCs w:val="21"/>
                <w:lang w:val="en-US" w:eastAsia="zh-CN"/>
              </w:rPr>
              <w:t>(G1)</w:t>
            </w:r>
            <w:r>
              <w:rPr>
                <w:rFonts w:hint="eastAsia"/>
                <w:color w:val="auto"/>
                <w:sz w:val="21"/>
                <w:szCs w:val="21"/>
                <w:lang w:val="en-US"/>
              </w:rPr>
              <w:t>未能高出周围200m半径范围的建筑5m以上，因此有组织排放速率限值按其对应的排放速率限值的50％执行。</w:t>
            </w:r>
          </w:p>
          <w:p w14:paraId="691227C5">
            <w:pPr>
              <w:pStyle w:val="157"/>
              <w:ind w:firstLine="0" w:firstLineChars="0"/>
              <w:rPr>
                <w:b/>
                <w:color w:val="auto"/>
                <w:sz w:val="21"/>
                <w:szCs w:val="21"/>
              </w:rPr>
            </w:pPr>
            <w:r>
              <w:rPr>
                <w:rFonts w:hint="eastAsia"/>
                <w:b/>
                <w:color w:val="auto"/>
                <w:sz w:val="21"/>
                <w:szCs w:val="21"/>
              </w:rPr>
              <w:t>2、水污染物排放标准</w:t>
            </w:r>
          </w:p>
          <w:p w14:paraId="7C9CA14B">
            <w:pPr>
              <w:pStyle w:val="108"/>
              <w:ind w:left="210" w:leftChars="0" w:firstLineChars="0"/>
              <w:rPr>
                <w:color w:val="auto"/>
                <w:szCs w:val="21"/>
              </w:rPr>
            </w:pPr>
            <w:r>
              <w:rPr>
                <w:rFonts w:hint="eastAsia"/>
                <w:color w:val="auto"/>
                <w:szCs w:val="21"/>
              </w:rPr>
              <w:t>项目水污染物排放标准</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6"/>
              <w:gridCol w:w="2161"/>
              <w:gridCol w:w="2315"/>
              <w:gridCol w:w="2391"/>
            </w:tblGrid>
            <w:tr w14:paraId="45256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pct"/>
                  <w:vAlign w:val="center"/>
                </w:tcPr>
                <w:p w14:paraId="4626E0F8">
                  <w:pPr>
                    <w:pStyle w:val="70"/>
                    <w:rPr>
                      <w:color w:val="auto"/>
                    </w:rPr>
                  </w:pPr>
                  <w:r>
                    <w:rPr>
                      <w:rFonts w:hint="eastAsia"/>
                      <w:color w:val="auto"/>
                    </w:rPr>
                    <w:t>废水类型</w:t>
                  </w:r>
                </w:p>
              </w:tc>
              <w:tc>
                <w:tcPr>
                  <w:tcW w:w="1280" w:type="pct"/>
                  <w:vAlign w:val="center"/>
                </w:tcPr>
                <w:p w14:paraId="5F659681">
                  <w:pPr>
                    <w:pStyle w:val="70"/>
                    <w:rPr>
                      <w:color w:val="auto"/>
                    </w:rPr>
                  </w:pPr>
                  <w:r>
                    <w:rPr>
                      <w:rFonts w:hint="eastAsia"/>
                      <w:color w:val="auto"/>
                    </w:rPr>
                    <w:t>污染因子</w:t>
                  </w:r>
                </w:p>
              </w:tc>
              <w:tc>
                <w:tcPr>
                  <w:tcW w:w="1371" w:type="pct"/>
                  <w:vAlign w:val="center"/>
                </w:tcPr>
                <w:p w14:paraId="64CEB971">
                  <w:pPr>
                    <w:pStyle w:val="70"/>
                    <w:rPr>
                      <w:color w:val="auto"/>
                    </w:rPr>
                  </w:pPr>
                  <w:r>
                    <w:rPr>
                      <w:rFonts w:hint="eastAsia"/>
                      <w:color w:val="auto"/>
                    </w:rPr>
                    <w:t>排放</w:t>
                  </w:r>
                  <w:r>
                    <w:rPr>
                      <w:color w:val="auto"/>
                    </w:rPr>
                    <w:t>限值</w:t>
                  </w:r>
                  <w:r>
                    <w:rPr>
                      <w:rFonts w:hint="eastAsia"/>
                      <w:color w:val="auto"/>
                      <w:szCs w:val="21"/>
                    </w:rPr>
                    <w:t>mg/L</w:t>
                  </w:r>
                </w:p>
              </w:tc>
              <w:tc>
                <w:tcPr>
                  <w:tcW w:w="1416" w:type="pct"/>
                </w:tcPr>
                <w:p w14:paraId="1D63406B">
                  <w:pPr>
                    <w:pStyle w:val="70"/>
                    <w:rPr>
                      <w:color w:val="auto"/>
                    </w:rPr>
                  </w:pPr>
                  <w:r>
                    <w:rPr>
                      <w:rFonts w:hint="eastAsia"/>
                      <w:color w:val="auto"/>
                    </w:rPr>
                    <w:t>排放</w:t>
                  </w:r>
                  <w:r>
                    <w:rPr>
                      <w:color w:val="auto"/>
                    </w:rPr>
                    <w:t>标准</w:t>
                  </w:r>
                </w:p>
              </w:tc>
            </w:tr>
            <w:tr w14:paraId="2EB7B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pct"/>
                  <w:vMerge w:val="restart"/>
                  <w:vAlign w:val="center"/>
                </w:tcPr>
                <w:p w14:paraId="1E9DC348">
                  <w:pPr>
                    <w:pStyle w:val="70"/>
                    <w:rPr>
                      <w:color w:val="auto"/>
                    </w:rPr>
                  </w:pPr>
                  <w:r>
                    <w:rPr>
                      <w:color w:val="auto"/>
                    </w:rPr>
                    <w:t>生活污水</w:t>
                  </w:r>
                </w:p>
              </w:tc>
              <w:tc>
                <w:tcPr>
                  <w:tcW w:w="1280" w:type="pct"/>
                  <w:vAlign w:val="center"/>
                </w:tcPr>
                <w:p w14:paraId="7BE19877">
                  <w:pPr>
                    <w:pStyle w:val="70"/>
                    <w:rPr>
                      <w:color w:val="auto"/>
                    </w:rPr>
                  </w:pPr>
                  <w:r>
                    <w:rPr>
                      <w:rFonts w:hint="eastAsia"/>
                      <w:color w:val="auto"/>
                    </w:rPr>
                    <w:t>pH值</w:t>
                  </w:r>
                </w:p>
              </w:tc>
              <w:tc>
                <w:tcPr>
                  <w:tcW w:w="1371" w:type="pct"/>
                  <w:vAlign w:val="center"/>
                </w:tcPr>
                <w:p w14:paraId="67DEAC36">
                  <w:pPr>
                    <w:pStyle w:val="70"/>
                    <w:rPr>
                      <w:rFonts w:hint="default" w:eastAsia="宋体"/>
                      <w:color w:val="auto"/>
                      <w:lang w:val="en-US" w:eastAsia="zh-CN"/>
                    </w:rPr>
                  </w:pPr>
                  <w:r>
                    <w:rPr>
                      <w:color w:val="auto"/>
                    </w:rPr>
                    <w:t>6~9</w:t>
                  </w:r>
                  <w:r>
                    <w:rPr>
                      <w:rFonts w:hint="eastAsia"/>
                      <w:color w:val="auto"/>
                      <w:lang w:val="en-US" w:eastAsia="zh-CN"/>
                    </w:rPr>
                    <w:t>(无量纲)</w:t>
                  </w:r>
                </w:p>
              </w:tc>
              <w:tc>
                <w:tcPr>
                  <w:tcW w:w="1416" w:type="pct"/>
                  <w:vMerge w:val="restart"/>
                  <w:vAlign w:val="center"/>
                </w:tcPr>
                <w:p w14:paraId="259EE5CF">
                  <w:pPr>
                    <w:pStyle w:val="70"/>
                    <w:rPr>
                      <w:color w:val="auto"/>
                    </w:rPr>
                  </w:pPr>
                  <w:r>
                    <w:rPr>
                      <w:rFonts w:hint="eastAsia"/>
                      <w:color w:val="auto"/>
                    </w:rPr>
                    <w:t>广东省《水污染物排放限值》(DB44/26-2001)第二时段三级标准</w:t>
                  </w:r>
                </w:p>
              </w:tc>
            </w:tr>
            <w:tr w14:paraId="677DB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pct"/>
                  <w:vMerge w:val="continue"/>
                  <w:vAlign w:val="center"/>
                </w:tcPr>
                <w:p w14:paraId="34F8C89E">
                  <w:pPr>
                    <w:pStyle w:val="70"/>
                    <w:rPr>
                      <w:color w:val="auto"/>
                    </w:rPr>
                  </w:pPr>
                </w:p>
              </w:tc>
              <w:tc>
                <w:tcPr>
                  <w:tcW w:w="1280" w:type="pct"/>
                  <w:vAlign w:val="center"/>
                </w:tcPr>
                <w:p w14:paraId="54087F38">
                  <w:pPr>
                    <w:pStyle w:val="70"/>
                    <w:rPr>
                      <w:color w:val="auto"/>
                    </w:rPr>
                  </w:pPr>
                  <w:r>
                    <w:rPr>
                      <w:color w:val="auto"/>
                    </w:rPr>
                    <w:t>CODcr</w:t>
                  </w:r>
                </w:p>
              </w:tc>
              <w:tc>
                <w:tcPr>
                  <w:tcW w:w="1371" w:type="pct"/>
                  <w:vAlign w:val="center"/>
                </w:tcPr>
                <w:p w14:paraId="4FB10F25">
                  <w:pPr>
                    <w:pStyle w:val="70"/>
                    <w:rPr>
                      <w:color w:val="auto"/>
                    </w:rPr>
                  </w:pPr>
                  <w:r>
                    <w:rPr>
                      <w:rFonts w:hint="eastAsia"/>
                      <w:color w:val="auto"/>
                    </w:rPr>
                    <w:t>5</w:t>
                  </w:r>
                  <w:r>
                    <w:rPr>
                      <w:color w:val="auto"/>
                    </w:rPr>
                    <w:t>00</w:t>
                  </w:r>
                </w:p>
              </w:tc>
              <w:tc>
                <w:tcPr>
                  <w:tcW w:w="1416" w:type="pct"/>
                  <w:vMerge w:val="continue"/>
                </w:tcPr>
                <w:p w14:paraId="779534A6">
                  <w:pPr>
                    <w:pStyle w:val="70"/>
                    <w:rPr>
                      <w:color w:val="auto"/>
                    </w:rPr>
                  </w:pPr>
                </w:p>
              </w:tc>
            </w:tr>
            <w:tr w14:paraId="4E3C1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pct"/>
                  <w:vMerge w:val="continue"/>
                  <w:vAlign w:val="center"/>
                </w:tcPr>
                <w:p w14:paraId="7A757940">
                  <w:pPr>
                    <w:pStyle w:val="70"/>
                    <w:rPr>
                      <w:color w:val="auto"/>
                    </w:rPr>
                  </w:pPr>
                </w:p>
              </w:tc>
              <w:tc>
                <w:tcPr>
                  <w:tcW w:w="1280" w:type="pct"/>
                  <w:vAlign w:val="center"/>
                </w:tcPr>
                <w:p w14:paraId="4BDEB8AC">
                  <w:pPr>
                    <w:pStyle w:val="70"/>
                    <w:rPr>
                      <w:rFonts w:eastAsiaTheme="minorEastAsia"/>
                      <w:color w:val="auto"/>
                    </w:rPr>
                  </w:pPr>
                  <w:r>
                    <w:rPr>
                      <w:rFonts w:eastAsiaTheme="minorEastAsia"/>
                      <w:color w:val="auto"/>
                    </w:rPr>
                    <w:t>BOD</w:t>
                  </w:r>
                  <w:r>
                    <w:rPr>
                      <w:rFonts w:eastAsiaTheme="minorEastAsia"/>
                      <w:color w:val="auto"/>
                      <w:vertAlign w:val="subscript"/>
                    </w:rPr>
                    <w:t>5</w:t>
                  </w:r>
                </w:p>
              </w:tc>
              <w:tc>
                <w:tcPr>
                  <w:tcW w:w="1371" w:type="pct"/>
                  <w:vAlign w:val="center"/>
                </w:tcPr>
                <w:p w14:paraId="552C1502">
                  <w:pPr>
                    <w:pStyle w:val="70"/>
                    <w:rPr>
                      <w:color w:val="auto"/>
                    </w:rPr>
                  </w:pPr>
                  <w:r>
                    <w:rPr>
                      <w:rFonts w:hint="eastAsia"/>
                      <w:color w:val="auto"/>
                    </w:rPr>
                    <w:t>3</w:t>
                  </w:r>
                  <w:r>
                    <w:rPr>
                      <w:color w:val="auto"/>
                    </w:rPr>
                    <w:t>00</w:t>
                  </w:r>
                </w:p>
              </w:tc>
              <w:tc>
                <w:tcPr>
                  <w:tcW w:w="1416" w:type="pct"/>
                  <w:vMerge w:val="continue"/>
                </w:tcPr>
                <w:p w14:paraId="30627A4F">
                  <w:pPr>
                    <w:pStyle w:val="70"/>
                    <w:rPr>
                      <w:color w:val="auto"/>
                    </w:rPr>
                  </w:pPr>
                </w:p>
              </w:tc>
            </w:tr>
            <w:tr w14:paraId="193A7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pct"/>
                  <w:vMerge w:val="continue"/>
                  <w:vAlign w:val="center"/>
                </w:tcPr>
                <w:p w14:paraId="5ABB055F">
                  <w:pPr>
                    <w:pStyle w:val="70"/>
                    <w:rPr>
                      <w:color w:val="auto"/>
                    </w:rPr>
                  </w:pPr>
                </w:p>
              </w:tc>
              <w:tc>
                <w:tcPr>
                  <w:tcW w:w="1280" w:type="pct"/>
                  <w:vAlign w:val="center"/>
                </w:tcPr>
                <w:p w14:paraId="72E64C38">
                  <w:pPr>
                    <w:pStyle w:val="70"/>
                    <w:rPr>
                      <w:rFonts w:eastAsiaTheme="minorEastAsia"/>
                      <w:color w:val="auto"/>
                    </w:rPr>
                  </w:pPr>
                  <w:r>
                    <w:rPr>
                      <w:rFonts w:eastAsiaTheme="minorEastAsia"/>
                      <w:color w:val="auto"/>
                    </w:rPr>
                    <w:t>SS</w:t>
                  </w:r>
                </w:p>
              </w:tc>
              <w:tc>
                <w:tcPr>
                  <w:tcW w:w="1371" w:type="pct"/>
                  <w:vAlign w:val="center"/>
                </w:tcPr>
                <w:p w14:paraId="02225A7E">
                  <w:pPr>
                    <w:pStyle w:val="70"/>
                    <w:rPr>
                      <w:color w:val="auto"/>
                    </w:rPr>
                  </w:pPr>
                  <w:r>
                    <w:rPr>
                      <w:rFonts w:hint="eastAsia"/>
                      <w:color w:val="auto"/>
                    </w:rPr>
                    <w:t>40</w:t>
                  </w:r>
                  <w:r>
                    <w:rPr>
                      <w:color w:val="auto"/>
                    </w:rPr>
                    <w:t>0</w:t>
                  </w:r>
                </w:p>
              </w:tc>
              <w:tc>
                <w:tcPr>
                  <w:tcW w:w="1416" w:type="pct"/>
                  <w:vMerge w:val="continue"/>
                </w:tcPr>
                <w:p w14:paraId="3F4348FC">
                  <w:pPr>
                    <w:pStyle w:val="70"/>
                    <w:rPr>
                      <w:color w:val="auto"/>
                    </w:rPr>
                  </w:pPr>
                </w:p>
              </w:tc>
            </w:tr>
            <w:tr w14:paraId="37CE5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 w:type="pct"/>
                  <w:vMerge w:val="continue"/>
                  <w:vAlign w:val="center"/>
                </w:tcPr>
                <w:p w14:paraId="572D208E">
                  <w:pPr>
                    <w:pStyle w:val="70"/>
                    <w:rPr>
                      <w:color w:val="auto"/>
                    </w:rPr>
                  </w:pPr>
                </w:p>
              </w:tc>
              <w:tc>
                <w:tcPr>
                  <w:tcW w:w="1280" w:type="pct"/>
                  <w:vAlign w:val="center"/>
                </w:tcPr>
                <w:p w14:paraId="0C7DF586">
                  <w:pPr>
                    <w:pStyle w:val="70"/>
                    <w:rPr>
                      <w:rFonts w:eastAsiaTheme="minorEastAsia"/>
                      <w:color w:val="auto"/>
                    </w:rPr>
                  </w:pPr>
                  <w:r>
                    <w:rPr>
                      <w:rFonts w:eastAsiaTheme="minorEastAsia"/>
                      <w:color w:val="auto"/>
                    </w:rPr>
                    <w:t>NH</w:t>
                  </w:r>
                  <w:r>
                    <w:rPr>
                      <w:rFonts w:eastAsiaTheme="minorEastAsia"/>
                      <w:color w:val="auto"/>
                      <w:vertAlign w:val="subscript"/>
                    </w:rPr>
                    <w:t>3</w:t>
                  </w:r>
                  <w:r>
                    <w:rPr>
                      <w:rFonts w:eastAsiaTheme="minorEastAsia"/>
                      <w:color w:val="auto"/>
                    </w:rPr>
                    <w:t>-N</w:t>
                  </w:r>
                </w:p>
              </w:tc>
              <w:tc>
                <w:tcPr>
                  <w:tcW w:w="1371" w:type="pct"/>
                  <w:vAlign w:val="center"/>
                </w:tcPr>
                <w:p w14:paraId="46F94FAD">
                  <w:pPr>
                    <w:pStyle w:val="70"/>
                    <w:rPr>
                      <w:color w:val="auto"/>
                    </w:rPr>
                  </w:pPr>
                  <w:r>
                    <w:rPr>
                      <w:rFonts w:hint="eastAsia"/>
                      <w:color w:val="auto"/>
                    </w:rPr>
                    <w:t>-</w:t>
                  </w:r>
                  <w:r>
                    <w:rPr>
                      <w:color w:val="auto"/>
                    </w:rPr>
                    <w:t>-</w:t>
                  </w:r>
                </w:p>
              </w:tc>
              <w:tc>
                <w:tcPr>
                  <w:tcW w:w="1416" w:type="pct"/>
                  <w:vMerge w:val="continue"/>
                </w:tcPr>
                <w:p w14:paraId="391FD754">
                  <w:pPr>
                    <w:pStyle w:val="70"/>
                    <w:rPr>
                      <w:color w:val="auto"/>
                    </w:rPr>
                  </w:pPr>
                </w:p>
              </w:tc>
            </w:tr>
          </w:tbl>
          <w:p w14:paraId="19536BA0">
            <w:pPr>
              <w:pStyle w:val="157"/>
              <w:ind w:firstLine="0" w:firstLineChars="0"/>
              <w:rPr>
                <w:b/>
                <w:color w:val="auto"/>
                <w:sz w:val="21"/>
                <w:szCs w:val="21"/>
              </w:rPr>
            </w:pPr>
            <w:r>
              <w:rPr>
                <w:b/>
                <w:color w:val="auto"/>
                <w:sz w:val="21"/>
                <w:szCs w:val="21"/>
              </w:rPr>
              <w:t>3</w:t>
            </w:r>
            <w:r>
              <w:rPr>
                <w:rFonts w:hint="eastAsia"/>
                <w:b/>
                <w:color w:val="auto"/>
                <w:sz w:val="21"/>
                <w:szCs w:val="21"/>
              </w:rPr>
              <w:t>、噪声排放标准</w:t>
            </w:r>
          </w:p>
          <w:p w14:paraId="1E9ADF49">
            <w:pPr>
              <w:pStyle w:val="157"/>
              <w:ind w:firstLine="420"/>
              <w:rPr>
                <w:rFonts w:hint="eastAsia" w:eastAsia="宋体"/>
                <w:color w:val="auto"/>
                <w:sz w:val="21"/>
                <w:szCs w:val="21"/>
                <w:lang w:eastAsia="zh-CN"/>
              </w:rPr>
            </w:pPr>
            <w:r>
              <w:rPr>
                <w:rFonts w:hint="eastAsia"/>
                <w:color w:val="auto"/>
                <w:sz w:val="21"/>
                <w:szCs w:val="21"/>
              </w:rPr>
              <w:t>项目运营期</w:t>
            </w:r>
            <w:r>
              <w:rPr>
                <w:color w:val="auto"/>
                <w:sz w:val="21"/>
                <w:szCs w:val="21"/>
              </w:rPr>
              <w:t>厂界</w:t>
            </w:r>
            <w:r>
              <w:rPr>
                <w:rFonts w:hint="eastAsia"/>
                <w:color w:val="auto"/>
                <w:sz w:val="21"/>
                <w:szCs w:val="21"/>
              </w:rPr>
              <w:t>噪声执行《工业企业厂界环境噪声排放标准》（</w:t>
            </w:r>
            <w:r>
              <w:rPr>
                <w:color w:val="auto"/>
                <w:sz w:val="21"/>
                <w:szCs w:val="21"/>
              </w:rPr>
              <w:t>GB 12348-2008</w:t>
            </w:r>
            <w:r>
              <w:rPr>
                <w:rFonts w:hint="eastAsia"/>
                <w:color w:val="auto"/>
                <w:sz w:val="21"/>
                <w:szCs w:val="21"/>
              </w:rPr>
              <w:t>）</w:t>
            </w:r>
            <w:r>
              <w:rPr>
                <w:rFonts w:hint="eastAsia"/>
                <w:color w:val="auto"/>
                <w:sz w:val="21"/>
                <w:szCs w:val="21"/>
                <w:lang w:val="en-US" w:eastAsia="zh-CN"/>
              </w:rPr>
              <w:t>3</w:t>
            </w:r>
            <w:r>
              <w:rPr>
                <w:rFonts w:hint="eastAsia"/>
                <w:color w:val="auto"/>
                <w:sz w:val="21"/>
                <w:szCs w:val="21"/>
              </w:rPr>
              <w:t>类标准</w:t>
            </w:r>
            <w:r>
              <w:rPr>
                <w:rFonts w:hint="eastAsia"/>
                <w:color w:val="auto"/>
                <w:sz w:val="21"/>
                <w:szCs w:val="21"/>
                <w:lang w:eastAsia="zh-CN"/>
              </w:rPr>
              <w:t>。</w:t>
            </w:r>
          </w:p>
          <w:p w14:paraId="639EFDAF">
            <w:pPr>
              <w:pStyle w:val="108"/>
              <w:ind w:left="210" w:leftChars="0" w:firstLineChars="0"/>
              <w:rPr>
                <w:color w:val="auto"/>
                <w:szCs w:val="21"/>
              </w:rPr>
            </w:pPr>
            <w:r>
              <w:rPr>
                <w:rFonts w:hint="eastAsia"/>
                <w:color w:val="auto"/>
                <w:szCs w:val="21"/>
              </w:rPr>
              <w:t>工业企业厂界环境噪声排放限值</w:t>
            </w:r>
          </w:p>
          <w:p w14:paraId="6CED79B3">
            <w:pPr>
              <w:pStyle w:val="70"/>
              <w:rPr>
                <w:rFonts w:hint="eastAsia"/>
                <w:color w:val="auto"/>
              </w:rPr>
            </w:pPr>
            <w:r>
              <w:rPr>
                <w:color w:val="auto"/>
              </w:rPr>
              <w:t xml:space="preserve">                                                          </w:t>
            </w:r>
            <w:r>
              <w:rPr>
                <w:rFonts w:hint="eastAsia"/>
                <w:color w:val="auto"/>
              </w:rPr>
              <w:t>单位：dB（A）</w:t>
            </w:r>
          </w:p>
          <w:tbl>
            <w:tblPr>
              <w:tblStyle w:val="35"/>
              <w:tblW w:w="47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42"/>
              <w:gridCol w:w="2435"/>
              <w:gridCol w:w="2435"/>
            </w:tblGrid>
            <w:tr w14:paraId="2971A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960" w:type="pct"/>
                  <w:noWrap w:val="0"/>
                  <w:vAlign w:val="top"/>
                </w:tcPr>
                <w:p w14:paraId="49508AF8">
                  <w:pPr>
                    <w:pStyle w:val="70"/>
                    <w:rPr>
                      <w:b/>
                      <w:bCs/>
                      <w:color w:val="auto"/>
                      <w:sz w:val="21"/>
                      <w:szCs w:val="21"/>
                      <w:highlight w:val="none"/>
                    </w:rPr>
                  </w:pPr>
                  <w:r>
                    <w:rPr>
                      <w:rFonts w:hint="eastAsia"/>
                      <w:b/>
                      <w:bCs/>
                      <w:color w:val="auto"/>
                      <w:sz w:val="21"/>
                      <w:szCs w:val="21"/>
                      <w:highlight w:val="none"/>
                    </w:rPr>
                    <w:t>厂界</w:t>
                  </w:r>
                  <w:r>
                    <w:rPr>
                      <w:b/>
                      <w:bCs/>
                      <w:color w:val="auto"/>
                      <w:sz w:val="21"/>
                      <w:szCs w:val="21"/>
                      <w:highlight w:val="none"/>
                    </w:rPr>
                    <w:t>外声环境功能区类别</w:t>
                  </w:r>
                </w:p>
              </w:tc>
              <w:tc>
                <w:tcPr>
                  <w:tcW w:w="1519" w:type="pct"/>
                  <w:noWrap w:val="0"/>
                  <w:vAlign w:val="top"/>
                </w:tcPr>
                <w:p w14:paraId="76F51FB7">
                  <w:pPr>
                    <w:pStyle w:val="70"/>
                    <w:rPr>
                      <w:b/>
                      <w:bCs/>
                      <w:color w:val="auto"/>
                      <w:sz w:val="21"/>
                      <w:szCs w:val="21"/>
                      <w:highlight w:val="none"/>
                    </w:rPr>
                  </w:pPr>
                  <w:r>
                    <w:rPr>
                      <w:rFonts w:hint="eastAsia"/>
                      <w:b/>
                      <w:bCs/>
                      <w:color w:val="auto"/>
                      <w:sz w:val="21"/>
                      <w:szCs w:val="21"/>
                      <w:highlight w:val="none"/>
                    </w:rPr>
                    <w:t>昼间</w:t>
                  </w:r>
                </w:p>
              </w:tc>
              <w:tc>
                <w:tcPr>
                  <w:tcW w:w="1519" w:type="pct"/>
                  <w:noWrap w:val="0"/>
                  <w:vAlign w:val="top"/>
                </w:tcPr>
                <w:p w14:paraId="387B743C">
                  <w:pPr>
                    <w:pStyle w:val="70"/>
                    <w:rPr>
                      <w:b/>
                      <w:bCs/>
                      <w:color w:val="auto"/>
                      <w:sz w:val="21"/>
                      <w:szCs w:val="21"/>
                      <w:highlight w:val="none"/>
                    </w:rPr>
                  </w:pPr>
                  <w:r>
                    <w:rPr>
                      <w:rFonts w:hint="eastAsia"/>
                      <w:b/>
                      <w:bCs/>
                      <w:color w:val="auto"/>
                      <w:sz w:val="21"/>
                      <w:szCs w:val="21"/>
                      <w:highlight w:val="none"/>
                    </w:rPr>
                    <w:t>夜间</w:t>
                  </w:r>
                </w:p>
              </w:tc>
            </w:tr>
            <w:tr w14:paraId="16312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960" w:type="pct"/>
                  <w:noWrap w:val="0"/>
                  <w:vAlign w:val="top"/>
                </w:tcPr>
                <w:p w14:paraId="478DC00B">
                  <w:pPr>
                    <w:pStyle w:val="70"/>
                    <w:rPr>
                      <w:color w:val="auto"/>
                      <w:sz w:val="21"/>
                      <w:szCs w:val="21"/>
                      <w:highlight w:val="none"/>
                    </w:rPr>
                  </w:pPr>
                  <w:r>
                    <w:rPr>
                      <w:rFonts w:hint="eastAsia"/>
                      <w:color w:val="auto"/>
                      <w:sz w:val="21"/>
                      <w:szCs w:val="21"/>
                      <w:highlight w:val="none"/>
                    </w:rPr>
                    <w:t>0类</w:t>
                  </w:r>
                </w:p>
              </w:tc>
              <w:tc>
                <w:tcPr>
                  <w:tcW w:w="1519" w:type="pct"/>
                  <w:noWrap w:val="0"/>
                  <w:vAlign w:val="top"/>
                </w:tcPr>
                <w:p w14:paraId="5A5D9B66">
                  <w:pPr>
                    <w:pStyle w:val="70"/>
                    <w:rPr>
                      <w:color w:val="auto"/>
                      <w:sz w:val="21"/>
                      <w:szCs w:val="21"/>
                      <w:highlight w:val="none"/>
                    </w:rPr>
                  </w:pPr>
                  <w:r>
                    <w:rPr>
                      <w:rFonts w:hint="eastAsia"/>
                      <w:color w:val="auto"/>
                      <w:sz w:val="21"/>
                      <w:szCs w:val="21"/>
                      <w:highlight w:val="none"/>
                    </w:rPr>
                    <w:t>50</w:t>
                  </w:r>
                </w:p>
              </w:tc>
              <w:tc>
                <w:tcPr>
                  <w:tcW w:w="1519" w:type="pct"/>
                  <w:noWrap w:val="0"/>
                  <w:vAlign w:val="top"/>
                </w:tcPr>
                <w:p w14:paraId="58480273">
                  <w:pPr>
                    <w:pStyle w:val="70"/>
                    <w:rPr>
                      <w:color w:val="auto"/>
                      <w:sz w:val="21"/>
                      <w:szCs w:val="21"/>
                      <w:highlight w:val="none"/>
                    </w:rPr>
                  </w:pPr>
                  <w:r>
                    <w:rPr>
                      <w:rFonts w:hint="eastAsia"/>
                      <w:color w:val="auto"/>
                      <w:sz w:val="21"/>
                      <w:szCs w:val="21"/>
                      <w:highlight w:val="none"/>
                    </w:rPr>
                    <w:t>40</w:t>
                  </w:r>
                </w:p>
              </w:tc>
            </w:tr>
            <w:tr w14:paraId="58F64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960" w:type="pct"/>
                  <w:noWrap w:val="0"/>
                  <w:vAlign w:val="top"/>
                </w:tcPr>
                <w:p w14:paraId="16F0175E">
                  <w:pPr>
                    <w:pStyle w:val="70"/>
                    <w:rPr>
                      <w:color w:val="auto"/>
                      <w:sz w:val="21"/>
                      <w:szCs w:val="21"/>
                      <w:highlight w:val="none"/>
                    </w:rPr>
                  </w:pPr>
                  <w:r>
                    <w:rPr>
                      <w:rFonts w:hint="eastAsia"/>
                      <w:color w:val="auto"/>
                      <w:sz w:val="21"/>
                      <w:szCs w:val="21"/>
                      <w:highlight w:val="none"/>
                    </w:rPr>
                    <w:t>1类</w:t>
                  </w:r>
                </w:p>
              </w:tc>
              <w:tc>
                <w:tcPr>
                  <w:tcW w:w="1519" w:type="pct"/>
                  <w:noWrap w:val="0"/>
                  <w:vAlign w:val="top"/>
                </w:tcPr>
                <w:p w14:paraId="14B374D8">
                  <w:pPr>
                    <w:pStyle w:val="70"/>
                    <w:rPr>
                      <w:color w:val="auto"/>
                      <w:sz w:val="21"/>
                      <w:szCs w:val="21"/>
                      <w:highlight w:val="none"/>
                    </w:rPr>
                  </w:pPr>
                  <w:r>
                    <w:rPr>
                      <w:rFonts w:hint="eastAsia"/>
                      <w:color w:val="auto"/>
                      <w:sz w:val="21"/>
                      <w:szCs w:val="21"/>
                      <w:highlight w:val="none"/>
                    </w:rPr>
                    <w:t>55</w:t>
                  </w:r>
                </w:p>
              </w:tc>
              <w:tc>
                <w:tcPr>
                  <w:tcW w:w="1519" w:type="pct"/>
                  <w:noWrap w:val="0"/>
                  <w:vAlign w:val="top"/>
                </w:tcPr>
                <w:p w14:paraId="2783597D">
                  <w:pPr>
                    <w:pStyle w:val="70"/>
                    <w:rPr>
                      <w:color w:val="auto"/>
                      <w:sz w:val="21"/>
                      <w:szCs w:val="21"/>
                      <w:highlight w:val="none"/>
                    </w:rPr>
                  </w:pPr>
                  <w:r>
                    <w:rPr>
                      <w:rFonts w:hint="eastAsia"/>
                      <w:color w:val="auto"/>
                      <w:sz w:val="21"/>
                      <w:szCs w:val="21"/>
                      <w:highlight w:val="none"/>
                    </w:rPr>
                    <w:t>45</w:t>
                  </w:r>
                </w:p>
              </w:tc>
            </w:tr>
            <w:tr w14:paraId="57F88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960" w:type="pct"/>
                  <w:shd w:val="clear" w:color="auto" w:fill="auto"/>
                  <w:noWrap w:val="0"/>
                  <w:vAlign w:val="top"/>
                </w:tcPr>
                <w:p w14:paraId="164CDC86">
                  <w:pPr>
                    <w:pStyle w:val="7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2类</w:t>
                  </w:r>
                </w:p>
              </w:tc>
              <w:tc>
                <w:tcPr>
                  <w:tcW w:w="1519" w:type="pct"/>
                  <w:shd w:val="clear" w:color="auto" w:fill="auto"/>
                  <w:noWrap w:val="0"/>
                  <w:vAlign w:val="top"/>
                </w:tcPr>
                <w:p w14:paraId="2F7156F1">
                  <w:pPr>
                    <w:pStyle w:val="7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60</w:t>
                  </w:r>
                </w:p>
              </w:tc>
              <w:tc>
                <w:tcPr>
                  <w:tcW w:w="1519" w:type="pct"/>
                  <w:shd w:val="clear" w:color="auto" w:fill="auto"/>
                  <w:noWrap w:val="0"/>
                  <w:vAlign w:val="top"/>
                </w:tcPr>
                <w:p w14:paraId="38877E85">
                  <w:pPr>
                    <w:pStyle w:val="70"/>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50</w:t>
                  </w:r>
                </w:p>
              </w:tc>
            </w:tr>
            <w:tr w14:paraId="4210D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960" w:type="pct"/>
                  <w:shd w:val="clear" w:color="auto" w:fill="BEBEBE" w:themeFill="background1" w:themeFillShade="BF"/>
                  <w:noWrap w:val="0"/>
                  <w:vAlign w:val="center"/>
                </w:tcPr>
                <w:p w14:paraId="6A2CB836">
                  <w:pPr>
                    <w:pStyle w:val="7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3类</w:t>
                  </w:r>
                </w:p>
              </w:tc>
              <w:tc>
                <w:tcPr>
                  <w:tcW w:w="1519" w:type="pct"/>
                  <w:shd w:val="clear" w:color="auto" w:fill="BEBEBE" w:themeFill="background1" w:themeFillShade="BF"/>
                  <w:noWrap w:val="0"/>
                  <w:vAlign w:val="center"/>
                </w:tcPr>
                <w:p w14:paraId="6BB7D31F">
                  <w:pPr>
                    <w:pStyle w:val="7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65</w:t>
                  </w:r>
                </w:p>
              </w:tc>
              <w:tc>
                <w:tcPr>
                  <w:tcW w:w="1519" w:type="pct"/>
                  <w:shd w:val="clear" w:color="auto" w:fill="BEBEBE" w:themeFill="background1" w:themeFillShade="BF"/>
                  <w:noWrap w:val="0"/>
                  <w:vAlign w:val="center"/>
                </w:tcPr>
                <w:p w14:paraId="2F07BC26">
                  <w:pPr>
                    <w:pStyle w:val="7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55</w:t>
                  </w:r>
                </w:p>
              </w:tc>
            </w:tr>
            <w:tr w14:paraId="55A4C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960" w:type="pct"/>
                  <w:shd w:val="clear" w:color="auto" w:fill="auto"/>
                  <w:noWrap w:val="0"/>
                  <w:vAlign w:val="center"/>
                </w:tcPr>
                <w:p w14:paraId="616048D7">
                  <w:pPr>
                    <w:pStyle w:val="7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4类</w:t>
                  </w:r>
                </w:p>
              </w:tc>
              <w:tc>
                <w:tcPr>
                  <w:tcW w:w="1519" w:type="pct"/>
                  <w:shd w:val="clear" w:color="auto" w:fill="auto"/>
                  <w:noWrap w:val="0"/>
                  <w:vAlign w:val="center"/>
                </w:tcPr>
                <w:p w14:paraId="6F3EC852">
                  <w:pPr>
                    <w:pStyle w:val="7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70</w:t>
                  </w:r>
                </w:p>
              </w:tc>
              <w:tc>
                <w:tcPr>
                  <w:tcW w:w="1519" w:type="pct"/>
                  <w:shd w:val="clear" w:color="auto" w:fill="auto"/>
                  <w:noWrap w:val="0"/>
                  <w:vAlign w:val="center"/>
                </w:tcPr>
                <w:p w14:paraId="524F76E2">
                  <w:pPr>
                    <w:pStyle w:val="70"/>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55</w:t>
                  </w:r>
                </w:p>
              </w:tc>
            </w:tr>
          </w:tbl>
          <w:p w14:paraId="4F7A974A">
            <w:pPr>
              <w:pStyle w:val="157"/>
              <w:ind w:firstLine="0" w:firstLineChars="0"/>
              <w:rPr>
                <w:b/>
                <w:color w:val="auto"/>
                <w:sz w:val="21"/>
                <w:szCs w:val="21"/>
              </w:rPr>
            </w:pPr>
            <w:r>
              <w:rPr>
                <w:rFonts w:hint="eastAsia"/>
                <w:b/>
                <w:color w:val="auto"/>
                <w:sz w:val="21"/>
                <w:szCs w:val="21"/>
              </w:rPr>
              <w:t>4、固体废物</w:t>
            </w:r>
            <w:r>
              <w:rPr>
                <w:b/>
                <w:color w:val="auto"/>
                <w:sz w:val="21"/>
                <w:szCs w:val="21"/>
              </w:rPr>
              <w:t>控制标准</w:t>
            </w:r>
          </w:p>
          <w:p w14:paraId="69DA3E21">
            <w:pPr>
              <w:pStyle w:val="157"/>
              <w:ind w:firstLine="420"/>
              <w:rPr>
                <w:color w:val="auto"/>
                <w:sz w:val="21"/>
                <w:szCs w:val="21"/>
              </w:rPr>
            </w:pPr>
            <w:r>
              <w:rPr>
                <w:rFonts w:hint="eastAsia"/>
                <w:color w:val="auto"/>
                <w:sz w:val="21"/>
                <w:szCs w:val="21"/>
              </w:rPr>
              <w:t>危险废物在厂内贮存须符合《危险废物贮存污染控制标准》（GB18597-</w:t>
            </w:r>
            <w:r>
              <w:rPr>
                <w:rFonts w:hint="eastAsia" w:ascii="Times New Roman" w:hAnsi="Times New Roman" w:eastAsia="宋体" w:cs="Times New Roman"/>
                <w:color w:val="auto"/>
                <w:kern w:val="2"/>
                <w:sz w:val="21"/>
                <w:szCs w:val="21"/>
                <w:lang w:val="en-US" w:eastAsia="zh-CN" w:bidi="ar-SA"/>
              </w:rPr>
              <w:t>2023</w:t>
            </w:r>
            <w:r>
              <w:rPr>
                <w:rFonts w:hint="eastAsia"/>
                <w:color w:val="auto"/>
                <w:sz w:val="21"/>
                <w:szCs w:val="21"/>
              </w:rPr>
              <w:t>）及修改单相关要求。</w:t>
            </w:r>
          </w:p>
        </w:tc>
      </w:tr>
      <w:tr w14:paraId="7AF844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5" w:hRule="atLeast"/>
        </w:trPr>
        <w:tc>
          <w:tcPr>
            <w:tcW w:w="392" w:type="dxa"/>
            <w:vAlign w:val="center"/>
          </w:tcPr>
          <w:p w14:paraId="5C141E1B">
            <w:pPr>
              <w:adjustRightInd w:val="0"/>
              <w:snapToGrid w:val="0"/>
              <w:jc w:val="center"/>
              <w:rPr>
                <w:rFonts w:ascii="宋体" w:hAnsi="宋体" w:cs="宋体"/>
                <w:color w:val="auto"/>
                <w:kern w:val="0"/>
                <w:szCs w:val="21"/>
              </w:rPr>
            </w:pPr>
            <w:r>
              <w:rPr>
                <w:rFonts w:hint="eastAsia" w:ascii="宋体" w:hAnsi="宋体" w:cs="宋体"/>
                <w:color w:val="auto"/>
                <w:kern w:val="0"/>
                <w:szCs w:val="21"/>
              </w:rPr>
              <w:t>总量</w:t>
            </w:r>
          </w:p>
          <w:p w14:paraId="018E3E92">
            <w:pPr>
              <w:adjustRightInd w:val="0"/>
              <w:snapToGrid w:val="0"/>
              <w:jc w:val="center"/>
              <w:rPr>
                <w:rFonts w:ascii="宋体" w:hAnsi="宋体" w:cs="宋体"/>
                <w:color w:val="auto"/>
                <w:kern w:val="0"/>
                <w:szCs w:val="21"/>
              </w:rPr>
            </w:pPr>
            <w:r>
              <w:rPr>
                <w:rFonts w:hint="eastAsia" w:ascii="宋体" w:hAnsi="宋体" w:cs="宋体"/>
                <w:color w:val="auto"/>
                <w:kern w:val="0"/>
                <w:szCs w:val="21"/>
              </w:rPr>
              <w:t>控制</w:t>
            </w:r>
          </w:p>
          <w:p w14:paraId="1E3B3198">
            <w:pPr>
              <w:adjustRightInd w:val="0"/>
              <w:snapToGrid w:val="0"/>
              <w:jc w:val="center"/>
              <w:rPr>
                <w:rFonts w:ascii="宋体" w:hAnsi="宋体" w:cs="宋体"/>
                <w:color w:val="auto"/>
                <w:kern w:val="0"/>
                <w:szCs w:val="21"/>
              </w:rPr>
            </w:pPr>
            <w:r>
              <w:rPr>
                <w:rFonts w:hint="eastAsia" w:ascii="宋体" w:hAnsi="宋体" w:cs="宋体"/>
                <w:color w:val="auto"/>
                <w:kern w:val="0"/>
                <w:szCs w:val="21"/>
              </w:rPr>
              <w:t>指标</w:t>
            </w:r>
          </w:p>
        </w:tc>
        <w:tc>
          <w:tcPr>
            <w:tcW w:w="8669" w:type="dxa"/>
            <w:vAlign w:val="center"/>
          </w:tcPr>
          <w:p w14:paraId="7A411116">
            <w:pPr>
              <w:pStyle w:val="157"/>
              <w:ind w:firstLine="420"/>
              <w:rPr>
                <w:color w:val="auto"/>
                <w:sz w:val="21"/>
                <w:szCs w:val="21"/>
              </w:rPr>
            </w:pPr>
            <w:r>
              <w:rPr>
                <w:rFonts w:hint="eastAsia"/>
                <w:color w:val="auto"/>
                <w:sz w:val="21"/>
                <w:szCs w:val="21"/>
              </w:rPr>
              <w:t>1、水</w:t>
            </w:r>
          </w:p>
          <w:p w14:paraId="2C31386D">
            <w:pPr>
              <w:pStyle w:val="157"/>
              <w:ind w:firstLine="420"/>
              <w:rPr>
                <w:color w:val="auto"/>
                <w:sz w:val="21"/>
                <w:szCs w:val="21"/>
              </w:rPr>
            </w:pPr>
            <w:r>
              <w:rPr>
                <w:rFonts w:hint="eastAsia"/>
                <w:color w:val="auto"/>
                <w:sz w:val="21"/>
                <w:szCs w:val="21"/>
              </w:rPr>
              <w:t>生活污水经三级化粪池预处理后通过排污管道排入</w:t>
            </w:r>
            <w:r>
              <w:rPr>
                <w:rFonts w:hint="eastAsia"/>
                <w:color w:val="auto"/>
                <w:sz w:val="21"/>
                <w:szCs w:val="21"/>
                <w:u w:color="FF0000"/>
              </w:rPr>
              <w:t>南朗</w:t>
            </w:r>
            <w:r>
              <w:rPr>
                <w:rFonts w:hint="eastAsia"/>
                <w:color w:val="auto"/>
                <w:sz w:val="21"/>
                <w:szCs w:val="21"/>
                <w:u w:color="FF0000"/>
                <w:lang w:val="en-US" w:eastAsia="zh-CN"/>
              </w:rPr>
              <w:t>横门</w:t>
            </w:r>
            <w:r>
              <w:rPr>
                <w:rFonts w:hint="eastAsia"/>
                <w:color w:val="auto"/>
                <w:sz w:val="21"/>
                <w:szCs w:val="21"/>
                <w:u w:color="FF0000"/>
              </w:rPr>
              <w:t>污水处理</w:t>
            </w:r>
            <w:r>
              <w:rPr>
                <w:rFonts w:hint="eastAsia"/>
                <w:color w:val="auto"/>
                <w:sz w:val="21"/>
                <w:szCs w:val="21"/>
                <w:u w:color="FF0000"/>
                <w:lang w:val="en-US" w:eastAsia="zh-CN"/>
              </w:rPr>
              <w:t>厂</w:t>
            </w:r>
            <w:r>
              <w:rPr>
                <w:rFonts w:hint="eastAsia"/>
                <w:color w:val="auto"/>
                <w:sz w:val="21"/>
                <w:szCs w:val="21"/>
              </w:rPr>
              <w:t>集中处理，无需申请CODcr、氨氮总量控制。</w:t>
            </w:r>
          </w:p>
          <w:p w14:paraId="7AE5E944">
            <w:pPr>
              <w:pStyle w:val="157"/>
              <w:ind w:firstLine="420"/>
              <w:rPr>
                <w:color w:val="auto"/>
                <w:sz w:val="21"/>
                <w:szCs w:val="21"/>
              </w:rPr>
            </w:pPr>
            <w:r>
              <w:rPr>
                <w:rFonts w:hint="eastAsia"/>
                <w:color w:val="auto"/>
                <w:sz w:val="21"/>
                <w:szCs w:val="21"/>
              </w:rPr>
              <w:t>2、大气</w:t>
            </w:r>
          </w:p>
          <w:p w14:paraId="7F5B401A">
            <w:pPr>
              <w:pStyle w:val="157"/>
              <w:ind w:firstLine="420"/>
              <w:rPr>
                <w:strike w:val="0"/>
                <w:color w:val="auto"/>
                <w:sz w:val="21"/>
                <w:szCs w:val="21"/>
              </w:rPr>
            </w:pPr>
            <w:r>
              <w:rPr>
                <w:rFonts w:hint="eastAsia"/>
                <w:strike w:val="0"/>
                <w:dstrike w:val="0"/>
                <w:color w:val="auto"/>
                <w:sz w:val="21"/>
                <w:szCs w:val="21"/>
              </w:rPr>
              <w:t>项目排放的挥发性有机物</w:t>
            </w:r>
            <w:r>
              <w:rPr>
                <w:rFonts w:hint="eastAsia"/>
                <w:strike w:val="0"/>
                <w:dstrike w:val="0"/>
                <w:color w:val="auto"/>
                <w:sz w:val="21"/>
                <w:szCs w:val="21"/>
                <w:lang w:eastAsia="zh-CN"/>
              </w:rPr>
              <w:t>（</w:t>
            </w:r>
            <w:r>
              <w:rPr>
                <w:rFonts w:hint="eastAsia"/>
                <w:strike w:val="0"/>
                <w:dstrike w:val="0"/>
                <w:color w:val="auto"/>
                <w:sz w:val="21"/>
                <w:szCs w:val="21"/>
                <w:lang w:val="en-US" w:eastAsia="zh-CN"/>
              </w:rPr>
              <w:t>TVOC、</w:t>
            </w:r>
            <w:r>
              <w:rPr>
                <w:rFonts w:hint="eastAsia"/>
                <w:strike w:val="0"/>
                <w:dstrike w:val="0"/>
                <w:color w:val="auto"/>
                <w:sz w:val="21"/>
                <w:szCs w:val="21"/>
                <w:lang w:val="en-US" w:eastAsia="zh-CN"/>
              </w:rPr>
              <w:t>非甲烷总烃</w:t>
            </w:r>
            <w:r>
              <w:rPr>
                <w:rFonts w:hint="eastAsia"/>
                <w:strike w:val="0"/>
                <w:dstrike w:val="0"/>
                <w:color w:val="auto"/>
                <w:sz w:val="21"/>
                <w:szCs w:val="21"/>
                <w:lang w:eastAsia="zh-CN"/>
              </w:rPr>
              <w:t>）</w:t>
            </w:r>
            <w:r>
              <w:rPr>
                <w:rFonts w:hint="eastAsia"/>
                <w:strike w:val="0"/>
                <w:dstrike w:val="0"/>
                <w:color w:val="auto"/>
                <w:sz w:val="21"/>
                <w:szCs w:val="21"/>
              </w:rPr>
              <w:t>排放量约</w:t>
            </w:r>
            <w:r>
              <w:rPr>
                <w:strike w:val="0"/>
                <w:dstrike w:val="0"/>
                <w:color w:val="auto"/>
                <w:sz w:val="21"/>
                <w:szCs w:val="21"/>
              </w:rPr>
              <w:t>0.0</w:t>
            </w:r>
            <w:r>
              <w:rPr>
                <w:rFonts w:hint="eastAsia"/>
                <w:strike w:val="0"/>
                <w:dstrike w:val="0"/>
                <w:color w:val="auto"/>
                <w:sz w:val="21"/>
                <w:szCs w:val="21"/>
                <w:lang w:val="en-US" w:eastAsia="zh-CN"/>
              </w:rPr>
              <w:t>442</w:t>
            </w:r>
            <w:r>
              <w:rPr>
                <w:rFonts w:hint="eastAsia"/>
                <w:strike w:val="0"/>
                <w:dstrike w:val="0"/>
                <w:color w:val="auto"/>
                <w:sz w:val="21"/>
                <w:szCs w:val="21"/>
              </w:rPr>
              <w:t>t/a，</w:t>
            </w:r>
            <w:r>
              <w:rPr>
                <w:strike w:val="0"/>
                <w:dstrike w:val="0"/>
                <w:color w:val="auto"/>
                <w:sz w:val="21"/>
                <w:szCs w:val="21"/>
              </w:rPr>
              <w:t>氮氧化物排放量约</w:t>
            </w:r>
            <w:r>
              <w:rPr>
                <w:rFonts w:hint="eastAsia"/>
                <w:strike w:val="0"/>
                <w:dstrike w:val="0"/>
                <w:color w:val="auto"/>
                <w:sz w:val="21"/>
                <w:szCs w:val="21"/>
                <w:lang w:val="en-US" w:eastAsia="zh-CN"/>
              </w:rPr>
              <w:t>0</w:t>
            </w:r>
            <w:r>
              <w:rPr>
                <w:strike w:val="0"/>
                <w:dstrike w:val="0"/>
                <w:color w:val="auto"/>
                <w:sz w:val="21"/>
                <w:szCs w:val="21"/>
              </w:rPr>
              <w:t>.</w:t>
            </w:r>
            <w:r>
              <w:rPr>
                <w:rFonts w:hint="eastAsia"/>
                <w:strike w:val="0"/>
                <w:dstrike w:val="0"/>
                <w:color w:val="auto"/>
                <w:sz w:val="21"/>
                <w:szCs w:val="21"/>
                <w:lang w:val="en-US" w:eastAsia="zh-CN"/>
              </w:rPr>
              <w:t>2818</w:t>
            </w:r>
            <w:r>
              <w:rPr>
                <w:strike w:val="0"/>
                <w:dstrike w:val="0"/>
                <w:color w:val="auto"/>
                <w:sz w:val="21"/>
                <w:szCs w:val="21"/>
              </w:rPr>
              <w:t>t/a</w:t>
            </w:r>
            <w:r>
              <w:rPr>
                <w:rFonts w:hint="eastAsia"/>
                <w:strike w:val="0"/>
                <w:dstrike w:val="0"/>
                <w:color w:val="auto"/>
                <w:sz w:val="21"/>
                <w:szCs w:val="21"/>
              </w:rPr>
              <w:t>。</w:t>
            </w:r>
          </w:p>
          <w:p w14:paraId="5FC03CA6">
            <w:pPr>
              <w:pStyle w:val="157"/>
              <w:ind w:firstLine="420"/>
              <w:rPr>
                <w:color w:val="auto"/>
                <w:sz w:val="21"/>
                <w:szCs w:val="21"/>
              </w:rPr>
            </w:pPr>
            <w:r>
              <w:rPr>
                <w:rFonts w:hint="eastAsia"/>
                <w:color w:val="auto"/>
                <w:sz w:val="21"/>
                <w:szCs w:val="21"/>
              </w:rPr>
              <w:t>注：</w:t>
            </w:r>
            <w:r>
              <w:rPr>
                <w:rFonts w:hint="eastAsia"/>
                <w:color w:val="auto"/>
                <w:sz w:val="21"/>
                <w:szCs w:val="21"/>
                <w:lang w:val="en-US" w:eastAsia="zh-CN"/>
              </w:rPr>
              <w:t>年</w:t>
            </w:r>
            <w:r>
              <w:rPr>
                <w:rFonts w:hint="eastAsia"/>
                <w:color w:val="auto"/>
                <w:sz w:val="21"/>
                <w:szCs w:val="21"/>
              </w:rPr>
              <w:t>工作时间</w:t>
            </w:r>
            <w:r>
              <w:rPr>
                <w:color w:val="auto"/>
                <w:sz w:val="21"/>
                <w:szCs w:val="21"/>
              </w:rPr>
              <w:t>300</w:t>
            </w:r>
            <w:r>
              <w:rPr>
                <w:rFonts w:hint="eastAsia"/>
                <w:color w:val="auto"/>
                <w:sz w:val="21"/>
                <w:szCs w:val="21"/>
              </w:rPr>
              <w:t>天</w:t>
            </w:r>
          </w:p>
        </w:tc>
      </w:tr>
    </w:tbl>
    <w:p w14:paraId="00AEAF87">
      <w:pPr>
        <w:pStyle w:val="31"/>
        <w:jc w:val="center"/>
        <w:rPr>
          <w:color w:val="auto"/>
          <w:sz w:val="21"/>
          <w:szCs w:val="21"/>
        </w:rPr>
      </w:pPr>
      <w:r>
        <w:rPr>
          <w:snapToGrid w:val="0"/>
          <w:color w:val="auto"/>
          <w:sz w:val="21"/>
          <w:szCs w:val="21"/>
        </w:rPr>
        <w:br w:type="page"/>
      </w:r>
      <w:bookmarkStart w:id="6" w:name="_Toc72508646"/>
      <w:r>
        <w:rPr>
          <w:rFonts w:hint="eastAsia"/>
          <w:color w:val="auto"/>
          <w:sz w:val="30"/>
          <w:szCs w:val="30"/>
        </w:rPr>
        <w:t>四、主要环境影响和保护措施</w:t>
      </w:r>
      <w:bookmarkEnd w:id="6"/>
    </w:p>
    <w:tbl>
      <w:tblPr>
        <w:tblStyle w:val="35"/>
        <w:tblW w:w="898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52"/>
        <w:gridCol w:w="8629"/>
      </w:tblGrid>
      <w:tr w14:paraId="41AEAA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52" w:type="dxa"/>
            <w:tcMar>
              <w:left w:w="28" w:type="dxa"/>
              <w:right w:w="28" w:type="dxa"/>
            </w:tcMar>
            <w:vAlign w:val="center"/>
          </w:tcPr>
          <w:p w14:paraId="48812829">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left"/>
              <w:textAlignment w:val="auto"/>
              <w:rPr>
                <w:rFonts w:ascii="宋体" w:hAnsi="宋体" w:cs="宋体"/>
                <w:bCs/>
                <w:color w:val="auto"/>
                <w:spacing w:val="-10"/>
                <w:szCs w:val="21"/>
                <w:lang w:val="zh-CN"/>
              </w:rPr>
            </w:pPr>
            <w:r>
              <w:rPr>
                <w:rFonts w:hint="eastAsia"/>
                <w:b/>
                <w:bCs/>
                <w:color w:val="auto"/>
                <w:kern w:val="2"/>
                <w:sz w:val="21"/>
                <w:szCs w:val="21"/>
                <w:lang w:val="en-US" w:eastAsia="zh-CN"/>
              </w:rPr>
              <w:t>施</w:t>
            </w:r>
            <w:r>
              <w:rPr>
                <w:rFonts w:ascii="Times New Roman" w:hAnsi="Times New Roman"/>
                <w:b w:val="0"/>
                <w:bCs w:val="0"/>
                <w:color w:val="auto"/>
                <w:kern w:val="2"/>
                <w:sz w:val="21"/>
                <w:szCs w:val="21"/>
              </w:rPr>
              <w:t>施工期环境保护措施</w:t>
            </w:r>
          </w:p>
        </w:tc>
        <w:tc>
          <w:tcPr>
            <w:tcW w:w="8629" w:type="dxa"/>
            <w:tcMar>
              <w:left w:w="28" w:type="dxa"/>
              <w:right w:w="28" w:type="dxa"/>
            </w:tcMar>
            <w:vAlign w:val="center"/>
          </w:tcPr>
          <w:p w14:paraId="3DEF7B1C">
            <w:pPr>
              <w:adjustRightInd w:val="0"/>
              <w:snapToGrid w:val="0"/>
              <w:spacing w:line="360" w:lineRule="auto"/>
              <w:ind w:firstLine="420" w:firstLineChars="200"/>
              <w:rPr>
                <w:color w:val="auto"/>
                <w:szCs w:val="21"/>
              </w:rPr>
            </w:pPr>
            <w:r>
              <w:rPr>
                <w:color w:val="auto"/>
                <w:szCs w:val="21"/>
              </w:rPr>
              <w:t>本项目为租用原有已建好厂房，施工期已过，不存在施工期的环境影响。</w:t>
            </w:r>
          </w:p>
        </w:tc>
      </w:tr>
      <w:tr w14:paraId="6B4A6E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352" w:type="dxa"/>
            <w:tcMar>
              <w:left w:w="28" w:type="dxa"/>
              <w:right w:w="28" w:type="dxa"/>
            </w:tcMar>
            <w:vAlign w:val="center"/>
          </w:tcPr>
          <w:p w14:paraId="48C3B4FC">
            <w:pPr>
              <w:adjustRightInd w:val="0"/>
              <w:snapToGrid w:val="0"/>
              <w:jc w:val="center"/>
              <w:rPr>
                <w:rFonts w:ascii="宋体" w:hAnsi="宋体" w:cs="宋体"/>
                <w:bCs/>
                <w:color w:val="auto"/>
                <w:szCs w:val="21"/>
              </w:rPr>
            </w:pPr>
            <w:r>
              <w:rPr>
                <w:rFonts w:hint="eastAsia" w:ascii="宋体" w:hAnsi="宋体" w:cs="宋体"/>
                <w:bCs/>
                <w:color w:val="auto"/>
                <w:szCs w:val="21"/>
              </w:rPr>
              <w:t>运营</w:t>
            </w:r>
          </w:p>
          <w:p w14:paraId="226F2F3F">
            <w:pPr>
              <w:adjustRightInd w:val="0"/>
              <w:snapToGrid w:val="0"/>
              <w:jc w:val="center"/>
              <w:rPr>
                <w:rFonts w:ascii="宋体" w:hAnsi="宋体" w:cs="宋体"/>
                <w:bCs/>
                <w:color w:val="auto"/>
                <w:szCs w:val="21"/>
              </w:rPr>
            </w:pPr>
            <w:r>
              <w:rPr>
                <w:rFonts w:hint="eastAsia" w:ascii="宋体" w:hAnsi="宋体" w:cs="宋体"/>
                <w:bCs/>
                <w:color w:val="auto"/>
                <w:szCs w:val="21"/>
              </w:rPr>
              <w:t>期环</w:t>
            </w:r>
          </w:p>
          <w:p w14:paraId="29BC4ED3">
            <w:pPr>
              <w:adjustRightInd w:val="0"/>
              <w:snapToGrid w:val="0"/>
              <w:jc w:val="center"/>
              <w:rPr>
                <w:rFonts w:ascii="宋体" w:hAnsi="宋体" w:cs="宋体"/>
                <w:bCs/>
                <w:color w:val="auto"/>
                <w:szCs w:val="21"/>
              </w:rPr>
            </w:pPr>
            <w:r>
              <w:rPr>
                <w:rFonts w:hint="eastAsia" w:ascii="宋体" w:hAnsi="宋体" w:cs="宋体"/>
                <w:bCs/>
                <w:color w:val="auto"/>
                <w:szCs w:val="21"/>
              </w:rPr>
              <w:t>境影</w:t>
            </w:r>
          </w:p>
          <w:p w14:paraId="36FCB23C">
            <w:pPr>
              <w:adjustRightInd w:val="0"/>
              <w:snapToGrid w:val="0"/>
              <w:jc w:val="center"/>
              <w:rPr>
                <w:rFonts w:ascii="宋体" w:hAnsi="宋体" w:cs="宋体"/>
                <w:bCs/>
                <w:color w:val="auto"/>
                <w:szCs w:val="21"/>
              </w:rPr>
            </w:pPr>
            <w:r>
              <w:rPr>
                <w:rFonts w:hint="eastAsia" w:ascii="宋体" w:hAnsi="宋体" w:cs="宋体"/>
                <w:bCs/>
                <w:color w:val="auto"/>
                <w:szCs w:val="21"/>
              </w:rPr>
              <w:t>响和</w:t>
            </w:r>
          </w:p>
          <w:p w14:paraId="4D8D8FD8">
            <w:pPr>
              <w:adjustRightInd w:val="0"/>
              <w:snapToGrid w:val="0"/>
              <w:jc w:val="center"/>
              <w:rPr>
                <w:rFonts w:ascii="宋体" w:hAnsi="宋体" w:cs="宋体"/>
                <w:bCs/>
                <w:color w:val="auto"/>
                <w:szCs w:val="21"/>
              </w:rPr>
            </w:pPr>
            <w:r>
              <w:rPr>
                <w:rFonts w:hint="eastAsia" w:ascii="宋体" w:hAnsi="宋体" w:cs="宋体"/>
                <w:bCs/>
                <w:color w:val="auto"/>
                <w:szCs w:val="21"/>
              </w:rPr>
              <w:t>保护</w:t>
            </w:r>
          </w:p>
          <w:p w14:paraId="3B46A679">
            <w:pPr>
              <w:adjustRightInd w:val="0"/>
              <w:snapToGrid w:val="0"/>
              <w:jc w:val="center"/>
              <w:rPr>
                <w:rFonts w:ascii="宋体" w:hAnsi="宋体" w:cs="宋体"/>
                <w:bCs/>
                <w:color w:val="auto"/>
                <w:szCs w:val="21"/>
              </w:rPr>
            </w:pPr>
            <w:r>
              <w:rPr>
                <w:rFonts w:hint="eastAsia" w:ascii="宋体" w:hAnsi="宋体" w:cs="宋体"/>
                <w:bCs/>
                <w:color w:val="auto"/>
                <w:szCs w:val="21"/>
              </w:rPr>
              <w:t>措施</w:t>
            </w:r>
          </w:p>
        </w:tc>
        <w:tc>
          <w:tcPr>
            <w:tcW w:w="8629" w:type="dxa"/>
          </w:tcPr>
          <w:p w14:paraId="05655391">
            <w:pPr>
              <w:pStyle w:val="95"/>
              <w:spacing w:line="360" w:lineRule="auto"/>
              <w:ind w:firstLine="0" w:firstLineChars="0"/>
              <w:rPr>
                <w:b/>
                <w:color w:val="auto"/>
                <w:sz w:val="21"/>
                <w:szCs w:val="21"/>
              </w:rPr>
            </w:pPr>
            <w:r>
              <w:rPr>
                <w:rFonts w:hint="eastAsia"/>
                <w:b/>
                <w:color w:val="auto"/>
                <w:sz w:val="21"/>
                <w:szCs w:val="21"/>
              </w:rPr>
              <w:t>一</w:t>
            </w:r>
            <w:r>
              <w:rPr>
                <w:b/>
                <w:color w:val="auto"/>
                <w:sz w:val="21"/>
                <w:szCs w:val="21"/>
              </w:rPr>
              <w:t>、</w:t>
            </w:r>
            <w:r>
              <w:rPr>
                <w:rFonts w:hint="eastAsia"/>
                <w:b/>
                <w:color w:val="auto"/>
                <w:sz w:val="21"/>
                <w:szCs w:val="21"/>
              </w:rPr>
              <w:t>废气</w:t>
            </w:r>
          </w:p>
          <w:p w14:paraId="30B44F73">
            <w:pPr>
              <w:pStyle w:val="95"/>
              <w:spacing w:line="360" w:lineRule="auto"/>
              <w:ind w:firstLine="422"/>
              <w:rPr>
                <w:rFonts w:hint="eastAsia"/>
                <w:b/>
                <w:color w:val="auto"/>
                <w:sz w:val="21"/>
                <w:szCs w:val="21"/>
              </w:rPr>
            </w:pPr>
            <w:r>
              <w:rPr>
                <w:rFonts w:hint="eastAsia"/>
                <w:b/>
                <w:color w:val="auto"/>
                <w:sz w:val="21"/>
                <w:szCs w:val="21"/>
              </w:rPr>
              <w:t>1、废气产排情况</w:t>
            </w:r>
          </w:p>
          <w:p w14:paraId="08B9F8EC">
            <w:pPr>
              <w:spacing w:line="360" w:lineRule="auto"/>
              <w:ind w:firstLine="422" w:firstLineChars="200"/>
              <w:rPr>
                <w:b/>
                <w:color w:val="auto"/>
                <w:szCs w:val="21"/>
                <w:highlight w:val="none"/>
              </w:rPr>
            </w:pPr>
            <w:r>
              <w:rPr>
                <w:rFonts w:hint="eastAsia"/>
                <w:b/>
                <w:color w:val="auto"/>
                <w:szCs w:val="21"/>
                <w:highlight w:val="none"/>
              </w:rPr>
              <w:t>（</w:t>
            </w:r>
            <w:r>
              <w:rPr>
                <w:rFonts w:hint="eastAsia"/>
                <w:b/>
                <w:color w:val="auto"/>
                <w:szCs w:val="21"/>
                <w:highlight w:val="none"/>
                <w:lang w:val="en-US" w:eastAsia="zh-CN"/>
              </w:rPr>
              <w:t>1</w:t>
            </w:r>
            <w:r>
              <w:rPr>
                <w:rFonts w:hint="eastAsia"/>
                <w:b/>
                <w:color w:val="auto"/>
                <w:szCs w:val="21"/>
                <w:highlight w:val="none"/>
              </w:rPr>
              <w:t>）喷粉工序废气</w:t>
            </w:r>
          </w:p>
          <w:p w14:paraId="0644EBDE">
            <w:pPr>
              <w:keepNext w:val="0"/>
              <w:keepLines w:val="0"/>
              <w:pageBreakBefore w:val="0"/>
              <w:widowControl w:val="0"/>
              <w:tabs>
                <w:tab w:val="left" w:pos="6195"/>
              </w:tabs>
              <w:kinsoku/>
              <w:wordWrap/>
              <w:overflowPunct/>
              <w:topLinePunct w:val="0"/>
              <w:autoSpaceDE/>
              <w:autoSpaceDN/>
              <w:bidi w:val="0"/>
              <w:adjustRightInd w:val="0"/>
              <w:snapToGrid w:val="0"/>
              <w:spacing w:line="360" w:lineRule="auto"/>
              <w:ind w:firstLine="0" w:firstLineChars="0"/>
              <w:textAlignment w:val="auto"/>
              <w:rPr>
                <w:rFonts w:hint="default" w:eastAsia="宋体"/>
                <w:color w:val="auto"/>
                <w:szCs w:val="21"/>
                <w:lang w:val="en-US" w:eastAsia="zh-CN"/>
              </w:rPr>
            </w:pPr>
            <w:r>
              <w:rPr>
                <w:rFonts w:hint="eastAsia"/>
                <w:color w:val="auto"/>
                <w:lang w:val="en-US" w:eastAsia="zh-CN"/>
              </w:rPr>
              <w:t xml:space="preserve">    </w:t>
            </w:r>
            <w:r>
              <w:rPr>
                <w:rFonts w:hint="eastAsia"/>
                <w:color w:val="auto"/>
                <w:lang w:val="en-US" w:eastAsia="zh-CN"/>
              </w:rPr>
              <w:t>喷粉工序产生废气</w:t>
            </w:r>
            <w:r>
              <w:rPr>
                <w:rFonts w:hint="eastAsia"/>
                <w:color w:val="auto"/>
              </w:rPr>
              <w:t>参考《排放源统计调查产排污核算方法和系数手册》中</w:t>
            </w:r>
            <w:r>
              <w:rPr>
                <w:rFonts w:hint="eastAsia" w:ascii="Times New Roman" w:hAnsi="Times New Roman" w:eastAsia="宋体" w:cs="宋体"/>
                <w:color w:val="auto"/>
                <w:sz w:val="21"/>
                <w:szCs w:val="21"/>
                <w:highlight w:val="none"/>
                <w:lang w:val="en-US" w:eastAsia="zh-CN"/>
              </w:rPr>
              <w:t>33-37，431-434 机械行业系数手册-</w:t>
            </w:r>
            <w:r>
              <w:rPr>
                <w:rFonts w:hint="eastAsia"/>
                <w:color w:val="auto"/>
              </w:rPr>
              <w:t>表 14 涂装-粉末涂料-喷塑的颗粒物产污系数为 300 千克/吨-原料</w:t>
            </w:r>
            <w:r>
              <w:rPr>
                <w:rFonts w:hint="eastAsia"/>
                <w:color w:val="auto"/>
                <w:szCs w:val="21"/>
                <w:lang w:eastAsia="zh-CN"/>
              </w:rPr>
              <w:t>，</w:t>
            </w:r>
            <w:r>
              <w:rPr>
                <w:rFonts w:hint="eastAsia"/>
                <w:color w:val="auto"/>
                <w:szCs w:val="21"/>
              </w:rPr>
              <w:t>根据上文表</w:t>
            </w:r>
            <w:r>
              <w:rPr>
                <w:rFonts w:hint="eastAsia"/>
                <w:color w:val="auto"/>
                <w:szCs w:val="21"/>
                <w:lang w:val="en-US" w:eastAsia="zh-CN"/>
              </w:rPr>
              <w:t>11</w:t>
            </w:r>
            <w:r>
              <w:rPr>
                <w:rFonts w:hint="eastAsia"/>
                <w:color w:val="auto"/>
                <w:szCs w:val="21"/>
              </w:rPr>
              <w:t>、</w:t>
            </w:r>
            <w:r>
              <w:rPr>
                <w:color w:val="auto"/>
                <w:szCs w:val="21"/>
              </w:rPr>
              <w:t>表</w:t>
            </w:r>
            <w:r>
              <w:rPr>
                <w:rFonts w:hint="eastAsia"/>
                <w:color w:val="auto"/>
                <w:szCs w:val="21"/>
                <w:lang w:val="en-US" w:eastAsia="zh-CN"/>
              </w:rPr>
              <w:t>12</w:t>
            </w:r>
            <w:r>
              <w:rPr>
                <w:color w:val="auto"/>
                <w:szCs w:val="21"/>
              </w:rPr>
              <w:t>核算</w:t>
            </w:r>
            <w:r>
              <w:rPr>
                <w:rFonts w:hint="eastAsia"/>
                <w:color w:val="auto"/>
                <w:szCs w:val="21"/>
              </w:rPr>
              <w:t>，</w:t>
            </w:r>
            <w:r>
              <w:rPr>
                <w:color w:val="auto"/>
                <w:szCs w:val="21"/>
              </w:rPr>
              <w:t>可知</w:t>
            </w:r>
            <w:r>
              <w:rPr>
                <w:rFonts w:hint="eastAsia"/>
                <w:color w:val="auto"/>
                <w:szCs w:val="21"/>
              </w:rPr>
              <w:t>自动线</w:t>
            </w:r>
            <w:r>
              <w:rPr>
                <w:color w:val="auto"/>
                <w:szCs w:val="21"/>
              </w:rPr>
              <w:t>耗粉量约为</w:t>
            </w:r>
            <w:r>
              <w:rPr>
                <w:rFonts w:hint="eastAsia"/>
                <w:color w:val="auto"/>
                <w:szCs w:val="21"/>
                <w:lang w:val="en-US" w:eastAsia="zh-CN"/>
              </w:rPr>
              <w:t>14.3t/a</w:t>
            </w:r>
            <w:r>
              <w:rPr>
                <w:rFonts w:hint="eastAsia"/>
                <w:color w:val="auto"/>
                <w:szCs w:val="21"/>
              </w:rPr>
              <w:t>，</w:t>
            </w:r>
            <w:r>
              <w:rPr>
                <w:rFonts w:hint="eastAsia"/>
                <w:color w:val="auto"/>
                <w:szCs w:val="21"/>
                <w:lang w:val="en-US" w:eastAsia="zh-CN"/>
              </w:rPr>
              <w:t>手动线</w:t>
            </w:r>
            <w:r>
              <w:rPr>
                <w:rFonts w:hint="eastAsia"/>
                <w:color w:val="auto"/>
                <w:szCs w:val="21"/>
              </w:rPr>
              <w:t>耗粉量约为</w:t>
            </w:r>
            <w:r>
              <w:rPr>
                <w:rFonts w:hint="eastAsia"/>
                <w:color w:val="auto"/>
                <w:szCs w:val="21"/>
                <w:lang w:val="en-US" w:eastAsia="zh-CN"/>
              </w:rPr>
              <w:t>1.7t/a</w:t>
            </w:r>
            <w:r>
              <w:rPr>
                <w:rFonts w:hint="eastAsia"/>
                <w:color w:val="auto"/>
                <w:szCs w:val="21"/>
              </w:rPr>
              <w:t>，即自动线喷粉房产生的粉尘量为</w:t>
            </w:r>
            <w:r>
              <w:rPr>
                <w:rFonts w:hint="eastAsia"/>
                <w:color w:val="auto"/>
                <w:szCs w:val="21"/>
                <w:lang w:val="en-US" w:eastAsia="zh-CN"/>
              </w:rPr>
              <w:t>14.3t/a×</w:t>
            </w:r>
            <w:r>
              <w:rPr>
                <w:rFonts w:hint="eastAsia"/>
                <w:color w:val="auto"/>
              </w:rPr>
              <w:t xml:space="preserve"> 300 千克/吨-原料</w:t>
            </w:r>
            <w:r>
              <w:rPr>
                <w:rFonts w:hint="eastAsia"/>
                <w:color w:val="auto"/>
                <w:szCs w:val="21"/>
                <w:lang w:val="en-US" w:eastAsia="zh-CN"/>
              </w:rPr>
              <w:t>=4</w:t>
            </w:r>
            <w:r>
              <w:rPr>
                <w:color w:val="auto"/>
                <w:szCs w:val="21"/>
              </w:rPr>
              <w:t>.</w:t>
            </w:r>
            <w:r>
              <w:rPr>
                <w:rFonts w:hint="eastAsia"/>
                <w:color w:val="auto"/>
                <w:szCs w:val="21"/>
                <w:lang w:val="en-US" w:eastAsia="zh-CN"/>
              </w:rPr>
              <w:t>29</w:t>
            </w:r>
            <w:r>
              <w:rPr>
                <w:color w:val="auto"/>
                <w:szCs w:val="21"/>
              </w:rPr>
              <w:t>/a</w:t>
            </w:r>
            <w:r>
              <w:rPr>
                <w:rFonts w:hint="eastAsia"/>
                <w:color w:val="auto"/>
                <w:szCs w:val="21"/>
                <w:lang w:eastAsia="zh-CN"/>
              </w:rPr>
              <w:t>，</w:t>
            </w:r>
            <w:r>
              <w:rPr>
                <w:rFonts w:hint="eastAsia"/>
                <w:color w:val="auto"/>
                <w:szCs w:val="21"/>
              </w:rPr>
              <w:t>手动线喷粉柜产生的粉尘量为</w:t>
            </w:r>
            <w:r>
              <w:rPr>
                <w:rFonts w:hint="eastAsia"/>
                <w:color w:val="auto"/>
                <w:szCs w:val="21"/>
                <w:lang w:val="en-US" w:eastAsia="zh-CN"/>
              </w:rPr>
              <w:t>1.7t/a×</w:t>
            </w:r>
            <w:r>
              <w:rPr>
                <w:rFonts w:hint="eastAsia"/>
                <w:color w:val="auto"/>
              </w:rPr>
              <w:t>300 千克/吨-原料</w:t>
            </w:r>
            <w:r>
              <w:rPr>
                <w:rFonts w:hint="eastAsia"/>
                <w:color w:val="auto"/>
                <w:szCs w:val="21"/>
                <w:lang w:val="en-US" w:eastAsia="zh-CN"/>
              </w:rPr>
              <w:t>=0</w:t>
            </w:r>
            <w:r>
              <w:rPr>
                <w:color w:val="auto"/>
                <w:szCs w:val="21"/>
              </w:rPr>
              <w:t>.</w:t>
            </w:r>
            <w:r>
              <w:rPr>
                <w:rFonts w:hint="eastAsia"/>
                <w:color w:val="auto"/>
                <w:szCs w:val="21"/>
                <w:lang w:val="en-US" w:eastAsia="zh-CN"/>
              </w:rPr>
              <w:t>51</w:t>
            </w:r>
            <w:r>
              <w:rPr>
                <w:color w:val="auto"/>
                <w:szCs w:val="21"/>
              </w:rPr>
              <w:t>t/a</w:t>
            </w:r>
            <w:r>
              <w:rPr>
                <w:rFonts w:hint="eastAsia"/>
                <w:color w:val="auto"/>
                <w:szCs w:val="21"/>
              </w:rPr>
              <w:t>。</w:t>
            </w:r>
          </w:p>
          <w:p w14:paraId="2C33E2EE">
            <w:pPr>
              <w:spacing w:line="360" w:lineRule="auto"/>
              <w:ind w:firstLine="422" w:firstLineChars="200"/>
              <w:rPr>
                <w:rFonts w:hint="default" w:eastAsia="宋体"/>
                <w:b/>
                <w:color w:val="auto"/>
                <w:szCs w:val="21"/>
                <w:lang w:val="en-US" w:eastAsia="zh-CN"/>
              </w:rPr>
            </w:pPr>
            <w:r>
              <w:rPr>
                <w:rFonts w:hint="eastAsia"/>
                <w:b/>
                <w:color w:val="auto"/>
                <w:szCs w:val="21"/>
              </w:rPr>
              <w:t>①自动线喷粉房</w:t>
            </w:r>
            <w:r>
              <w:rPr>
                <w:rFonts w:hint="eastAsia"/>
                <w:b/>
                <w:color w:val="auto"/>
                <w:szCs w:val="21"/>
                <w:lang w:val="en-US" w:eastAsia="zh-CN"/>
              </w:rPr>
              <w:t>废气收集可行性分析</w:t>
            </w:r>
          </w:p>
          <w:p w14:paraId="51208F78">
            <w:pPr>
              <w:spacing w:line="360" w:lineRule="auto"/>
              <w:ind w:firstLine="420" w:firstLineChars="200"/>
              <w:rPr>
                <w:rFonts w:hint="eastAsia"/>
                <w:strike w:val="0"/>
                <w:color w:val="auto"/>
                <w:szCs w:val="21"/>
                <w:lang w:eastAsia="zh-CN"/>
              </w:rPr>
            </w:pPr>
            <w:r>
              <w:rPr>
                <w:rFonts w:hint="eastAsia"/>
                <w:color w:val="auto"/>
                <w:szCs w:val="21"/>
              </w:rPr>
              <w:t>自动线喷粉房粉尘产生的粉尘量为</w:t>
            </w:r>
            <w:r>
              <w:rPr>
                <w:rFonts w:hint="eastAsia"/>
                <w:color w:val="auto"/>
                <w:szCs w:val="21"/>
                <w:lang w:val="en-US" w:eastAsia="zh-CN"/>
              </w:rPr>
              <w:t>4</w:t>
            </w:r>
            <w:r>
              <w:rPr>
                <w:color w:val="auto"/>
                <w:szCs w:val="21"/>
              </w:rPr>
              <w:t>.</w:t>
            </w:r>
            <w:r>
              <w:rPr>
                <w:rFonts w:hint="eastAsia"/>
                <w:color w:val="auto"/>
                <w:szCs w:val="21"/>
                <w:lang w:val="en-US" w:eastAsia="zh-CN"/>
              </w:rPr>
              <w:t>29t</w:t>
            </w:r>
            <w:r>
              <w:rPr>
                <w:color w:val="auto"/>
                <w:szCs w:val="21"/>
              </w:rPr>
              <w:t>/a</w:t>
            </w:r>
            <w:r>
              <w:rPr>
                <w:rFonts w:hint="eastAsia"/>
                <w:color w:val="auto"/>
                <w:szCs w:val="21"/>
                <w:lang w:eastAsia="zh-CN"/>
              </w:rPr>
              <w:t>，</w:t>
            </w:r>
            <w:r>
              <w:rPr>
                <w:rFonts w:hint="eastAsia"/>
                <w:strike w:val="0"/>
                <w:dstrike w:val="0"/>
                <w:color w:val="auto"/>
                <w:szCs w:val="21"/>
              </w:rPr>
              <w:t>项目设有</w:t>
            </w:r>
            <w:r>
              <w:rPr>
                <w:rFonts w:hint="eastAsia"/>
                <w:strike w:val="0"/>
                <w:dstrike w:val="0"/>
                <w:color w:val="auto"/>
                <w:szCs w:val="21"/>
                <w:lang w:val="en-US" w:eastAsia="zh-CN"/>
              </w:rPr>
              <w:t>3</w:t>
            </w:r>
            <w:r>
              <w:rPr>
                <w:rFonts w:hint="eastAsia"/>
                <w:strike w:val="0"/>
                <w:dstrike w:val="0"/>
                <w:color w:val="auto"/>
                <w:szCs w:val="21"/>
                <w:lang w:eastAsia="zh-CN"/>
              </w:rPr>
              <w:t>间</w:t>
            </w:r>
            <w:r>
              <w:rPr>
                <w:rFonts w:hint="eastAsia"/>
                <w:strike w:val="0"/>
                <w:dstrike w:val="0"/>
                <w:color w:val="auto"/>
                <w:szCs w:val="21"/>
              </w:rPr>
              <w:t>喷粉房，</w:t>
            </w:r>
            <w:r>
              <w:rPr>
                <w:rFonts w:hint="eastAsia"/>
                <w:strike w:val="0"/>
                <w:dstrike w:val="0"/>
                <w:color w:val="auto"/>
                <w:szCs w:val="21"/>
                <w:lang w:val="en-US" w:eastAsia="zh-CN"/>
              </w:rPr>
              <w:t>喷粉房与集气管道直连，每间喷粉房仅保留1个操作工位和</w:t>
            </w:r>
            <w:r>
              <w:rPr>
                <w:rFonts w:hint="eastAsia"/>
                <w:strike w:val="0"/>
                <w:dstrike w:val="0"/>
                <w:color w:val="auto"/>
                <w:szCs w:val="21"/>
              </w:rPr>
              <w:t>产品进出口敞开，</w:t>
            </w:r>
            <w:r>
              <w:rPr>
                <w:rFonts w:hint="eastAsia"/>
                <w:strike w:val="0"/>
                <w:dstrike w:val="0"/>
                <w:color w:val="auto"/>
                <w:szCs w:val="21"/>
                <w:lang w:val="en-US" w:eastAsia="zh-CN"/>
              </w:rPr>
              <w:t>敞开面控制风速为0.5m/s，产品进出口小于操作工位敞开口，</w:t>
            </w:r>
            <w:r>
              <w:rPr>
                <w:rFonts w:hint="eastAsia"/>
                <w:strike w:val="0"/>
                <w:dstrike w:val="0"/>
                <w:color w:val="auto"/>
                <w:szCs w:val="21"/>
              </w:rPr>
              <w:t>其他地方均密闭，</w:t>
            </w:r>
            <w:r>
              <w:rPr>
                <w:rFonts w:hint="eastAsia"/>
                <w:strike w:val="0"/>
                <w:dstrike w:val="0"/>
                <w:color w:val="auto"/>
                <w:szCs w:val="21"/>
                <w:lang w:val="en-US" w:eastAsia="zh-CN"/>
              </w:rPr>
              <w:t>因此废气收集方式为</w:t>
            </w:r>
            <w:r>
              <w:rPr>
                <w:rFonts w:hint="eastAsia"/>
                <w:strike w:val="0"/>
                <w:dstrike w:val="0"/>
                <w:color w:val="auto"/>
                <w:szCs w:val="21"/>
                <w:lang w:val="en-US" w:eastAsia="zh-CN"/>
              </w:rPr>
              <w:t>半密闭罩</w:t>
            </w:r>
            <w:r>
              <w:rPr>
                <w:rFonts w:hint="eastAsia"/>
                <w:strike w:val="0"/>
                <w:dstrike w:val="0"/>
                <w:color w:val="auto"/>
                <w:szCs w:val="21"/>
                <w:lang w:val="en-US" w:eastAsia="zh-CN"/>
              </w:rPr>
              <w:t>收集</w:t>
            </w:r>
            <w:r>
              <w:rPr>
                <w:rFonts w:hint="eastAsia"/>
                <w:strike w:val="0"/>
                <w:dstrike w:val="0"/>
                <w:color w:val="auto"/>
                <w:szCs w:val="21"/>
                <w:lang w:val="en-US" w:eastAsia="zh-CN"/>
              </w:rPr>
              <w:t>，仅留有1个操作工位面，</w:t>
            </w:r>
            <w:r>
              <w:rPr>
                <w:rFonts w:hint="eastAsia"/>
                <w:strike w:val="0"/>
                <w:dstrike w:val="0"/>
                <w:color w:val="auto"/>
                <w:szCs w:val="21"/>
                <w:lang w:val="en-US" w:eastAsia="zh-CN"/>
              </w:rPr>
              <w:t>收集效率按</w:t>
            </w:r>
            <w:r>
              <w:rPr>
                <w:rFonts w:hint="eastAsia"/>
                <w:strike w:val="0"/>
                <w:dstrike w:val="0"/>
                <w:color w:val="auto"/>
                <w:szCs w:val="21"/>
                <w:lang w:val="en-US" w:eastAsia="zh-CN"/>
              </w:rPr>
              <w:t>65%</w:t>
            </w:r>
            <w:r>
              <w:rPr>
                <w:rFonts w:hint="eastAsia"/>
                <w:strike w:val="0"/>
                <w:dstrike w:val="0"/>
                <w:color w:val="auto"/>
                <w:szCs w:val="21"/>
                <w:lang w:val="en-US" w:eastAsia="zh-CN"/>
              </w:rPr>
              <w:t>计。</w:t>
            </w:r>
            <w:r>
              <w:rPr>
                <w:rFonts w:hint="eastAsia"/>
                <w:strike w:val="0"/>
                <w:dstrike w:val="0"/>
                <w:color w:val="auto"/>
                <w:szCs w:val="21"/>
              </w:rPr>
              <w:t>喷粉</w:t>
            </w:r>
            <w:r>
              <w:rPr>
                <w:rFonts w:hint="eastAsia"/>
                <w:strike w:val="0"/>
                <w:dstrike w:val="0"/>
                <w:color w:val="auto"/>
                <w:szCs w:val="21"/>
                <w:lang w:val="en-US" w:eastAsia="zh-CN"/>
              </w:rPr>
              <w:t>房内</w:t>
            </w:r>
            <w:r>
              <w:rPr>
                <w:rFonts w:hint="eastAsia"/>
                <w:strike w:val="0"/>
                <w:dstrike w:val="0"/>
                <w:color w:val="auto"/>
                <w:szCs w:val="21"/>
              </w:rPr>
              <w:t>配套有自动回收装置，喷粉粉尘</w:t>
            </w:r>
            <w:r>
              <w:rPr>
                <w:rFonts w:hint="eastAsia"/>
                <w:strike w:val="0"/>
                <w:dstrike w:val="0"/>
                <w:color w:val="auto"/>
                <w:szCs w:val="21"/>
                <w:lang w:val="en-US" w:eastAsia="zh-CN"/>
              </w:rPr>
              <w:t>先</w:t>
            </w:r>
            <w:r>
              <w:rPr>
                <w:rFonts w:hint="eastAsia"/>
                <w:strike w:val="0"/>
                <w:dstrike w:val="0"/>
                <w:color w:val="auto"/>
                <w:szCs w:val="21"/>
              </w:rPr>
              <w:t>通过收集管道被抽至回收系统，即自动脉冲反吹式滤芯回收器，过滤后经回收系统回收的粉末重新再用</w:t>
            </w:r>
            <w:r>
              <w:rPr>
                <w:rFonts w:hint="eastAsia"/>
                <w:strike w:val="0"/>
                <w:dstrike w:val="0"/>
                <w:color w:val="auto"/>
                <w:szCs w:val="21"/>
                <w:lang w:eastAsia="zh-CN"/>
              </w:rPr>
              <w:t>，</w:t>
            </w:r>
            <w:r>
              <w:rPr>
                <w:rFonts w:hint="eastAsia"/>
                <w:b/>
                <w:bCs/>
                <w:strike w:val="0"/>
                <w:dstrike w:val="0"/>
                <w:color w:val="auto"/>
                <w:szCs w:val="21"/>
                <w:lang w:val="en-US" w:eastAsia="zh-CN"/>
              </w:rPr>
              <w:t>逸出的粉尘再经喷粉房外滤芯回收装置捕集后回用（二级</w:t>
            </w:r>
            <w:r>
              <w:rPr>
                <w:rFonts w:hint="eastAsia"/>
                <w:b/>
                <w:bCs/>
                <w:strike w:val="0"/>
                <w:dstrike w:val="0"/>
                <w:color w:val="auto"/>
                <w:szCs w:val="21"/>
              </w:rPr>
              <w:t>滤</w:t>
            </w:r>
            <w:r>
              <w:rPr>
                <w:rFonts w:hint="eastAsia"/>
                <w:b/>
                <w:bCs/>
                <w:strike w:val="0"/>
                <w:dstrike w:val="0"/>
                <w:color w:val="auto"/>
                <w:szCs w:val="21"/>
                <w:lang w:val="en-US" w:eastAsia="zh-CN"/>
              </w:rPr>
              <w:t>芯回收装置粉尘回用率为90%）</w:t>
            </w:r>
            <w:r>
              <w:rPr>
                <w:rFonts w:hint="eastAsia"/>
                <w:strike w:val="0"/>
                <w:dstrike w:val="0"/>
                <w:color w:val="auto"/>
                <w:szCs w:val="21"/>
                <w:lang w:val="en-US" w:eastAsia="zh-CN"/>
              </w:rPr>
              <w:t>，未被捕集粉尘有组织排放。</w:t>
            </w:r>
          </w:p>
          <w:p w14:paraId="0EE811DB">
            <w:pPr>
              <w:spacing w:line="360" w:lineRule="auto"/>
              <w:ind w:firstLine="420" w:firstLineChars="200"/>
              <w:rPr>
                <w:rFonts w:hint="eastAsia"/>
                <w:color w:val="auto"/>
                <w:szCs w:val="21"/>
              </w:rPr>
            </w:pPr>
            <w:r>
              <w:rPr>
                <w:rFonts w:hint="eastAsia"/>
                <w:color w:val="auto"/>
                <w:szCs w:val="21"/>
              </w:rPr>
              <w:t>滤芯回收装置</w:t>
            </w:r>
            <w:r>
              <w:rPr>
                <w:rFonts w:hint="eastAsia"/>
                <w:color w:val="auto"/>
                <w:szCs w:val="21"/>
                <w:lang w:val="en-US" w:eastAsia="zh-CN"/>
              </w:rPr>
              <w:t>对颗粒物的</w:t>
            </w:r>
            <w:r>
              <w:rPr>
                <w:rFonts w:hint="eastAsia"/>
                <w:color w:val="auto"/>
                <w:szCs w:val="21"/>
              </w:rPr>
              <w:t>净化处理效率</w:t>
            </w:r>
            <w:r>
              <w:rPr>
                <w:rFonts w:hint="eastAsia"/>
                <w:color w:val="auto"/>
                <w:szCs w:val="21"/>
                <w:lang w:val="en-US" w:eastAsia="zh-CN"/>
              </w:rPr>
              <w:t>按90%计（参考《滤筒式除尘器》(JB/T10341-2014)，滤料的去除效率达到99.5%以上</w:t>
            </w:r>
            <w:r>
              <w:rPr>
                <w:rFonts w:hint="eastAsia"/>
                <w:color w:val="auto"/>
                <w:szCs w:val="21"/>
                <w:lang w:eastAsia="zh-CN"/>
              </w:rPr>
              <w:t>），</w:t>
            </w:r>
            <w:r>
              <w:rPr>
                <w:rFonts w:hint="eastAsia"/>
                <w:b/>
                <w:bCs/>
                <w:color w:val="auto"/>
                <w:szCs w:val="21"/>
                <w:lang w:val="en-US" w:eastAsia="zh-CN"/>
              </w:rPr>
              <w:t>二级</w:t>
            </w:r>
            <w:r>
              <w:rPr>
                <w:rFonts w:hint="eastAsia"/>
                <w:b/>
                <w:bCs/>
                <w:color w:val="auto"/>
                <w:szCs w:val="21"/>
              </w:rPr>
              <w:t>滤</w:t>
            </w:r>
            <w:r>
              <w:rPr>
                <w:rFonts w:hint="eastAsia"/>
                <w:b/>
                <w:bCs/>
                <w:color w:val="auto"/>
                <w:szCs w:val="21"/>
                <w:lang w:val="en-US" w:eastAsia="zh-CN"/>
              </w:rPr>
              <w:t>芯回收</w:t>
            </w:r>
            <w:r>
              <w:rPr>
                <w:rFonts w:hint="eastAsia"/>
                <w:b/>
                <w:bCs/>
                <w:color w:val="auto"/>
                <w:szCs w:val="21"/>
              </w:rPr>
              <w:t>装置</w:t>
            </w:r>
            <w:r>
              <w:rPr>
                <w:rFonts w:hint="eastAsia"/>
                <w:b w:val="0"/>
                <w:bCs w:val="0"/>
                <w:color w:val="auto"/>
                <w:szCs w:val="21"/>
                <w:lang w:val="en-US" w:eastAsia="zh-CN"/>
              </w:rPr>
              <w:t>的综合处理效率为90%+（1-90%）×90%=99%</w:t>
            </w:r>
            <w:r>
              <w:rPr>
                <w:rFonts w:hint="eastAsia"/>
                <w:b w:val="0"/>
                <w:bCs w:val="0"/>
                <w:color w:val="auto"/>
                <w:szCs w:val="21"/>
                <w:lang w:val="en-US" w:eastAsia="zh-CN"/>
              </w:rPr>
              <w:t>，</w:t>
            </w:r>
            <w:r>
              <w:rPr>
                <w:rFonts w:hint="eastAsia"/>
                <w:color w:val="auto"/>
                <w:szCs w:val="21"/>
                <w:lang w:val="en-US" w:eastAsia="zh-CN"/>
              </w:rPr>
              <w:t>本项目自动线喷粉线产生颗粒物去除效率保守按95%计</w:t>
            </w:r>
            <w:r>
              <w:rPr>
                <w:rFonts w:hint="eastAsia"/>
                <w:color w:val="auto"/>
                <w:szCs w:val="21"/>
              </w:rPr>
              <w:t>。</w:t>
            </w:r>
          </w:p>
          <w:p w14:paraId="679368B2">
            <w:pPr>
              <w:spacing w:line="360" w:lineRule="auto"/>
              <w:ind w:firstLine="420" w:firstLineChars="200"/>
              <w:rPr>
                <w:rFonts w:hint="eastAsia"/>
                <w:color w:val="auto"/>
                <w:szCs w:val="21"/>
                <w:highlight w:val="none"/>
              </w:rPr>
            </w:pPr>
            <w:r>
              <w:rPr>
                <w:rFonts w:hint="eastAsia"/>
                <w:color w:val="auto"/>
                <w:szCs w:val="21"/>
                <w:lang w:val="en-US" w:eastAsia="zh-CN"/>
              </w:rPr>
              <w:t>因此自动线</w:t>
            </w:r>
            <w:r>
              <w:rPr>
                <w:rFonts w:hint="eastAsia"/>
                <w:color w:val="auto"/>
                <w:szCs w:val="21"/>
              </w:rPr>
              <w:t>喷粉工序废气</w:t>
            </w:r>
            <w:r>
              <w:rPr>
                <w:rFonts w:hint="eastAsia"/>
                <w:color w:val="auto"/>
                <w:szCs w:val="21"/>
                <w:lang w:val="en-US" w:eastAsia="zh-CN"/>
              </w:rPr>
              <w:t>为</w:t>
            </w:r>
            <w:r>
              <w:rPr>
                <w:rFonts w:hint="eastAsia"/>
                <w:color w:val="auto"/>
                <w:szCs w:val="21"/>
                <w:lang w:val="en-US" w:eastAsia="zh-CN"/>
              </w:rPr>
              <w:t>半密闭罩</w:t>
            </w:r>
            <w:r>
              <w:rPr>
                <w:rFonts w:hint="eastAsia"/>
                <w:color w:val="auto"/>
                <w:szCs w:val="21"/>
              </w:rPr>
              <w:t>收集后经</w:t>
            </w:r>
            <w:r>
              <w:rPr>
                <w:rFonts w:hint="eastAsia"/>
                <w:b/>
                <w:bCs/>
                <w:color w:val="auto"/>
                <w:szCs w:val="21"/>
                <w:lang w:val="en-US" w:eastAsia="zh-CN"/>
              </w:rPr>
              <w:t>二级滤筒除尘装置</w:t>
            </w:r>
            <w:r>
              <w:rPr>
                <w:rFonts w:hint="eastAsia"/>
                <w:color w:val="auto"/>
                <w:szCs w:val="21"/>
              </w:rPr>
              <w:t>处理后</w:t>
            </w:r>
            <w:r>
              <w:rPr>
                <w:rFonts w:hint="eastAsia"/>
                <w:color w:val="auto"/>
                <w:szCs w:val="21"/>
                <w:lang w:val="en-US" w:eastAsia="zh-CN"/>
              </w:rPr>
              <w:t>经排气筒（G1）</w:t>
            </w:r>
            <w:r>
              <w:rPr>
                <w:rFonts w:hint="eastAsia"/>
                <w:color w:val="auto"/>
                <w:szCs w:val="21"/>
              </w:rPr>
              <w:t>排放，</w:t>
            </w:r>
            <w:r>
              <w:rPr>
                <w:rFonts w:hint="eastAsia"/>
                <w:color w:val="auto"/>
                <w:szCs w:val="21"/>
                <w:lang w:val="en-US" w:eastAsia="zh-CN"/>
              </w:rPr>
              <w:t>有组织排放量为</w:t>
            </w:r>
            <w:r>
              <w:rPr>
                <w:rFonts w:hint="eastAsia"/>
                <w:strike w:val="0"/>
                <w:dstrike w:val="0"/>
                <w:color w:val="auto"/>
                <w:szCs w:val="21"/>
                <w:highlight w:val="none"/>
                <w:lang w:val="en-US" w:eastAsia="zh-CN"/>
              </w:rPr>
              <w:t>0.1394t/a，年工作时间2400h，排放速率为0.0581kg/h</w:t>
            </w:r>
            <w:r>
              <w:rPr>
                <w:rFonts w:hint="eastAsia"/>
                <w:color w:val="auto"/>
                <w:szCs w:val="21"/>
                <w:highlight w:val="none"/>
              </w:rPr>
              <w:t>。</w:t>
            </w:r>
          </w:p>
          <w:p w14:paraId="06B46E38">
            <w:pPr>
              <w:pStyle w:val="15"/>
              <w:numPr>
                <w:ilvl w:val="0"/>
                <w:numId w:val="0"/>
              </w:numPr>
              <w:rPr>
                <w:rFonts w:hint="default"/>
                <w:b/>
                <w:bCs/>
                <w:color w:val="auto"/>
                <w:sz w:val="21"/>
                <w:szCs w:val="21"/>
                <w:lang w:val="en-US" w:eastAsia="zh-CN"/>
              </w:rPr>
            </w:pPr>
            <w:r>
              <w:rPr>
                <w:rFonts w:hint="default"/>
                <w:b/>
                <w:bCs/>
                <w:color w:val="auto"/>
                <w:sz w:val="21"/>
                <w:szCs w:val="21"/>
                <w:lang w:val="en-US" w:eastAsia="zh-CN"/>
              </w:rPr>
              <w:drawing>
                <wp:inline distT="0" distB="0" distL="114300" distR="114300">
                  <wp:extent cx="5205095" cy="2329180"/>
                  <wp:effectExtent l="0" t="0" r="14605" b="13970"/>
                  <wp:docPr id="88" name="ECB019B1-382A-4266-B25C-5B523AA43C14-7" descr="C:/Users/lenovo/AppData/Local/Temp/wps.PbDRLw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CB019B1-382A-4266-B25C-5B523AA43C14-7" descr="C:/Users/lenovo/AppData/Local/Temp/wps.PbDRLwwps"/>
                          <pic:cNvPicPr>
                            <a:picLocks noChangeAspect="1"/>
                          </pic:cNvPicPr>
                        </pic:nvPicPr>
                        <pic:blipFill>
                          <a:blip r:embed="rId17"/>
                          <a:srcRect l="1927" t="4830" r="900" b="4228"/>
                          <a:stretch>
                            <a:fillRect/>
                          </a:stretch>
                        </pic:blipFill>
                        <pic:spPr>
                          <a:xfrm>
                            <a:off x="0" y="0"/>
                            <a:ext cx="5205095" cy="2329180"/>
                          </a:xfrm>
                          <a:prstGeom prst="rect">
                            <a:avLst/>
                          </a:prstGeom>
                        </pic:spPr>
                      </pic:pic>
                    </a:graphicData>
                  </a:graphic>
                </wp:inline>
              </w:drawing>
            </w:r>
          </w:p>
          <w:p w14:paraId="19F3ECE3">
            <w:pPr>
              <w:pStyle w:val="95"/>
              <w:ind w:firstLine="422"/>
              <w:jc w:val="center"/>
              <w:rPr>
                <w:rFonts w:hint="eastAsia"/>
                <w:b w:val="0"/>
                <w:bCs/>
                <w:strike w:val="0"/>
                <w:dstrike w:val="0"/>
                <w:color w:val="auto"/>
                <w:sz w:val="21"/>
                <w:szCs w:val="21"/>
                <w:lang w:val="en-US" w:eastAsia="zh-CN"/>
              </w:rPr>
            </w:pPr>
            <w:r>
              <w:rPr>
                <w:rFonts w:hint="eastAsia"/>
                <w:b w:val="0"/>
                <w:bCs/>
                <w:strike w:val="0"/>
                <w:dstrike w:val="0"/>
                <w:color w:val="auto"/>
                <w:sz w:val="21"/>
                <w:szCs w:val="21"/>
                <w:lang w:val="en-US" w:eastAsia="zh-CN"/>
              </w:rPr>
              <w:t>图2 自动喷粉线环氧聚脂粉末物料平衡情况（单位：t/a）</w:t>
            </w:r>
          </w:p>
          <w:p w14:paraId="7AC0493A">
            <w:pPr>
              <w:spacing w:line="360" w:lineRule="auto"/>
              <w:ind w:firstLine="420" w:firstLineChars="200"/>
              <w:rPr>
                <w:rFonts w:hint="eastAsia"/>
                <w:color w:val="auto"/>
                <w:szCs w:val="21"/>
                <w:highlight w:val="none"/>
              </w:rPr>
            </w:pPr>
            <w:r>
              <w:rPr>
                <w:rFonts w:hint="eastAsia"/>
                <w:b w:val="0"/>
                <w:bCs/>
                <w:color w:val="auto"/>
                <w:sz w:val="21"/>
                <w:szCs w:val="21"/>
                <w:lang w:val="en-US" w:eastAsia="zh-CN"/>
              </w:rPr>
              <w:t>注：自动喷粉线回收的粉尘回用率90%，无法回用部分为废粉尘，产生量为0.2649t/a。</w:t>
            </w:r>
          </w:p>
          <w:p w14:paraId="3025588C">
            <w:pPr>
              <w:spacing w:line="360" w:lineRule="auto"/>
              <w:ind w:firstLine="422" w:firstLineChars="200"/>
              <w:rPr>
                <w:b/>
                <w:color w:val="auto"/>
                <w:szCs w:val="21"/>
              </w:rPr>
            </w:pPr>
            <w:r>
              <w:rPr>
                <w:rFonts w:hint="eastAsia"/>
                <w:b/>
                <w:color w:val="auto"/>
                <w:szCs w:val="21"/>
              </w:rPr>
              <w:t>②手动线喷粉</w:t>
            </w:r>
            <w:r>
              <w:rPr>
                <w:rFonts w:hint="eastAsia"/>
                <w:b/>
                <w:color w:val="auto"/>
                <w:szCs w:val="21"/>
                <w:lang w:val="en-US" w:eastAsia="zh-CN"/>
              </w:rPr>
              <w:t>柜废气收集可行性分析</w:t>
            </w:r>
          </w:p>
          <w:p w14:paraId="38889333">
            <w:pPr>
              <w:spacing w:line="360" w:lineRule="auto"/>
              <w:ind w:firstLine="420" w:firstLineChars="200"/>
              <w:rPr>
                <w:rFonts w:hint="eastAsia"/>
                <w:color w:val="auto"/>
                <w:szCs w:val="21"/>
              </w:rPr>
            </w:pPr>
            <w:r>
              <w:rPr>
                <w:rFonts w:hint="eastAsia"/>
                <w:strike w:val="0"/>
                <w:dstrike w:val="0"/>
                <w:color w:val="auto"/>
                <w:szCs w:val="21"/>
              </w:rPr>
              <w:t>手动线喷粉柜产生的粉尘量为</w:t>
            </w:r>
            <w:r>
              <w:rPr>
                <w:rFonts w:hint="eastAsia"/>
                <w:strike w:val="0"/>
                <w:dstrike w:val="0"/>
                <w:color w:val="auto"/>
                <w:szCs w:val="21"/>
                <w:lang w:val="en-US" w:eastAsia="zh-CN"/>
              </w:rPr>
              <w:t>0</w:t>
            </w:r>
            <w:r>
              <w:rPr>
                <w:strike w:val="0"/>
                <w:dstrike w:val="0"/>
                <w:color w:val="auto"/>
                <w:szCs w:val="21"/>
              </w:rPr>
              <w:t>.</w:t>
            </w:r>
            <w:r>
              <w:rPr>
                <w:rFonts w:hint="eastAsia"/>
                <w:strike w:val="0"/>
                <w:dstrike w:val="0"/>
                <w:color w:val="auto"/>
                <w:szCs w:val="21"/>
                <w:lang w:val="en-US" w:eastAsia="zh-CN"/>
              </w:rPr>
              <w:t>51</w:t>
            </w:r>
            <w:r>
              <w:rPr>
                <w:strike w:val="0"/>
                <w:dstrike w:val="0"/>
                <w:color w:val="auto"/>
                <w:szCs w:val="21"/>
              </w:rPr>
              <w:t>t/a</w:t>
            </w:r>
            <w:r>
              <w:rPr>
                <w:rFonts w:hint="eastAsia"/>
                <w:strike w:val="0"/>
                <w:dstrike w:val="0"/>
                <w:color w:val="auto"/>
                <w:szCs w:val="21"/>
                <w:lang w:eastAsia="zh-CN"/>
              </w:rPr>
              <w:t>，</w:t>
            </w:r>
            <w:r>
              <w:rPr>
                <w:rFonts w:hint="eastAsia"/>
                <w:strike w:val="0"/>
                <w:dstrike w:val="0"/>
                <w:color w:val="auto"/>
                <w:szCs w:val="21"/>
                <w:lang w:val="en-US" w:eastAsia="zh-CN"/>
              </w:rPr>
              <w:t>项目设4个喷粉柜，</w:t>
            </w:r>
            <w:r>
              <w:rPr>
                <w:rFonts w:hint="eastAsia"/>
                <w:strike w:val="0"/>
                <w:dstrike w:val="0"/>
                <w:color w:val="auto"/>
                <w:szCs w:val="21"/>
              </w:rPr>
              <w:t>喷粉柜的</w:t>
            </w:r>
            <w:r>
              <w:rPr>
                <w:rFonts w:hint="eastAsia"/>
                <w:strike w:val="0"/>
                <w:dstrike w:val="0"/>
                <w:color w:val="auto"/>
                <w:szCs w:val="21"/>
                <w:lang w:val="en-US" w:eastAsia="zh-CN"/>
              </w:rPr>
              <w:t>上</w:t>
            </w:r>
            <w:r>
              <w:rPr>
                <w:rFonts w:hint="eastAsia"/>
                <w:strike w:val="0"/>
                <w:dstrike w:val="0"/>
                <w:color w:val="auto"/>
                <w:szCs w:val="21"/>
              </w:rPr>
              <w:t>方设</w:t>
            </w:r>
            <w:r>
              <w:rPr>
                <w:rFonts w:hint="eastAsia"/>
                <w:strike w:val="0"/>
                <w:dstrike w:val="0"/>
                <w:color w:val="auto"/>
                <w:szCs w:val="21"/>
                <w:lang w:val="en-US" w:eastAsia="zh-CN"/>
              </w:rPr>
              <w:t>置集气管道</w:t>
            </w:r>
            <w:r>
              <w:rPr>
                <w:rFonts w:hint="eastAsia"/>
                <w:strike w:val="0"/>
                <w:dstrike w:val="0"/>
                <w:color w:val="auto"/>
                <w:szCs w:val="21"/>
              </w:rPr>
              <w:t>收集，</w:t>
            </w:r>
            <w:r>
              <w:rPr>
                <w:rFonts w:hint="eastAsia"/>
                <w:strike w:val="0"/>
                <w:dstrike w:val="0"/>
                <w:color w:val="auto"/>
                <w:szCs w:val="21"/>
                <w:lang w:val="en-US" w:eastAsia="zh-CN"/>
              </w:rPr>
              <w:t>每个</w:t>
            </w:r>
            <w:r>
              <w:rPr>
                <w:rFonts w:hint="eastAsia"/>
                <w:strike w:val="0"/>
                <w:dstrike w:val="0"/>
                <w:color w:val="auto"/>
                <w:szCs w:val="21"/>
              </w:rPr>
              <w:t>喷粉柜</w:t>
            </w:r>
            <w:r>
              <w:rPr>
                <w:rFonts w:hint="eastAsia"/>
                <w:strike w:val="0"/>
                <w:dstrike w:val="0"/>
                <w:color w:val="auto"/>
                <w:szCs w:val="21"/>
                <w:lang w:val="en-US" w:eastAsia="zh-CN"/>
              </w:rPr>
              <w:t>仅1个操作工位</w:t>
            </w:r>
            <w:r>
              <w:rPr>
                <w:rFonts w:hint="eastAsia"/>
                <w:strike w:val="0"/>
                <w:dstrike w:val="0"/>
                <w:color w:val="auto"/>
                <w:szCs w:val="21"/>
              </w:rPr>
              <w:t>敞开，</w:t>
            </w:r>
            <w:r>
              <w:rPr>
                <w:rFonts w:hint="eastAsia"/>
                <w:strike w:val="0"/>
                <w:dstrike w:val="0"/>
                <w:color w:val="auto"/>
                <w:szCs w:val="21"/>
                <w:lang w:val="en-US" w:eastAsia="zh-CN"/>
              </w:rPr>
              <w:t>敞开面控制风速为0.5m/s，其他地方均密闭，因此废气收集方式为</w:t>
            </w:r>
            <w:r>
              <w:rPr>
                <w:rFonts w:hint="eastAsia"/>
                <w:strike w:val="0"/>
                <w:dstrike w:val="0"/>
                <w:color w:val="auto"/>
                <w:szCs w:val="21"/>
                <w:lang w:val="en-US" w:eastAsia="zh-CN"/>
              </w:rPr>
              <w:t>半密闭罩</w:t>
            </w:r>
            <w:r>
              <w:rPr>
                <w:rFonts w:hint="eastAsia"/>
                <w:strike w:val="0"/>
                <w:dstrike w:val="0"/>
                <w:color w:val="auto"/>
                <w:szCs w:val="21"/>
                <w:lang w:val="en-US" w:eastAsia="zh-CN"/>
              </w:rPr>
              <w:t>收集</w:t>
            </w:r>
            <w:r>
              <w:rPr>
                <w:rFonts w:hint="eastAsia"/>
                <w:strike w:val="0"/>
                <w:dstrike w:val="0"/>
                <w:color w:val="auto"/>
                <w:szCs w:val="21"/>
                <w:lang w:val="en-US" w:eastAsia="zh-CN"/>
              </w:rPr>
              <w:t>，</w:t>
            </w:r>
            <w:r>
              <w:rPr>
                <w:rFonts w:hint="eastAsia"/>
                <w:strike w:val="0"/>
                <w:dstrike w:val="0"/>
                <w:color w:val="auto"/>
                <w:szCs w:val="21"/>
                <w:lang w:val="en-US" w:eastAsia="zh-CN"/>
              </w:rPr>
              <w:t>仅留有1个操作工位面，</w:t>
            </w:r>
            <w:r>
              <w:rPr>
                <w:rFonts w:hint="eastAsia"/>
                <w:strike w:val="0"/>
                <w:dstrike w:val="0"/>
                <w:color w:val="auto"/>
                <w:szCs w:val="21"/>
              </w:rPr>
              <w:t>收集效率</w:t>
            </w:r>
            <w:r>
              <w:rPr>
                <w:rFonts w:hint="eastAsia"/>
                <w:strike w:val="0"/>
                <w:dstrike w:val="0"/>
                <w:color w:val="auto"/>
                <w:szCs w:val="21"/>
                <w:lang w:val="en-US" w:eastAsia="zh-CN"/>
              </w:rPr>
              <w:t>为65</w:t>
            </w:r>
            <w:r>
              <w:rPr>
                <w:rFonts w:hint="eastAsia"/>
                <w:strike w:val="0"/>
                <w:dstrike w:val="0"/>
                <w:color w:val="auto"/>
                <w:szCs w:val="21"/>
              </w:rPr>
              <w:t>%</w:t>
            </w:r>
            <w:r>
              <w:rPr>
                <w:rFonts w:hint="eastAsia"/>
                <w:strike w:val="0"/>
                <w:color w:val="auto"/>
                <w:szCs w:val="21"/>
                <w:lang w:eastAsia="zh-CN"/>
              </w:rPr>
              <w:t>。</w:t>
            </w:r>
          </w:p>
          <w:p w14:paraId="56D8FAC2">
            <w:pPr>
              <w:pStyle w:val="15"/>
              <w:numPr>
                <w:ilvl w:val="0"/>
                <w:numId w:val="0"/>
              </w:numPr>
              <w:ind w:firstLine="420" w:firstLineChars="200"/>
              <w:rPr>
                <w:rFonts w:hint="eastAsia"/>
                <w:b/>
                <w:bCs/>
                <w:color w:val="auto"/>
                <w:sz w:val="21"/>
                <w:szCs w:val="21"/>
                <w:highlight w:val="none"/>
                <w:lang w:val="en-US" w:eastAsia="zh-CN"/>
              </w:rPr>
            </w:pPr>
            <w:r>
              <w:rPr>
                <w:rFonts w:hint="eastAsia"/>
                <w:color w:val="auto"/>
                <w:sz w:val="21"/>
                <w:szCs w:val="21"/>
              </w:rPr>
              <w:t>手动线喷粉</w:t>
            </w:r>
            <w:r>
              <w:rPr>
                <w:color w:val="auto"/>
                <w:sz w:val="21"/>
                <w:szCs w:val="21"/>
              </w:rPr>
              <w:t>工序</w:t>
            </w:r>
            <w:r>
              <w:rPr>
                <w:rFonts w:hint="eastAsia"/>
                <w:color w:val="auto"/>
                <w:sz w:val="21"/>
                <w:szCs w:val="21"/>
                <w:lang w:val="en-US" w:eastAsia="zh-CN"/>
              </w:rPr>
              <w:t>废气</w:t>
            </w:r>
            <w:r>
              <w:rPr>
                <w:color w:val="auto"/>
                <w:sz w:val="21"/>
                <w:szCs w:val="21"/>
              </w:rPr>
              <w:t>通过喷粉柜</w:t>
            </w:r>
            <w:r>
              <w:rPr>
                <w:rFonts w:hint="eastAsia"/>
                <w:color w:val="auto"/>
                <w:sz w:val="21"/>
                <w:szCs w:val="21"/>
              </w:rPr>
              <w:t>自带</w:t>
            </w:r>
            <w:r>
              <w:rPr>
                <w:color w:val="auto"/>
                <w:sz w:val="21"/>
                <w:szCs w:val="21"/>
              </w:rPr>
              <w:t>的</w:t>
            </w:r>
            <w:r>
              <w:rPr>
                <w:rFonts w:hint="eastAsia"/>
                <w:color w:val="auto"/>
                <w:sz w:val="21"/>
                <w:szCs w:val="21"/>
              </w:rPr>
              <w:t>滤芯回收装置处理</w:t>
            </w:r>
            <w:r>
              <w:rPr>
                <w:color w:val="auto"/>
                <w:sz w:val="21"/>
                <w:szCs w:val="21"/>
              </w:rPr>
              <w:t>，</w:t>
            </w:r>
            <w:r>
              <w:rPr>
                <w:rFonts w:hint="eastAsia"/>
                <w:color w:val="auto"/>
                <w:sz w:val="21"/>
                <w:szCs w:val="21"/>
                <w:lang w:val="en-US" w:eastAsia="zh-CN"/>
              </w:rPr>
              <w:t>再经喷粉柜外滤芯回收装置处理后有组织排放（参考自动线喷粉废气），</w:t>
            </w:r>
            <w:r>
              <w:rPr>
                <w:rFonts w:hint="eastAsia"/>
                <w:b/>
                <w:bCs/>
                <w:color w:val="auto"/>
                <w:sz w:val="21"/>
                <w:szCs w:val="21"/>
                <w:lang w:val="en-US" w:eastAsia="zh-CN"/>
              </w:rPr>
              <w:t>二级</w:t>
            </w:r>
            <w:r>
              <w:rPr>
                <w:rFonts w:hint="eastAsia"/>
                <w:b/>
                <w:bCs/>
                <w:color w:val="auto"/>
                <w:sz w:val="21"/>
                <w:szCs w:val="21"/>
              </w:rPr>
              <w:t>滤芯回收装置</w:t>
            </w:r>
            <w:r>
              <w:rPr>
                <w:rFonts w:hint="eastAsia"/>
                <w:color w:val="auto"/>
                <w:sz w:val="21"/>
                <w:szCs w:val="21"/>
                <w:lang w:val="en-US" w:eastAsia="zh-CN"/>
              </w:rPr>
              <w:t>的综合处理效率为</w:t>
            </w:r>
            <w:r>
              <w:rPr>
                <w:color w:val="auto"/>
                <w:sz w:val="21"/>
                <w:szCs w:val="21"/>
              </w:rPr>
              <w:t>9</w:t>
            </w:r>
            <w:r>
              <w:rPr>
                <w:rFonts w:hint="eastAsia"/>
                <w:color w:val="auto"/>
                <w:sz w:val="21"/>
                <w:szCs w:val="21"/>
                <w:lang w:val="en-US" w:eastAsia="zh-CN"/>
              </w:rPr>
              <w:t>5</w:t>
            </w:r>
            <w:r>
              <w:rPr>
                <w:rFonts w:hint="eastAsia"/>
                <w:color w:val="auto"/>
                <w:sz w:val="21"/>
                <w:szCs w:val="21"/>
              </w:rPr>
              <w:t>%。</w:t>
            </w:r>
            <w:r>
              <w:rPr>
                <w:rFonts w:hint="eastAsia"/>
                <w:color w:val="auto"/>
                <w:sz w:val="21"/>
                <w:szCs w:val="21"/>
                <w:lang w:val="en-US" w:eastAsia="zh-CN"/>
              </w:rPr>
              <w:t>手动线</w:t>
            </w:r>
            <w:r>
              <w:rPr>
                <w:rFonts w:hint="eastAsia"/>
                <w:color w:val="auto"/>
                <w:sz w:val="21"/>
                <w:szCs w:val="21"/>
              </w:rPr>
              <w:t>喷粉工序废气</w:t>
            </w:r>
            <w:r>
              <w:rPr>
                <w:rFonts w:hint="eastAsia"/>
                <w:color w:val="auto"/>
                <w:sz w:val="21"/>
                <w:szCs w:val="21"/>
                <w:lang w:val="en-US" w:eastAsia="zh-CN"/>
              </w:rPr>
              <w:t>半密闭罩</w:t>
            </w:r>
            <w:r>
              <w:rPr>
                <w:rFonts w:hint="eastAsia"/>
                <w:color w:val="auto"/>
                <w:sz w:val="21"/>
                <w:szCs w:val="21"/>
              </w:rPr>
              <w:t>收集后经</w:t>
            </w:r>
            <w:r>
              <w:rPr>
                <w:rFonts w:hint="eastAsia"/>
                <w:b/>
                <w:bCs/>
                <w:color w:val="auto"/>
                <w:sz w:val="21"/>
                <w:szCs w:val="21"/>
                <w:lang w:val="en-US" w:eastAsia="zh-CN"/>
              </w:rPr>
              <w:t>二级</w:t>
            </w:r>
            <w:r>
              <w:rPr>
                <w:rFonts w:hint="eastAsia"/>
                <w:b/>
                <w:bCs/>
                <w:color w:val="auto"/>
                <w:sz w:val="21"/>
                <w:szCs w:val="21"/>
              </w:rPr>
              <w:t>滤芯回收装置</w:t>
            </w:r>
            <w:r>
              <w:rPr>
                <w:rFonts w:hint="eastAsia"/>
                <w:color w:val="auto"/>
                <w:sz w:val="21"/>
                <w:szCs w:val="21"/>
              </w:rPr>
              <w:t>处理后</w:t>
            </w:r>
            <w:r>
              <w:rPr>
                <w:rFonts w:hint="eastAsia"/>
                <w:color w:val="auto"/>
                <w:sz w:val="21"/>
                <w:szCs w:val="21"/>
                <w:lang w:val="en-US" w:eastAsia="zh-CN"/>
              </w:rPr>
              <w:t>烟囱（G1）</w:t>
            </w:r>
            <w:r>
              <w:rPr>
                <w:rFonts w:hint="eastAsia"/>
                <w:color w:val="auto"/>
                <w:sz w:val="21"/>
                <w:szCs w:val="21"/>
              </w:rPr>
              <w:t>排放，</w:t>
            </w:r>
            <w:r>
              <w:rPr>
                <w:rFonts w:hint="eastAsia"/>
                <w:strike w:val="0"/>
                <w:dstrike w:val="0"/>
                <w:color w:val="auto"/>
                <w:sz w:val="21"/>
                <w:szCs w:val="21"/>
                <w:lang w:val="en-US" w:eastAsia="zh-CN"/>
              </w:rPr>
              <w:t>有组织排放量为</w:t>
            </w:r>
            <w:r>
              <w:rPr>
                <w:rFonts w:hint="eastAsia"/>
                <w:strike w:val="0"/>
                <w:dstrike w:val="0"/>
                <w:color w:val="auto"/>
                <w:sz w:val="21"/>
                <w:szCs w:val="21"/>
                <w:highlight w:val="none"/>
                <w:lang w:val="en-US" w:eastAsia="zh-CN"/>
              </w:rPr>
              <w:t>0.0166t/a，年工作时间300h，排放速率为0.0553kg/h。</w:t>
            </w:r>
          </w:p>
          <w:p w14:paraId="1CB41EE2">
            <w:pPr>
              <w:pStyle w:val="15"/>
              <w:jc w:val="center"/>
              <w:rPr>
                <w:rFonts w:hint="eastAsia"/>
                <w:color w:val="auto"/>
                <w:lang w:val="en-US" w:eastAsia="zh-CN"/>
              </w:rPr>
            </w:pPr>
            <w:r>
              <w:rPr>
                <w:rFonts w:hint="eastAsia"/>
                <w:color w:val="auto"/>
                <w:lang w:val="en-US" w:eastAsia="zh-CN"/>
              </w:rPr>
              <w:drawing>
                <wp:inline distT="0" distB="0" distL="114300" distR="114300">
                  <wp:extent cx="5393690" cy="2442210"/>
                  <wp:effectExtent l="0" t="0" r="0" b="0"/>
                  <wp:docPr id="89" name="ECB019B1-382A-4266-B25C-5B523AA43C14-8" descr="C:/Users/lenovo/AppData/Local/Temp/wps.QGgvja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CB019B1-382A-4266-B25C-5B523AA43C14-8" descr="C:/Users/lenovo/AppData/Local/Temp/wps.QGgvjawps"/>
                          <pic:cNvPicPr>
                            <a:picLocks noChangeAspect="1"/>
                          </pic:cNvPicPr>
                        </pic:nvPicPr>
                        <pic:blipFill>
                          <a:blip r:embed="rId18"/>
                          <a:srcRect l="1651" t="4768" b="2372"/>
                          <a:stretch>
                            <a:fillRect/>
                          </a:stretch>
                        </pic:blipFill>
                        <pic:spPr>
                          <a:xfrm>
                            <a:off x="0" y="0"/>
                            <a:ext cx="5393690" cy="2442210"/>
                          </a:xfrm>
                          <a:prstGeom prst="rect">
                            <a:avLst/>
                          </a:prstGeom>
                        </pic:spPr>
                      </pic:pic>
                    </a:graphicData>
                  </a:graphic>
                </wp:inline>
              </w:drawing>
            </w:r>
          </w:p>
          <w:p w14:paraId="27A3FB73">
            <w:pPr>
              <w:pStyle w:val="15"/>
              <w:jc w:val="center"/>
              <w:rPr>
                <w:rFonts w:hint="eastAsia"/>
                <w:strike w:val="0"/>
                <w:color w:val="auto"/>
                <w:lang w:val="en-US" w:eastAsia="zh-CN"/>
              </w:rPr>
            </w:pPr>
            <w:r>
              <w:rPr>
                <w:rFonts w:hint="eastAsia"/>
                <w:b w:val="0"/>
                <w:bCs/>
                <w:strike w:val="0"/>
                <w:dstrike w:val="0"/>
                <w:color w:val="auto"/>
                <w:sz w:val="21"/>
                <w:szCs w:val="21"/>
                <w:lang w:val="en-US" w:eastAsia="zh-CN"/>
              </w:rPr>
              <w:t>图3 手动喷粉线环氧聚脂粉末物料平衡情况（单位：t/a）</w:t>
            </w:r>
          </w:p>
          <w:p w14:paraId="041DD556">
            <w:pPr>
              <w:pStyle w:val="15"/>
              <w:ind w:firstLine="420" w:firstLineChars="200"/>
              <w:jc w:val="left"/>
              <w:rPr>
                <w:rFonts w:hint="default"/>
                <w:b w:val="0"/>
                <w:bCs/>
                <w:color w:val="auto"/>
                <w:sz w:val="21"/>
                <w:szCs w:val="21"/>
                <w:lang w:val="en-US" w:eastAsia="zh-CN"/>
              </w:rPr>
            </w:pPr>
            <w:r>
              <w:rPr>
                <w:rFonts w:hint="eastAsia"/>
                <w:b w:val="0"/>
                <w:bCs/>
                <w:color w:val="auto"/>
                <w:sz w:val="21"/>
                <w:szCs w:val="21"/>
                <w:lang w:val="en-US" w:eastAsia="zh-CN"/>
              </w:rPr>
              <w:t>注：</w:t>
            </w:r>
            <w:r>
              <w:rPr>
                <w:rFonts w:hint="eastAsia"/>
                <w:b w:val="0"/>
                <w:bCs/>
                <w:color w:val="auto"/>
                <w:sz w:val="21"/>
                <w:szCs w:val="21"/>
                <w:lang w:val="en-US" w:eastAsia="zh-CN"/>
              </w:rPr>
              <w:t>手动喷粉线回收的粉尘回用率90%，无法回用部分为废粉尘，产生量为0.0315t/a。</w:t>
            </w:r>
          </w:p>
          <w:p w14:paraId="3AC15ECB">
            <w:pPr>
              <w:spacing w:line="360" w:lineRule="auto"/>
              <w:ind w:firstLine="422" w:firstLineChars="200"/>
              <w:rPr>
                <w:b/>
                <w:color w:val="auto"/>
                <w:szCs w:val="21"/>
                <w:highlight w:val="none"/>
              </w:rPr>
            </w:pPr>
            <w:r>
              <w:rPr>
                <w:b/>
                <w:color w:val="auto"/>
                <w:szCs w:val="21"/>
                <w:highlight w:val="none"/>
              </w:rPr>
              <w:t>风量设计分析：</w:t>
            </w:r>
          </w:p>
          <w:p w14:paraId="6DACC6A3">
            <w:pPr>
              <w:spacing w:line="360" w:lineRule="auto"/>
              <w:ind w:firstLine="420" w:firstLineChars="200"/>
              <w:rPr>
                <w:color w:val="auto"/>
                <w:szCs w:val="21"/>
                <w:highlight w:val="none"/>
              </w:rPr>
            </w:pPr>
            <w:r>
              <w:rPr>
                <w:color w:val="auto"/>
                <w:szCs w:val="21"/>
                <w:highlight w:val="none"/>
              </w:rPr>
              <w:t>依据《</w:t>
            </w:r>
            <w:r>
              <w:rPr>
                <w:rFonts w:hint="eastAsia"/>
                <w:color w:val="auto"/>
                <w:szCs w:val="21"/>
                <w:highlight w:val="none"/>
              </w:rPr>
              <w:t>废气处理工程技术手册</w:t>
            </w:r>
            <w:r>
              <w:rPr>
                <w:color w:val="auto"/>
                <w:szCs w:val="21"/>
                <w:highlight w:val="none"/>
              </w:rPr>
              <w:t xml:space="preserve">》中有关公式： </w:t>
            </w:r>
          </w:p>
          <w:p w14:paraId="702F7D3B">
            <w:pPr>
              <w:spacing w:line="360" w:lineRule="auto"/>
              <w:ind w:firstLine="420" w:firstLineChars="200"/>
              <w:rPr>
                <w:color w:val="auto"/>
                <w:szCs w:val="21"/>
                <w:highlight w:val="none"/>
              </w:rPr>
            </w:pPr>
            <w:r>
              <w:rPr>
                <w:color w:val="auto"/>
                <w:szCs w:val="21"/>
                <w:highlight w:val="none"/>
              </w:rPr>
              <w:t>Q =</w:t>
            </w:r>
            <w:r>
              <w:rPr>
                <w:rFonts w:hint="eastAsia"/>
                <w:color w:val="auto"/>
                <w:szCs w:val="21"/>
                <w:highlight w:val="none"/>
                <w:lang w:val="en-US" w:eastAsia="zh-CN"/>
              </w:rPr>
              <w:t>F</w:t>
            </w:r>
            <w:r>
              <w:rPr>
                <w:color w:val="auto"/>
                <w:szCs w:val="21"/>
                <w:highlight w:val="none"/>
              </w:rPr>
              <w:t xml:space="preserve">ν   </w:t>
            </w:r>
          </w:p>
          <w:p w14:paraId="4BDBDC44">
            <w:pPr>
              <w:spacing w:line="360" w:lineRule="auto"/>
              <w:ind w:firstLine="420" w:firstLineChars="200"/>
              <w:rPr>
                <w:color w:val="auto"/>
                <w:szCs w:val="21"/>
                <w:highlight w:val="none"/>
              </w:rPr>
            </w:pPr>
            <w:r>
              <w:rPr>
                <w:rFonts w:hint="eastAsia"/>
                <w:color w:val="auto"/>
                <w:szCs w:val="21"/>
                <w:highlight w:val="none"/>
                <w:lang w:val="en-US" w:eastAsia="zh-CN"/>
              </w:rPr>
              <w:t>式中</w:t>
            </w:r>
            <w:r>
              <w:rPr>
                <w:rFonts w:hint="eastAsia" w:ascii="Times New Roman" w:hAnsi="Times New Roman" w:eastAsia="宋体"/>
                <w:color w:val="auto"/>
                <w:spacing w:val="0"/>
                <w:sz w:val="21"/>
                <w:szCs w:val="22"/>
                <w:highlight w:val="none"/>
              </w:rPr>
              <w:t>Q：集气</w:t>
            </w:r>
            <w:r>
              <w:rPr>
                <w:rFonts w:hint="eastAsia"/>
                <w:color w:val="auto"/>
                <w:spacing w:val="0"/>
                <w:sz w:val="21"/>
                <w:szCs w:val="22"/>
                <w:highlight w:val="none"/>
                <w:lang w:val="en-US" w:eastAsia="zh-CN"/>
              </w:rPr>
              <w:t>设备</w:t>
            </w:r>
            <w:r>
              <w:rPr>
                <w:rFonts w:hint="eastAsia" w:ascii="Times New Roman" w:hAnsi="Times New Roman" w:eastAsia="宋体"/>
                <w:color w:val="auto"/>
                <w:spacing w:val="0"/>
                <w:sz w:val="21"/>
                <w:szCs w:val="22"/>
                <w:highlight w:val="none"/>
              </w:rPr>
              <w:t>排风量，</w:t>
            </w:r>
            <w:r>
              <w:rPr>
                <w:rFonts w:hint="eastAsia" w:ascii="Times New Roman" w:hAnsi="Times New Roman" w:eastAsia="宋体" w:cs="Times New Roman"/>
                <w:snapToGrid w:val="0"/>
                <w:color w:val="auto"/>
                <w:spacing w:val="0"/>
                <w:sz w:val="21"/>
                <w:szCs w:val="21"/>
                <w:highlight w:val="none"/>
                <w:lang w:val="en-US" w:eastAsia="zh-CN"/>
              </w:rPr>
              <w:t>m³</w:t>
            </w:r>
            <w:r>
              <w:rPr>
                <w:rFonts w:hint="eastAsia" w:ascii="Times New Roman" w:hAnsi="Times New Roman" w:eastAsia="宋体"/>
                <w:color w:val="auto"/>
                <w:spacing w:val="0"/>
                <w:sz w:val="21"/>
                <w:szCs w:val="22"/>
                <w:highlight w:val="none"/>
              </w:rPr>
              <w:t>/s</w:t>
            </w:r>
            <w:r>
              <w:rPr>
                <w:color w:val="auto"/>
                <w:szCs w:val="21"/>
                <w:highlight w:val="none"/>
              </w:rPr>
              <w:t>；</w:t>
            </w:r>
          </w:p>
          <w:p w14:paraId="4F133E37">
            <w:pPr>
              <w:spacing w:line="360" w:lineRule="auto"/>
              <w:ind w:firstLine="420" w:firstLineChars="200"/>
              <w:rPr>
                <w:rFonts w:hint="default" w:eastAsia="宋体"/>
                <w:color w:val="auto"/>
                <w:szCs w:val="21"/>
                <w:highlight w:val="none"/>
                <w:lang w:val="en-US" w:eastAsia="zh-CN"/>
              </w:rPr>
            </w:pPr>
            <w:r>
              <w:rPr>
                <w:rFonts w:hint="eastAsia"/>
                <w:color w:val="auto"/>
                <w:szCs w:val="21"/>
                <w:highlight w:val="none"/>
                <w:lang w:val="en-US" w:eastAsia="zh-CN"/>
              </w:rPr>
              <w:t>F：操作口面积，㎡；</w:t>
            </w:r>
          </w:p>
          <w:p w14:paraId="6F83A0F1">
            <w:pPr>
              <w:spacing w:line="360" w:lineRule="auto"/>
              <w:ind w:firstLine="420" w:firstLineChars="200"/>
              <w:rPr>
                <w:color w:val="auto"/>
                <w:szCs w:val="21"/>
                <w:highlight w:val="none"/>
              </w:rPr>
            </w:pPr>
            <w:r>
              <w:rPr>
                <w:color w:val="auto"/>
                <w:szCs w:val="21"/>
                <w:highlight w:val="none"/>
              </w:rPr>
              <w:t>ν：</w:t>
            </w:r>
            <w:r>
              <w:rPr>
                <w:rFonts w:hint="eastAsia"/>
                <w:color w:val="auto"/>
                <w:szCs w:val="21"/>
                <w:highlight w:val="none"/>
                <w:lang w:val="en-US" w:eastAsia="zh-CN"/>
              </w:rPr>
              <w:t>操作口平均速度，本项目操作口平均速度取值0.5m/s</w:t>
            </w:r>
          </w:p>
          <w:p w14:paraId="2E593272">
            <w:pPr>
              <w:pStyle w:val="108"/>
              <w:ind w:left="210" w:leftChars="0" w:firstLineChars="0"/>
              <w:jc w:val="center"/>
              <w:rPr>
                <w:rFonts w:hint="eastAsia"/>
                <w:b w:val="0"/>
                <w:bCs w:val="0"/>
                <w:color w:val="auto"/>
                <w:sz w:val="24"/>
                <w:szCs w:val="32"/>
                <w:highlight w:val="none"/>
              </w:rPr>
            </w:pPr>
            <w:r>
              <w:rPr>
                <w:rFonts w:hint="eastAsia"/>
                <w:color w:val="auto"/>
                <w:szCs w:val="21"/>
                <w:lang w:val="en-US" w:eastAsia="zh-CN"/>
              </w:rPr>
              <w:t>喷粉工序</w:t>
            </w:r>
            <w:r>
              <w:rPr>
                <w:rFonts w:hint="eastAsia"/>
                <w:b/>
                <w:bCs/>
                <w:color w:val="auto"/>
                <w:sz w:val="21"/>
                <w:szCs w:val="24"/>
                <w:highlight w:val="none"/>
              </w:rPr>
              <w:t>集气设施风机风量核算</w:t>
            </w:r>
            <w:r>
              <w:rPr>
                <w:rFonts w:hint="eastAsia"/>
                <w:b/>
                <w:bCs/>
                <w:color w:val="auto"/>
                <w:sz w:val="21"/>
                <w:szCs w:val="24"/>
                <w:highlight w:val="none"/>
                <w:lang w:val="en-US" w:eastAsia="zh-CN"/>
              </w:rPr>
              <w:t>-G1</w:t>
            </w:r>
          </w:p>
          <w:tbl>
            <w:tblPr>
              <w:tblStyle w:val="35"/>
              <w:tblW w:w="815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6"/>
              <w:gridCol w:w="661"/>
              <w:gridCol w:w="734"/>
              <w:gridCol w:w="877"/>
              <w:gridCol w:w="963"/>
              <w:gridCol w:w="941"/>
              <w:gridCol w:w="1000"/>
              <w:gridCol w:w="887"/>
              <w:gridCol w:w="792"/>
              <w:gridCol w:w="575"/>
            </w:tblGrid>
            <w:tr w14:paraId="49A0D0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3" w:hRule="atLeast"/>
                <w:jc w:val="center"/>
              </w:trPr>
              <w:tc>
                <w:tcPr>
                  <w:tcW w:w="726" w:type="dxa"/>
                  <w:vMerge w:val="restart"/>
                  <w:tcBorders>
                    <w:top w:val="single" w:color="000000" w:sz="8" w:space="0"/>
                    <w:left w:val="single" w:color="000000" w:sz="8" w:space="0"/>
                    <w:right w:val="single" w:color="000000" w:sz="8" w:space="0"/>
                  </w:tcBorders>
                  <w:noWrap w:val="0"/>
                  <w:vAlign w:val="center"/>
                </w:tcPr>
                <w:p w14:paraId="61C7F093">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治理设施编号</w:t>
                  </w:r>
                </w:p>
              </w:tc>
              <w:tc>
                <w:tcPr>
                  <w:tcW w:w="661" w:type="dxa"/>
                  <w:vMerge w:val="restart"/>
                  <w:tcBorders>
                    <w:top w:val="single" w:color="000000" w:sz="8" w:space="0"/>
                    <w:left w:val="nil"/>
                    <w:right w:val="single" w:color="000000" w:sz="8" w:space="0"/>
                  </w:tcBorders>
                  <w:noWrap w:val="0"/>
                  <w:vAlign w:val="center"/>
                </w:tcPr>
                <w:p w14:paraId="4B806D33">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废气来源</w:t>
                  </w:r>
                </w:p>
              </w:tc>
              <w:tc>
                <w:tcPr>
                  <w:tcW w:w="734" w:type="dxa"/>
                  <w:vMerge w:val="restart"/>
                  <w:tcBorders>
                    <w:top w:val="single" w:color="000000" w:sz="8" w:space="0"/>
                    <w:left w:val="nil"/>
                    <w:right w:val="single" w:color="000000" w:sz="8" w:space="0"/>
                  </w:tcBorders>
                  <w:noWrap w:val="0"/>
                  <w:vAlign w:val="center"/>
                </w:tcPr>
                <w:p w14:paraId="6F7AA28C">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废气收集方式</w:t>
                  </w:r>
                </w:p>
              </w:tc>
              <w:tc>
                <w:tcPr>
                  <w:tcW w:w="1840" w:type="dxa"/>
                  <w:gridSpan w:val="2"/>
                  <w:tcBorders>
                    <w:top w:val="single" w:color="000000" w:sz="8" w:space="0"/>
                    <w:left w:val="nil"/>
                    <w:right w:val="single" w:color="000000" w:sz="8" w:space="0"/>
                  </w:tcBorders>
                  <w:noWrap w:val="0"/>
                  <w:vAlign w:val="center"/>
                </w:tcPr>
                <w:p w14:paraId="43940D60">
                  <w:pPr>
                    <w:keepNext w:val="0"/>
                    <w:keepLines w:val="0"/>
                    <w:pageBreakBefore w:val="0"/>
                    <w:widowControl/>
                    <w:suppressLineNumbers w:val="0"/>
                    <w:kinsoku w:val="0"/>
                    <w:wordWrap w:val="0"/>
                    <w:overflowPunct/>
                    <w:topLinePunct w:val="0"/>
                    <w:autoSpaceDE/>
                    <w:autoSpaceDN/>
                    <w:bidi w:val="0"/>
                    <w:adjustRightInd/>
                    <w:snapToGrid/>
                    <w:jc w:val="center"/>
                    <w:textAlignment w:val="center"/>
                    <w:rPr>
                      <w:rFonts w:hint="default" w:ascii="Times New Roman" w:hAnsi="Times New Roman" w:eastAsia="宋体" w:cs="宋体"/>
                      <w:b/>
                      <w:bCs/>
                      <w:i w:val="0"/>
                      <w:iCs w:val="0"/>
                      <w:color w:val="auto"/>
                      <w:kern w:val="0"/>
                      <w:sz w:val="21"/>
                      <w:szCs w:val="24"/>
                      <w:highlight w:val="none"/>
                      <w:u w:val="none"/>
                      <w:lang w:val="en-US" w:eastAsia="zh-CN" w:bidi="ar"/>
                    </w:rPr>
                  </w:pPr>
                  <w:r>
                    <w:rPr>
                      <w:rFonts w:hint="eastAsia" w:ascii="Times New Roman" w:hAnsi="Times New Roman" w:eastAsia="宋体" w:cs="宋体"/>
                      <w:b/>
                      <w:bCs/>
                      <w:i w:val="0"/>
                      <w:iCs w:val="0"/>
                      <w:color w:val="auto"/>
                      <w:sz w:val="21"/>
                      <w:szCs w:val="24"/>
                      <w:highlight w:val="none"/>
                      <w:u w:val="none"/>
                      <w:lang w:val="en-US" w:eastAsia="zh-CN"/>
                    </w:rPr>
                    <w:t>喷粉柜（房）操作工位敞开面尺寸（F）</w:t>
                  </w:r>
                </w:p>
              </w:tc>
              <w:tc>
                <w:tcPr>
                  <w:tcW w:w="941" w:type="dxa"/>
                  <w:vMerge w:val="restart"/>
                  <w:tcBorders>
                    <w:top w:val="single" w:color="000000" w:sz="8" w:space="0"/>
                    <w:left w:val="nil"/>
                    <w:right w:val="single" w:color="000000" w:sz="8" w:space="0"/>
                  </w:tcBorders>
                  <w:noWrap w:val="0"/>
                  <w:vAlign w:val="center"/>
                </w:tcPr>
                <w:p w14:paraId="18840B84">
                  <w:pPr>
                    <w:keepNext w:val="0"/>
                    <w:keepLines w:val="0"/>
                    <w:widowControl/>
                    <w:suppressLineNumbers w:val="0"/>
                    <w:jc w:val="center"/>
                    <w:textAlignment w:val="center"/>
                    <w:rPr>
                      <w:rFonts w:hint="default" w:ascii="Times New Roman" w:hAnsi="Times New Roman" w:eastAsia="宋体" w:cs="宋体"/>
                      <w:b/>
                      <w:bCs/>
                      <w:i w:val="0"/>
                      <w:iCs w:val="0"/>
                      <w:color w:val="auto"/>
                      <w:sz w:val="21"/>
                      <w:szCs w:val="24"/>
                      <w:highlight w:val="none"/>
                      <w:u w:val="none"/>
                      <w:lang w:val="en-US" w:eastAsia="zh-CN"/>
                    </w:rPr>
                  </w:pPr>
                  <w:r>
                    <w:rPr>
                      <w:rFonts w:hint="eastAsia" w:ascii="Times New Roman" w:hAnsi="Times New Roman" w:eastAsia="宋体" w:cs="宋体"/>
                      <w:b/>
                      <w:bCs/>
                      <w:i w:val="0"/>
                      <w:iCs w:val="0"/>
                      <w:color w:val="auto"/>
                      <w:sz w:val="21"/>
                      <w:szCs w:val="24"/>
                      <w:highlight w:val="none"/>
                      <w:u w:val="none"/>
                      <w:lang w:val="en-US" w:eastAsia="zh-CN"/>
                    </w:rPr>
                    <w:t>操作口平均速度(v)</w:t>
                  </w:r>
                  <w:r>
                    <w:rPr>
                      <w:rFonts w:hint="eastAsia" w:ascii="Times New Roman" w:hAnsi="Times New Roman" w:eastAsia="宋体"/>
                      <w:b/>
                      <w:bCs/>
                      <w:color w:val="auto"/>
                      <w:szCs w:val="21"/>
                      <w:highlight w:val="none"/>
                      <w:lang w:val="en-US" w:eastAsia="zh-CN"/>
                    </w:rPr>
                    <w:t>m/s</w:t>
                  </w:r>
                </w:p>
              </w:tc>
              <w:tc>
                <w:tcPr>
                  <w:tcW w:w="1000" w:type="dxa"/>
                  <w:vMerge w:val="restart"/>
                  <w:tcBorders>
                    <w:top w:val="single" w:color="000000" w:sz="8" w:space="0"/>
                    <w:left w:val="nil"/>
                    <w:right w:val="single" w:color="000000" w:sz="8" w:space="0"/>
                  </w:tcBorders>
                  <w:noWrap w:val="0"/>
                  <w:vAlign w:val="center"/>
                </w:tcPr>
                <w:p w14:paraId="77677F95">
                  <w:pPr>
                    <w:keepNext w:val="0"/>
                    <w:keepLines w:val="0"/>
                    <w:pageBreakBefore w:val="0"/>
                    <w:widowControl/>
                    <w:suppressLineNumbers w:val="0"/>
                    <w:kinsoku w:val="0"/>
                    <w:wordWrap w:val="0"/>
                    <w:overflowPunct/>
                    <w:topLinePunct w:val="0"/>
                    <w:autoSpaceDE/>
                    <w:autoSpaceDN/>
                    <w:bidi w:val="0"/>
                    <w:adjustRightInd/>
                    <w:snapToGrid/>
                    <w:jc w:val="center"/>
                    <w:textAlignment w:val="center"/>
                    <w:rPr>
                      <w:rFonts w:hint="default" w:ascii="Times New Roman" w:hAnsi="Times New Roman" w:eastAsia="宋体" w:cs="宋体"/>
                      <w:b/>
                      <w:bCs/>
                      <w:i w:val="0"/>
                      <w:iCs w:val="0"/>
                      <w:color w:val="auto"/>
                      <w:sz w:val="21"/>
                      <w:szCs w:val="24"/>
                      <w:highlight w:val="none"/>
                      <w:u w:val="none"/>
                      <w:lang w:val="en-US" w:eastAsia="zh-CN"/>
                    </w:rPr>
                  </w:pPr>
                  <w:r>
                    <w:rPr>
                      <w:rFonts w:hint="eastAsia" w:ascii="Times New Roman" w:hAnsi="Times New Roman" w:eastAsia="宋体" w:cs="宋体"/>
                      <w:b/>
                      <w:bCs/>
                      <w:i w:val="0"/>
                      <w:iCs w:val="0"/>
                      <w:color w:val="auto"/>
                      <w:sz w:val="21"/>
                      <w:szCs w:val="24"/>
                      <w:highlight w:val="none"/>
                      <w:u w:val="none"/>
                      <w:lang w:val="en-US" w:eastAsia="zh-CN"/>
                    </w:rPr>
                    <w:t>喷粉柜（房）数量/个</w:t>
                  </w:r>
                </w:p>
              </w:tc>
              <w:tc>
                <w:tcPr>
                  <w:tcW w:w="887" w:type="dxa"/>
                  <w:vMerge w:val="restart"/>
                  <w:tcBorders>
                    <w:top w:val="single" w:color="000000" w:sz="8" w:space="0"/>
                    <w:left w:val="nil"/>
                    <w:right w:val="single" w:color="000000" w:sz="8" w:space="0"/>
                  </w:tcBorders>
                  <w:noWrap w:val="0"/>
                  <w:vAlign w:val="center"/>
                </w:tcPr>
                <w:p w14:paraId="1AA64E85">
                  <w:pPr>
                    <w:keepNext w:val="0"/>
                    <w:keepLines w:val="0"/>
                    <w:pageBreakBefore w:val="0"/>
                    <w:widowControl/>
                    <w:suppressLineNumbers w:val="0"/>
                    <w:kinsoku w:val="0"/>
                    <w:wordWrap w:val="0"/>
                    <w:overflowPunct/>
                    <w:topLinePunct w:val="0"/>
                    <w:autoSpaceDE/>
                    <w:autoSpaceDN/>
                    <w:bidi w:val="0"/>
                    <w:adjustRightInd/>
                    <w:snapToGrid/>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理论风量(Q)</w:t>
                  </w:r>
                  <w:r>
                    <w:rPr>
                      <w:rFonts w:hint="default" w:ascii="Times New Roman" w:hAnsi="Times New Roman" w:eastAsia="宋体" w:cs="Times New Roman"/>
                      <w:b/>
                      <w:bCs/>
                      <w:i w:val="0"/>
                      <w:iCs w:val="0"/>
                      <w:color w:val="auto"/>
                      <w:kern w:val="0"/>
                      <w:sz w:val="21"/>
                      <w:szCs w:val="24"/>
                      <w:highlight w:val="none"/>
                      <w:u w:val="none"/>
                      <w:lang w:val="en-US" w:eastAsia="zh-CN" w:bidi="ar"/>
                    </w:rPr>
                    <w:t>m³/h</w:t>
                  </w:r>
                </w:p>
              </w:tc>
              <w:tc>
                <w:tcPr>
                  <w:tcW w:w="792" w:type="dxa"/>
                  <w:vMerge w:val="restart"/>
                  <w:tcBorders>
                    <w:top w:val="single" w:color="000000" w:sz="8" w:space="0"/>
                    <w:left w:val="nil"/>
                    <w:right w:val="single" w:color="000000" w:sz="8" w:space="0"/>
                  </w:tcBorders>
                  <w:noWrap w:val="0"/>
                  <w:vAlign w:val="center"/>
                </w:tcPr>
                <w:p w14:paraId="71985F3A">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理论总风量</w:t>
                  </w:r>
                  <w:r>
                    <w:rPr>
                      <w:rFonts w:hint="default" w:ascii="Times New Roman" w:hAnsi="Times New Roman" w:eastAsia="宋体" w:cs="Times New Roman"/>
                      <w:b/>
                      <w:bCs/>
                      <w:i w:val="0"/>
                      <w:iCs w:val="0"/>
                      <w:color w:val="auto"/>
                      <w:kern w:val="0"/>
                      <w:sz w:val="21"/>
                      <w:szCs w:val="24"/>
                      <w:highlight w:val="none"/>
                      <w:u w:val="none"/>
                      <w:lang w:val="en-US" w:eastAsia="zh-CN" w:bidi="ar"/>
                    </w:rPr>
                    <w:t>m³/h</w:t>
                  </w:r>
                </w:p>
              </w:tc>
              <w:tc>
                <w:tcPr>
                  <w:tcW w:w="575" w:type="dxa"/>
                  <w:vMerge w:val="restart"/>
                  <w:tcBorders>
                    <w:top w:val="single" w:color="000000" w:sz="8" w:space="0"/>
                    <w:left w:val="nil"/>
                    <w:right w:val="single" w:color="000000" w:sz="8" w:space="0"/>
                  </w:tcBorders>
                  <w:noWrap w:val="0"/>
                  <w:vAlign w:val="center"/>
                </w:tcPr>
                <w:p w14:paraId="2496BE61">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合理性</w:t>
                  </w:r>
                </w:p>
              </w:tc>
            </w:tr>
            <w:tr w14:paraId="20D0D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3" w:hRule="atLeast"/>
                <w:jc w:val="center"/>
              </w:trPr>
              <w:tc>
                <w:tcPr>
                  <w:tcW w:w="726" w:type="dxa"/>
                  <w:vMerge w:val="continue"/>
                  <w:tcBorders>
                    <w:left w:val="single" w:color="000000" w:sz="8" w:space="0"/>
                    <w:right w:val="single" w:color="000000" w:sz="8" w:space="0"/>
                  </w:tcBorders>
                  <w:noWrap w:val="0"/>
                  <w:vAlign w:val="center"/>
                </w:tcPr>
                <w:p w14:paraId="45CB8EA8">
                  <w:pPr>
                    <w:keepNext w:val="0"/>
                    <w:keepLines w:val="0"/>
                    <w:widowControl/>
                    <w:suppressLineNumbers w:val="0"/>
                    <w:jc w:val="center"/>
                    <w:textAlignment w:val="center"/>
                    <w:rPr>
                      <w:rFonts w:ascii="Times New Roman" w:hAnsi="Times New Roman" w:eastAsia="宋体"/>
                      <w:color w:val="auto"/>
                    </w:rPr>
                  </w:pPr>
                </w:p>
              </w:tc>
              <w:tc>
                <w:tcPr>
                  <w:tcW w:w="661" w:type="dxa"/>
                  <w:vMerge w:val="continue"/>
                  <w:tcBorders>
                    <w:left w:val="nil"/>
                    <w:right w:val="single" w:color="000000" w:sz="8" w:space="0"/>
                  </w:tcBorders>
                  <w:noWrap w:val="0"/>
                  <w:vAlign w:val="center"/>
                </w:tcPr>
                <w:p w14:paraId="0DCBF347">
                  <w:pPr>
                    <w:keepNext w:val="0"/>
                    <w:keepLines w:val="0"/>
                    <w:widowControl/>
                    <w:suppressLineNumbers w:val="0"/>
                    <w:jc w:val="center"/>
                    <w:textAlignment w:val="center"/>
                    <w:rPr>
                      <w:rFonts w:ascii="Times New Roman" w:hAnsi="Times New Roman" w:eastAsia="宋体"/>
                      <w:color w:val="auto"/>
                    </w:rPr>
                  </w:pPr>
                </w:p>
              </w:tc>
              <w:tc>
                <w:tcPr>
                  <w:tcW w:w="734" w:type="dxa"/>
                  <w:vMerge w:val="continue"/>
                  <w:tcBorders>
                    <w:left w:val="nil"/>
                    <w:right w:val="single" w:color="000000" w:sz="8" w:space="0"/>
                  </w:tcBorders>
                  <w:noWrap w:val="0"/>
                  <w:vAlign w:val="center"/>
                </w:tcPr>
                <w:p w14:paraId="1FD650A0">
                  <w:pPr>
                    <w:keepNext w:val="0"/>
                    <w:keepLines w:val="0"/>
                    <w:widowControl/>
                    <w:suppressLineNumbers w:val="0"/>
                    <w:jc w:val="center"/>
                    <w:textAlignment w:val="center"/>
                    <w:rPr>
                      <w:rFonts w:ascii="Times New Roman" w:hAnsi="Times New Roman" w:eastAsia="宋体"/>
                      <w:color w:val="auto"/>
                    </w:rPr>
                  </w:pPr>
                </w:p>
              </w:tc>
              <w:tc>
                <w:tcPr>
                  <w:tcW w:w="877" w:type="dxa"/>
                  <w:tcBorders>
                    <w:top w:val="single" w:color="000000" w:sz="8" w:space="0"/>
                    <w:left w:val="nil"/>
                    <w:right w:val="single" w:color="000000" w:sz="8" w:space="0"/>
                  </w:tcBorders>
                  <w:noWrap w:val="0"/>
                  <w:vAlign w:val="center"/>
                </w:tcPr>
                <w:p w14:paraId="2C08F9B4">
                  <w:pPr>
                    <w:keepNext w:val="0"/>
                    <w:keepLines w:val="0"/>
                    <w:widowControl/>
                    <w:suppressLineNumbers w:val="0"/>
                    <w:jc w:val="center"/>
                    <w:textAlignment w:val="center"/>
                    <w:rPr>
                      <w:rFonts w:hint="eastAsia" w:ascii="Times New Roman" w:hAnsi="Times New Roman" w:eastAsia="宋体" w:cs="宋体"/>
                      <w:b/>
                      <w:bCs/>
                      <w:i w:val="0"/>
                      <w:iCs w:val="0"/>
                      <w:color w:val="auto"/>
                      <w:kern w:val="0"/>
                      <w:sz w:val="21"/>
                      <w:szCs w:val="24"/>
                      <w:highlight w:val="none"/>
                      <w:u w:val="none"/>
                      <w:lang w:val="en-US" w:eastAsia="zh-CN" w:bidi="ar"/>
                    </w:rPr>
                  </w:pPr>
                  <w:r>
                    <w:rPr>
                      <w:rFonts w:hint="eastAsia" w:ascii="Times New Roman" w:hAnsi="Times New Roman" w:eastAsia="宋体" w:cs="宋体"/>
                      <w:b/>
                      <w:bCs/>
                      <w:i w:val="0"/>
                      <w:iCs w:val="0"/>
                      <w:color w:val="auto"/>
                      <w:kern w:val="0"/>
                      <w:sz w:val="21"/>
                      <w:szCs w:val="24"/>
                      <w:highlight w:val="none"/>
                      <w:u w:val="none"/>
                      <w:lang w:val="en-US" w:eastAsia="zh-CN" w:bidi="ar"/>
                    </w:rPr>
                    <w:t>长</w:t>
                  </w:r>
                  <w:r>
                    <w:rPr>
                      <w:rFonts w:hint="default" w:ascii="Times New Roman" w:hAnsi="Times New Roman" w:eastAsia="宋体" w:cs="Times New Roman"/>
                      <w:b/>
                      <w:bCs/>
                      <w:i w:val="0"/>
                      <w:iCs w:val="0"/>
                      <w:color w:val="auto"/>
                      <w:kern w:val="0"/>
                      <w:sz w:val="21"/>
                      <w:szCs w:val="24"/>
                      <w:highlight w:val="none"/>
                      <w:u w:val="none"/>
                      <w:lang w:val="en-US" w:eastAsia="zh-CN" w:bidi="ar"/>
                    </w:rPr>
                    <w:t>m</w:t>
                  </w:r>
                </w:p>
              </w:tc>
              <w:tc>
                <w:tcPr>
                  <w:tcW w:w="963" w:type="dxa"/>
                  <w:tcBorders>
                    <w:top w:val="single" w:color="000000" w:sz="8" w:space="0"/>
                    <w:left w:val="nil"/>
                    <w:bottom w:val="single" w:color="auto" w:sz="4" w:space="0"/>
                    <w:right w:val="single" w:color="000000" w:sz="8" w:space="0"/>
                  </w:tcBorders>
                  <w:noWrap w:val="0"/>
                  <w:vAlign w:val="center"/>
                </w:tcPr>
                <w:p w14:paraId="45324CB4">
                  <w:pPr>
                    <w:keepNext w:val="0"/>
                    <w:keepLines w:val="0"/>
                    <w:widowControl/>
                    <w:suppressLineNumbers w:val="0"/>
                    <w:jc w:val="center"/>
                    <w:textAlignment w:val="center"/>
                    <w:rPr>
                      <w:rFonts w:hint="eastAsia" w:ascii="Times New Roman" w:hAnsi="Times New Roman" w:eastAsia="宋体" w:cs="宋体"/>
                      <w:b/>
                      <w:bCs/>
                      <w:i w:val="0"/>
                      <w:iCs w:val="0"/>
                      <w:color w:val="auto"/>
                      <w:kern w:val="0"/>
                      <w:sz w:val="21"/>
                      <w:szCs w:val="24"/>
                      <w:highlight w:val="none"/>
                      <w:u w:val="none"/>
                      <w:lang w:val="en-US" w:eastAsia="zh-CN" w:bidi="ar"/>
                    </w:rPr>
                  </w:pPr>
                  <w:r>
                    <w:rPr>
                      <w:rFonts w:hint="eastAsia" w:ascii="Times New Roman" w:hAnsi="Times New Roman" w:eastAsia="宋体" w:cs="Times New Roman"/>
                      <w:b/>
                      <w:bCs/>
                      <w:i w:val="0"/>
                      <w:iCs w:val="0"/>
                      <w:color w:val="auto"/>
                      <w:kern w:val="0"/>
                      <w:sz w:val="21"/>
                      <w:szCs w:val="24"/>
                      <w:highlight w:val="none"/>
                      <w:u w:val="none"/>
                      <w:lang w:val="en-US" w:eastAsia="zh-CN" w:bidi="ar"/>
                    </w:rPr>
                    <w:t>宽</w:t>
                  </w:r>
                  <w:r>
                    <w:rPr>
                      <w:rFonts w:hint="default" w:ascii="Times New Roman" w:hAnsi="Times New Roman" w:eastAsia="宋体" w:cs="Times New Roman"/>
                      <w:b/>
                      <w:bCs/>
                      <w:i w:val="0"/>
                      <w:iCs w:val="0"/>
                      <w:color w:val="auto"/>
                      <w:kern w:val="0"/>
                      <w:sz w:val="21"/>
                      <w:szCs w:val="24"/>
                      <w:highlight w:val="none"/>
                      <w:u w:val="none"/>
                      <w:lang w:val="en-US" w:eastAsia="zh-CN" w:bidi="ar"/>
                    </w:rPr>
                    <w:t>m</w:t>
                  </w:r>
                </w:p>
              </w:tc>
              <w:tc>
                <w:tcPr>
                  <w:tcW w:w="941" w:type="dxa"/>
                  <w:vMerge w:val="continue"/>
                  <w:tcBorders>
                    <w:left w:val="nil"/>
                    <w:right w:val="single" w:color="000000" w:sz="8" w:space="0"/>
                  </w:tcBorders>
                  <w:noWrap w:val="0"/>
                  <w:vAlign w:val="center"/>
                </w:tcPr>
                <w:p w14:paraId="03DA1F6C">
                  <w:pPr>
                    <w:keepNext w:val="0"/>
                    <w:keepLines w:val="0"/>
                    <w:widowControl/>
                    <w:suppressLineNumbers w:val="0"/>
                    <w:jc w:val="center"/>
                    <w:textAlignment w:val="center"/>
                    <w:rPr>
                      <w:rFonts w:hint="eastAsia" w:ascii="Times New Roman" w:hAnsi="Times New Roman" w:eastAsia="宋体" w:cs="宋体"/>
                      <w:b/>
                      <w:bCs/>
                      <w:i w:val="0"/>
                      <w:iCs w:val="0"/>
                      <w:color w:val="auto"/>
                      <w:kern w:val="0"/>
                      <w:sz w:val="21"/>
                      <w:szCs w:val="24"/>
                      <w:highlight w:val="none"/>
                      <w:u w:val="none"/>
                      <w:lang w:val="en-US" w:eastAsia="zh-CN" w:bidi="ar"/>
                    </w:rPr>
                  </w:pPr>
                </w:p>
              </w:tc>
              <w:tc>
                <w:tcPr>
                  <w:tcW w:w="1000" w:type="dxa"/>
                  <w:vMerge w:val="continue"/>
                  <w:tcBorders>
                    <w:left w:val="nil"/>
                    <w:right w:val="single" w:color="000000" w:sz="8" w:space="0"/>
                  </w:tcBorders>
                  <w:noWrap w:val="0"/>
                  <w:vAlign w:val="center"/>
                </w:tcPr>
                <w:p w14:paraId="0F15A0D2">
                  <w:pPr>
                    <w:keepNext w:val="0"/>
                    <w:keepLines w:val="0"/>
                    <w:widowControl/>
                    <w:suppressLineNumbers w:val="0"/>
                    <w:jc w:val="center"/>
                    <w:textAlignment w:val="center"/>
                    <w:rPr>
                      <w:rFonts w:hint="eastAsia" w:ascii="Times New Roman" w:hAnsi="Times New Roman" w:eastAsia="宋体" w:cs="宋体"/>
                      <w:b/>
                      <w:bCs/>
                      <w:i w:val="0"/>
                      <w:iCs w:val="0"/>
                      <w:color w:val="auto"/>
                      <w:kern w:val="0"/>
                      <w:sz w:val="21"/>
                      <w:szCs w:val="24"/>
                      <w:highlight w:val="none"/>
                      <w:u w:val="none"/>
                      <w:lang w:val="en-US" w:eastAsia="zh-CN" w:bidi="ar"/>
                    </w:rPr>
                  </w:pPr>
                </w:p>
              </w:tc>
              <w:tc>
                <w:tcPr>
                  <w:tcW w:w="887" w:type="dxa"/>
                  <w:vMerge w:val="continue"/>
                  <w:tcBorders>
                    <w:left w:val="nil"/>
                    <w:right w:val="single" w:color="000000" w:sz="8" w:space="0"/>
                  </w:tcBorders>
                  <w:noWrap w:val="0"/>
                  <w:vAlign w:val="center"/>
                </w:tcPr>
                <w:p w14:paraId="29FC658D">
                  <w:pPr>
                    <w:keepNext w:val="0"/>
                    <w:keepLines w:val="0"/>
                    <w:widowControl/>
                    <w:suppressLineNumbers w:val="0"/>
                    <w:jc w:val="center"/>
                    <w:textAlignment w:val="center"/>
                    <w:rPr>
                      <w:rFonts w:hint="eastAsia" w:ascii="Times New Roman" w:hAnsi="Times New Roman" w:eastAsia="宋体" w:cs="宋体"/>
                      <w:b/>
                      <w:bCs/>
                      <w:i w:val="0"/>
                      <w:iCs w:val="0"/>
                      <w:color w:val="auto"/>
                      <w:kern w:val="0"/>
                      <w:sz w:val="21"/>
                      <w:szCs w:val="24"/>
                      <w:highlight w:val="none"/>
                      <w:u w:val="none"/>
                      <w:lang w:val="en-US" w:eastAsia="zh-CN" w:bidi="ar"/>
                    </w:rPr>
                  </w:pPr>
                </w:p>
              </w:tc>
              <w:tc>
                <w:tcPr>
                  <w:tcW w:w="792" w:type="dxa"/>
                  <w:vMerge w:val="continue"/>
                  <w:tcBorders>
                    <w:left w:val="nil"/>
                    <w:right w:val="single" w:color="000000" w:sz="8" w:space="0"/>
                  </w:tcBorders>
                  <w:noWrap w:val="0"/>
                  <w:vAlign w:val="center"/>
                </w:tcPr>
                <w:p w14:paraId="671A0B80">
                  <w:pPr>
                    <w:keepNext w:val="0"/>
                    <w:keepLines w:val="0"/>
                    <w:widowControl/>
                    <w:suppressLineNumbers w:val="0"/>
                    <w:jc w:val="center"/>
                    <w:textAlignment w:val="center"/>
                    <w:rPr>
                      <w:rFonts w:hint="eastAsia" w:ascii="Times New Roman" w:hAnsi="Times New Roman" w:eastAsia="宋体" w:cs="宋体"/>
                      <w:b/>
                      <w:bCs/>
                      <w:i w:val="0"/>
                      <w:iCs w:val="0"/>
                      <w:color w:val="auto"/>
                      <w:kern w:val="0"/>
                      <w:sz w:val="21"/>
                      <w:szCs w:val="24"/>
                      <w:highlight w:val="none"/>
                      <w:u w:val="none"/>
                      <w:lang w:val="en-US" w:eastAsia="zh-CN" w:bidi="ar"/>
                    </w:rPr>
                  </w:pPr>
                </w:p>
              </w:tc>
              <w:tc>
                <w:tcPr>
                  <w:tcW w:w="575" w:type="dxa"/>
                  <w:vMerge w:val="continue"/>
                  <w:tcBorders>
                    <w:left w:val="nil"/>
                    <w:right w:val="single" w:color="000000" w:sz="8" w:space="0"/>
                  </w:tcBorders>
                  <w:noWrap w:val="0"/>
                  <w:vAlign w:val="center"/>
                </w:tcPr>
                <w:p w14:paraId="4378E0A1">
                  <w:pPr>
                    <w:keepNext w:val="0"/>
                    <w:keepLines w:val="0"/>
                    <w:widowControl/>
                    <w:suppressLineNumbers w:val="0"/>
                    <w:jc w:val="center"/>
                    <w:textAlignment w:val="center"/>
                    <w:rPr>
                      <w:rFonts w:hint="eastAsia" w:ascii="Times New Roman" w:hAnsi="Times New Roman" w:eastAsia="宋体" w:cs="宋体"/>
                      <w:b/>
                      <w:bCs/>
                      <w:i w:val="0"/>
                      <w:iCs w:val="0"/>
                      <w:color w:val="auto"/>
                      <w:kern w:val="0"/>
                      <w:sz w:val="21"/>
                      <w:szCs w:val="24"/>
                      <w:highlight w:val="none"/>
                      <w:u w:val="none"/>
                      <w:lang w:val="en-US" w:eastAsia="zh-CN" w:bidi="ar"/>
                    </w:rPr>
                  </w:pPr>
                </w:p>
              </w:tc>
            </w:tr>
            <w:tr w14:paraId="69E304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4" w:hRule="atLeast"/>
                <w:jc w:val="center"/>
              </w:trPr>
              <w:tc>
                <w:tcPr>
                  <w:tcW w:w="726" w:type="dxa"/>
                  <w:vMerge w:val="restart"/>
                  <w:tcBorders>
                    <w:top w:val="single" w:color="auto" w:sz="4" w:space="0"/>
                    <w:left w:val="single" w:color="auto" w:sz="4" w:space="0"/>
                    <w:right w:val="single" w:color="auto" w:sz="4" w:space="0"/>
                  </w:tcBorders>
                  <w:noWrap w:val="0"/>
                  <w:vAlign w:val="center"/>
                </w:tcPr>
                <w:p w14:paraId="2E5AADAA">
                  <w:pPr>
                    <w:keepNext w:val="0"/>
                    <w:keepLines w:val="0"/>
                    <w:widowControl/>
                    <w:suppressLineNumbers w:val="0"/>
                    <w:jc w:val="center"/>
                    <w:textAlignment w:val="center"/>
                    <w:rPr>
                      <w:rFonts w:hint="default" w:ascii="Times New Roman" w:hAnsi="Times New Roman" w:eastAsia="宋体"/>
                      <w:color w:val="auto"/>
                      <w:sz w:val="21"/>
                      <w:szCs w:val="24"/>
                      <w:lang w:val="en-US" w:eastAsia="zh-CN"/>
                    </w:rPr>
                  </w:pPr>
                  <w:r>
                    <w:rPr>
                      <w:rFonts w:hint="eastAsia" w:ascii="Times New Roman" w:hAnsi="Times New Roman" w:eastAsia="宋体"/>
                      <w:color w:val="auto"/>
                      <w:sz w:val="21"/>
                      <w:szCs w:val="24"/>
                      <w:lang w:val="en-US" w:eastAsia="zh-CN"/>
                    </w:rPr>
                    <w:t>G1</w:t>
                  </w:r>
                </w:p>
              </w:tc>
              <w:tc>
                <w:tcPr>
                  <w:tcW w:w="661" w:type="dxa"/>
                  <w:tcBorders>
                    <w:top w:val="single" w:color="auto" w:sz="4" w:space="0"/>
                    <w:left w:val="single" w:color="auto" w:sz="4" w:space="0"/>
                    <w:right w:val="single" w:color="000000" w:sz="8" w:space="0"/>
                  </w:tcBorders>
                  <w:noWrap w:val="0"/>
                  <w:vAlign w:val="center"/>
                </w:tcPr>
                <w:p w14:paraId="70E0D95D">
                  <w:pPr>
                    <w:keepNext w:val="0"/>
                    <w:keepLines w:val="0"/>
                    <w:widowControl/>
                    <w:suppressLineNumbers w:val="0"/>
                    <w:jc w:val="center"/>
                    <w:textAlignment w:val="center"/>
                    <w:rPr>
                      <w:rFonts w:hint="eastAsia" w:ascii="Times New Roman" w:hAnsi="Times New Roman" w:eastAsia="宋体" w:cs="宋体"/>
                      <w:i w:val="0"/>
                      <w:iCs w:val="0"/>
                      <w:color w:val="auto"/>
                      <w:sz w:val="21"/>
                      <w:szCs w:val="24"/>
                      <w:highlight w:val="none"/>
                      <w:u w:val="none"/>
                      <w:lang w:val="en-US" w:eastAsia="zh-CN"/>
                    </w:rPr>
                  </w:pPr>
                  <w:r>
                    <w:rPr>
                      <w:rFonts w:hint="eastAsia" w:ascii="Times New Roman" w:hAnsi="Times New Roman" w:eastAsia="宋体"/>
                      <w:b/>
                      <w:color w:val="auto"/>
                      <w:sz w:val="21"/>
                      <w:szCs w:val="21"/>
                    </w:rPr>
                    <w:t>手动</w:t>
                  </w:r>
                  <w:r>
                    <w:rPr>
                      <w:rFonts w:hint="eastAsia" w:ascii="Times New Roman" w:hAnsi="Times New Roman" w:eastAsia="宋体"/>
                      <w:b/>
                      <w:color w:val="auto"/>
                      <w:sz w:val="21"/>
                      <w:szCs w:val="21"/>
                      <w:lang w:val="en-US" w:eastAsia="zh-CN"/>
                    </w:rPr>
                    <w:t>喷粉</w:t>
                  </w:r>
                  <w:r>
                    <w:rPr>
                      <w:rFonts w:hint="eastAsia" w:ascii="Times New Roman" w:hAnsi="Times New Roman" w:eastAsia="宋体"/>
                      <w:b/>
                      <w:color w:val="auto"/>
                      <w:sz w:val="21"/>
                      <w:szCs w:val="21"/>
                    </w:rPr>
                    <w:t>线</w:t>
                  </w:r>
                  <w:r>
                    <w:rPr>
                      <w:rFonts w:hint="eastAsia" w:ascii="Times New Roman" w:hAnsi="Times New Roman" w:eastAsia="宋体"/>
                      <w:b/>
                      <w:color w:val="auto"/>
                      <w:sz w:val="21"/>
                      <w:szCs w:val="21"/>
                      <w:lang w:val="en-US" w:eastAsia="zh-CN"/>
                    </w:rPr>
                    <w:t>工序</w:t>
                  </w:r>
                </w:p>
              </w:tc>
              <w:tc>
                <w:tcPr>
                  <w:tcW w:w="734" w:type="dxa"/>
                  <w:vMerge w:val="restart"/>
                  <w:tcBorders>
                    <w:top w:val="single" w:color="auto" w:sz="4" w:space="0"/>
                    <w:left w:val="nil"/>
                    <w:right w:val="single" w:color="000000" w:sz="8" w:space="0"/>
                  </w:tcBorders>
                  <w:noWrap w:val="0"/>
                  <w:vAlign w:val="center"/>
                </w:tcPr>
                <w:p w14:paraId="6457622A">
                  <w:pPr>
                    <w:keepNext w:val="0"/>
                    <w:keepLines w:val="0"/>
                    <w:widowControl/>
                    <w:suppressLineNumbers w:val="0"/>
                    <w:jc w:val="center"/>
                    <w:textAlignment w:val="center"/>
                    <w:rPr>
                      <w:rFonts w:hint="default" w:ascii="Times New Roman" w:hAnsi="Times New Roman" w:eastAsia="宋体" w:cs="宋体"/>
                      <w:i w:val="0"/>
                      <w:iCs w:val="0"/>
                      <w:color w:val="auto"/>
                      <w:kern w:val="0"/>
                      <w:sz w:val="21"/>
                      <w:szCs w:val="24"/>
                      <w:highlight w:val="none"/>
                      <w:u w:val="none"/>
                      <w:lang w:val="en-US" w:eastAsia="zh-CN" w:bidi="ar"/>
                    </w:rPr>
                  </w:pPr>
                  <w:r>
                    <w:rPr>
                      <w:rFonts w:hint="eastAsia" w:ascii="Times New Roman" w:hAnsi="Times New Roman" w:eastAsia="宋体"/>
                      <w:color w:val="auto"/>
                      <w:spacing w:val="4"/>
                      <w:sz w:val="21"/>
                      <w:szCs w:val="24"/>
                      <w:lang w:val="en-US" w:eastAsia="zh-CN"/>
                    </w:rPr>
                    <w:t>半密闭罩收集</w:t>
                  </w:r>
                </w:p>
              </w:tc>
              <w:tc>
                <w:tcPr>
                  <w:tcW w:w="877" w:type="dxa"/>
                  <w:tcBorders>
                    <w:top w:val="single" w:color="auto" w:sz="4" w:space="0"/>
                    <w:left w:val="nil"/>
                    <w:right w:val="single" w:color="000000" w:sz="8" w:space="0"/>
                  </w:tcBorders>
                  <w:noWrap w:val="0"/>
                  <w:vAlign w:val="center"/>
                </w:tcPr>
                <w:p w14:paraId="3F7706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4"/>
                      <w:highlight w:val="none"/>
                      <w:u w:val="none"/>
                      <w:lang w:val="en-US" w:eastAsia="zh-CN"/>
                    </w:rPr>
                  </w:pPr>
                  <w:r>
                    <w:rPr>
                      <w:rFonts w:hint="eastAsia" w:ascii="Times New Roman" w:hAnsi="Times New Roman" w:eastAsia="宋体" w:cs="Times New Roman"/>
                      <w:i w:val="0"/>
                      <w:iCs w:val="0"/>
                      <w:color w:val="auto"/>
                      <w:kern w:val="0"/>
                      <w:sz w:val="21"/>
                      <w:szCs w:val="24"/>
                      <w:highlight w:val="none"/>
                      <w:u w:val="none"/>
                      <w:lang w:val="en-US" w:eastAsia="zh-CN" w:bidi="ar"/>
                    </w:rPr>
                    <w:t>1.5</w:t>
                  </w:r>
                </w:p>
              </w:tc>
              <w:tc>
                <w:tcPr>
                  <w:tcW w:w="963" w:type="dxa"/>
                  <w:tcBorders>
                    <w:top w:val="single" w:color="auto" w:sz="4" w:space="0"/>
                    <w:left w:val="nil"/>
                    <w:right w:val="single" w:color="000000" w:sz="8" w:space="0"/>
                  </w:tcBorders>
                  <w:noWrap w:val="0"/>
                  <w:vAlign w:val="center"/>
                </w:tcPr>
                <w:p w14:paraId="155960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4"/>
                      <w:highlight w:val="none"/>
                      <w:u w:val="none"/>
                      <w:lang w:val="en-US" w:eastAsia="zh-CN" w:bidi="ar"/>
                    </w:rPr>
                  </w:pPr>
                  <w:r>
                    <w:rPr>
                      <w:rFonts w:hint="eastAsia" w:ascii="Times New Roman" w:hAnsi="Times New Roman" w:eastAsia="宋体" w:cs="Times New Roman"/>
                      <w:i w:val="0"/>
                      <w:iCs w:val="0"/>
                      <w:color w:val="auto"/>
                      <w:kern w:val="0"/>
                      <w:sz w:val="21"/>
                      <w:szCs w:val="24"/>
                      <w:highlight w:val="none"/>
                      <w:u w:val="none"/>
                      <w:lang w:val="en-US" w:eastAsia="zh-CN" w:bidi="ar"/>
                    </w:rPr>
                    <w:t>1</w:t>
                  </w:r>
                </w:p>
              </w:tc>
              <w:tc>
                <w:tcPr>
                  <w:tcW w:w="941" w:type="dxa"/>
                  <w:tcBorders>
                    <w:top w:val="single" w:color="auto" w:sz="4" w:space="0"/>
                    <w:left w:val="nil"/>
                    <w:right w:val="single" w:color="000000" w:sz="8" w:space="0"/>
                  </w:tcBorders>
                  <w:noWrap w:val="0"/>
                  <w:vAlign w:val="center"/>
                </w:tcPr>
                <w:p w14:paraId="092DDB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4"/>
                      <w:u w:val="none"/>
                      <w:lang w:val="en-US" w:eastAsia="zh-CN" w:bidi="ar"/>
                    </w:rPr>
                  </w:pPr>
                  <w:r>
                    <w:rPr>
                      <w:rFonts w:hint="eastAsia" w:ascii="Times New Roman" w:hAnsi="Times New Roman" w:eastAsia="宋体" w:cs="Times New Roman"/>
                      <w:i w:val="0"/>
                      <w:iCs w:val="0"/>
                      <w:color w:val="auto"/>
                      <w:kern w:val="0"/>
                      <w:sz w:val="21"/>
                      <w:szCs w:val="24"/>
                      <w:u w:val="none"/>
                      <w:lang w:val="en-US" w:eastAsia="zh-CN" w:bidi="ar"/>
                    </w:rPr>
                    <w:t>0.5</w:t>
                  </w:r>
                </w:p>
              </w:tc>
              <w:tc>
                <w:tcPr>
                  <w:tcW w:w="1000" w:type="dxa"/>
                  <w:tcBorders>
                    <w:top w:val="single" w:color="auto" w:sz="4" w:space="0"/>
                    <w:left w:val="nil"/>
                    <w:right w:val="single" w:color="auto" w:sz="4" w:space="0"/>
                  </w:tcBorders>
                  <w:noWrap w:val="0"/>
                  <w:vAlign w:val="center"/>
                </w:tcPr>
                <w:p w14:paraId="101919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4"/>
                      <w:highlight w:val="none"/>
                      <w:u w:val="none"/>
                      <w:lang w:val="en-US" w:eastAsia="zh-CN"/>
                    </w:rPr>
                  </w:pPr>
                  <w:r>
                    <w:rPr>
                      <w:rFonts w:hint="eastAsia" w:ascii="Times New Roman" w:hAnsi="Times New Roman" w:eastAsia="宋体" w:cs="Times New Roman"/>
                      <w:i w:val="0"/>
                      <w:iCs w:val="0"/>
                      <w:color w:val="auto"/>
                      <w:sz w:val="21"/>
                      <w:szCs w:val="24"/>
                      <w:highlight w:val="none"/>
                      <w:u w:val="none"/>
                      <w:lang w:val="en-US" w:eastAsia="zh-CN"/>
                    </w:rPr>
                    <w:t>4</w:t>
                  </w:r>
                </w:p>
              </w:tc>
              <w:tc>
                <w:tcPr>
                  <w:tcW w:w="887" w:type="dxa"/>
                  <w:tcBorders>
                    <w:top w:val="single" w:color="auto" w:sz="4" w:space="0"/>
                    <w:left w:val="single" w:color="auto" w:sz="4" w:space="0"/>
                    <w:bottom w:val="single" w:color="auto" w:sz="4" w:space="0"/>
                    <w:right w:val="single" w:color="auto" w:sz="4" w:space="0"/>
                  </w:tcBorders>
                  <w:noWrap w:val="0"/>
                  <w:vAlign w:val="center"/>
                </w:tcPr>
                <w:p w14:paraId="5C106F7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4"/>
                      <w:u w:val="none"/>
                      <w:lang w:val="en-US" w:eastAsia="zh-CN" w:bidi="ar-SA"/>
                    </w:rPr>
                  </w:pPr>
                  <w:r>
                    <w:rPr>
                      <w:rFonts w:hint="eastAsia" w:ascii="Times New Roman" w:hAnsi="Times New Roman" w:eastAsia="宋体" w:cs="Times New Roman"/>
                      <w:i w:val="0"/>
                      <w:iCs w:val="0"/>
                      <w:color w:val="auto"/>
                      <w:kern w:val="2"/>
                      <w:sz w:val="21"/>
                      <w:szCs w:val="24"/>
                      <w:u w:val="none"/>
                      <w:lang w:val="en-US" w:eastAsia="zh-CN" w:bidi="ar-SA"/>
                    </w:rPr>
                    <w:t>10880</w:t>
                  </w:r>
                </w:p>
              </w:tc>
              <w:tc>
                <w:tcPr>
                  <w:tcW w:w="792" w:type="dxa"/>
                  <w:vMerge w:val="restart"/>
                  <w:tcBorders>
                    <w:top w:val="single" w:color="auto" w:sz="4" w:space="0"/>
                    <w:left w:val="single" w:color="auto" w:sz="4" w:space="0"/>
                    <w:right w:val="single" w:color="auto" w:sz="4" w:space="0"/>
                  </w:tcBorders>
                  <w:noWrap w:val="0"/>
                  <w:vAlign w:val="center"/>
                </w:tcPr>
                <w:p w14:paraId="0C1307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4"/>
                      <w:highlight w:val="none"/>
                      <w:u w:val="none"/>
                      <w:lang w:val="en-US" w:eastAsia="zh-CN"/>
                    </w:rPr>
                  </w:pPr>
                  <w:r>
                    <w:rPr>
                      <w:rFonts w:hint="eastAsia" w:ascii="Times New Roman" w:hAnsi="Times New Roman" w:eastAsia="宋体" w:cs="Times New Roman"/>
                      <w:i w:val="0"/>
                      <w:iCs w:val="0"/>
                      <w:color w:val="auto"/>
                      <w:sz w:val="21"/>
                      <w:szCs w:val="24"/>
                      <w:highlight w:val="none"/>
                      <w:u w:val="none"/>
                      <w:lang w:val="en-US" w:eastAsia="zh-CN"/>
                    </w:rPr>
                    <w:t>14688</w:t>
                  </w:r>
                </w:p>
              </w:tc>
              <w:tc>
                <w:tcPr>
                  <w:tcW w:w="575" w:type="dxa"/>
                  <w:vMerge w:val="restart"/>
                  <w:tcBorders>
                    <w:top w:val="single" w:color="auto" w:sz="4" w:space="0"/>
                    <w:left w:val="single" w:color="auto" w:sz="4" w:space="0"/>
                    <w:right w:val="single" w:color="auto" w:sz="4" w:space="0"/>
                  </w:tcBorders>
                  <w:noWrap w:val="0"/>
                  <w:vAlign w:val="center"/>
                </w:tcPr>
                <w:p w14:paraId="7D0F3862">
                  <w:pPr>
                    <w:keepNext w:val="0"/>
                    <w:keepLines w:val="0"/>
                    <w:widowControl/>
                    <w:suppressLineNumbers w:val="0"/>
                    <w:jc w:val="center"/>
                    <w:textAlignment w:val="center"/>
                    <w:rPr>
                      <w:rFonts w:hint="default" w:ascii="Times New Roman" w:hAnsi="Times New Roman" w:eastAsia="宋体" w:cs="宋体"/>
                      <w:i w:val="0"/>
                      <w:iCs w:val="0"/>
                      <w:color w:val="auto"/>
                      <w:sz w:val="21"/>
                      <w:szCs w:val="24"/>
                      <w:highlight w:val="none"/>
                      <w:u w:val="none"/>
                      <w:lang w:val="en-US" w:eastAsia="zh-CN"/>
                    </w:rPr>
                  </w:pPr>
                  <w:r>
                    <w:rPr>
                      <w:rFonts w:hint="eastAsia" w:ascii="Times New Roman" w:hAnsi="Times New Roman" w:eastAsia="宋体" w:cs="宋体"/>
                      <w:i w:val="0"/>
                      <w:iCs w:val="0"/>
                      <w:color w:val="auto"/>
                      <w:sz w:val="21"/>
                      <w:szCs w:val="24"/>
                      <w:highlight w:val="none"/>
                      <w:u w:val="none"/>
                      <w:lang w:val="en-US" w:eastAsia="zh-CN"/>
                    </w:rPr>
                    <w:t>合理</w:t>
                  </w:r>
                </w:p>
              </w:tc>
            </w:tr>
            <w:tr w14:paraId="72577A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0" w:hRule="atLeast"/>
                <w:jc w:val="center"/>
              </w:trPr>
              <w:tc>
                <w:tcPr>
                  <w:tcW w:w="726" w:type="dxa"/>
                  <w:vMerge w:val="continue"/>
                  <w:tcBorders>
                    <w:top w:val="single" w:color="auto" w:sz="4" w:space="0"/>
                    <w:left w:val="single" w:color="auto" w:sz="4" w:space="0"/>
                    <w:bottom w:val="single" w:color="auto" w:sz="4" w:space="0"/>
                    <w:right w:val="single" w:color="auto" w:sz="4" w:space="0"/>
                  </w:tcBorders>
                  <w:noWrap w:val="0"/>
                  <w:vAlign w:val="center"/>
                </w:tcPr>
                <w:p w14:paraId="15AE1EB4">
                  <w:pPr>
                    <w:keepNext w:val="0"/>
                    <w:keepLines w:val="0"/>
                    <w:widowControl/>
                    <w:suppressLineNumbers w:val="0"/>
                    <w:jc w:val="center"/>
                    <w:textAlignment w:val="center"/>
                    <w:rPr>
                      <w:rFonts w:ascii="Times New Roman" w:hAnsi="Times New Roman" w:eastAsia="宋体"/>
                      <w:color w:val="auto"/>
                      <w:sz w:val="21"/>
                      <w:szCs w:val="24"/>
                    </w:rPr>
                  </w:pPr>
                </w:p>
              </w:tc>
              <w:tc>
                <w:tcPr>
                  <w:tcW w:w="661" w:type="dxa"/>
                  <w:tcBorders>
                    <w:top w:val="single" w:color="auto" w:sz="4" w:space="0"/>
                    <w:left w:val="single" w:color="auto" w:sz="4" w:space="0"/>
                    <w:right w:val="single" w:color="000000" w:sz="8" w:space="0"/>
                  </w:tcBorders>
                  <w:noWrap w:val="0"/>
                  <w:vAlign w:val="center"/>
                </w:tcPr>
                <w:p w14:paraId="6B747AC4">
                  <w:pPr>
                    <w:keepNext w:val="0"/>
                    <w:keepLines w:val="0"/>
                    <w:widowControl/>
                    <w:suppressLineNumbers w:val="0"/>
                    <w:jc w:val="center"/>
                    <w:textAlignment w:val="center"/>
                    <w:rPr>
                      <w:rFonts w:hint="default" w:ascii="Times New Roman" w:hAnsi="Times New Roman" w:eastAsia="宋体" w:cs="宋体"/>
                      <w:i w:val="0"/>
                      <w:iCs w:val="0"/>
                      <w:color w:val="auto"/>
                      <w:sz w:val="21"/>
                      <w:szCs w:val="24"/>
                      <w:highlight w:val="none"/>
                      <w:u w:val="none"/>
                      <w:lang w:val="en-US" w:eastAsia="zh-CN"/>
                    </w:rPr>
                  </w:pPr>
                  <w:r>
                    <w:rPr>
                      <w:rFonts w:hint="eastAsia" w:ascii="Times New Roman" w:hAnsi="Times New Roman" w:eastAsia="宋体"/>
                      <w:b/>
                      <w:color w:val="auto"/>
                      <w:sz w:val="21"/>
                      <w:szCs w:val="21"/>
                      <w:lang w:val="en-US" w:eastAsia="zh-CN"/>
                    </w:rPr>
                    <w:t>自</w:t>
                  </w:r>
                  <w:r>
                    <w:rPr>
                      <w:rFonts w:hint="eastAsia" w:ascii="Times New Roman" w:hAnsi="Times New Roman" w:eastAsia="宋体"/>
                      <w:b/>
                      <w:color w:val="auto"/>
                      <w:sz w:val="21"/>
                      <w:szCs w:val="21"/>
                    </w:rPr>
                    <w:t>动</w:t>
                  </w:r>
                  <w:r>
                    <w:rPr>
                      <w:rFonts w:hint="eastAsia" w:ascii="Times New Roman" w:hAnsi="Times New Roman" w:eastAsia="宋体"/>
                      <w:b/>
                      <w:color w:val="auto"/>
                      <w:sz w:val="21"/>
                      <w:szCs w:val="21"/>
                      <w:lang w:val="en-US" w:eastAsia="zh-CN"/>
                    </w:rPr>
                    <w:t>喷粉</w:t>
                  </w:r>
                  <w:r>
                    <w:rPr>
                      <w:rFonts w:hint="eastAsia" w:ascii="Times New Roman" w:hAnsi="Times New Roman" w:eastAsia="宋体"/>
                      <w:b/>
                      <w:color w:val="auto"/>
                      <w:sz w:val="21"/>
                      <w:szCs w:val="21"/>
                    </w:rPr>
                    <w:t>线</w:t>
                  </w:r>
                  <w:r>
                    <w:rPr>
                      <w:rFonts w:hint="eastAsia" w:ascii="Times New Roman" w:hAnsi="Times New Roman" w:eastAsia="宋体"/>
                      <w:b/>
                      <w:color w:val="auto"/>
                      <w:sz w:val="21"/>
                      <w:szCs w:val="21"/>
                      <w:lang w:val="en-US" w:eastAsia="zh-CN"/>
                    </w:rPr>
                    <w:t>工序</w:t>
                  </w:r>
                </w:p>
              </w:tc>
              <w:tc>
                <w:tcPr>
                  <w:tcW w:w="734" w:type="dxa"/>
                  <w:vMerge w:val="continue"/>
                  <w:tcBorders>
                    <w:left w:val="nil"/>
                    <w:right w:val="single" w:color="000000" w:sz="8" w:space="0"/>
                  </w:tcBorders>
                  <w:noWrap w:val="0"/>
                  <w:vAlign w:val="center"/>
                </w:tcPr>
                <w:p w14:paraId="537FD508">
                  <w:pPr>
                    <w:keepNext w:val="0"/>
                    <w:keepLines w:val="0"/>
                    <w:widowControl/>
                    <w:suppressLineNumbers w:val="0"/>
                    <w:jc w:val="center"/>
                    <w:textAlignment w:val="center"/>
                    <w:rPr>
                      <w:rFonts w:hint="eastAsia" w:ascii="Times New Roman" w:hAnsi="Times New Roman" w:eastAsia="宋体" w:cs="宋体"/>
                      <w:i w:val="0"/>
                      <w:iCs w:val="0"/>
                      <w:color w:val="auto"/>
                      <w:kern w:val="0"/>
                      <w:sz w:val="21"/>
                      <w:szCs w:val="24"/>
                      <w:highlight w:val="none"/>
                      <w:u w:val="none"/>
                      <w:lang w:val="en-US" w:eastAsia="zh-CN" w:bidi="ar"/>
                    </w:rPr>
                  </w:pPr>
                </w:p>
              </w:tc>
              <w:tc>
                <w:tcPr>
                  <w:tcW w:w="877" w:type="dxa"/>
                  <w:tcBorders>
                    <w:top w:val="single" w:color="auto" w:sz="4" w:space="0"/>
                    <w:left w:val="nil"/>
                    <w:right w:val="single" w:color="auto" w:sz="4" w:space="0"/>
                  </w:tcBorders>
                  <w:noWrap w:val="0"/>
                  <w:vAlign w:val="center"/>
                </w:tcPr>
                <w:p w14:paraId="15AA2979">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jc w:val="center"/>
                    <w:textAlignment w:val="auto"/>
                    <w:rPr>
                      <w:rFonts w:hint="default" w:ascii="Times New Roman" w:hAnsi="Times New Roman" w:eastAsia="宋体" w:cs="Times New Roman"/>
                      <w:i w:val="0"/>
                      <w:iCs w:val="0"/>
                      <w:color w:val="auto"/>
                      <w:kern w:val="0"/>
                      <w:sz w:val="21"/>
                      <w:szCs w:val="24"/>
                      <w:u w:val="none"/>
                      <w:lang w:val="en-US" w:eastAsia="zh-CN" w:bidi="ar"/>
                    </w:rPr>
                  </w:pPr>
                  <w:r>
                    <w:rPr>
                      <w:rFonts w:hint="eastAsia" w:ascii="Times New Roman" w:hAnsi="Times New Roman" w:eastAsia="宋体" w:cs="Times New Roman"/>
                      <w:i w:val="0"/>
                      <w:iCs w:val="0"/>
                      <w:color w:val="auto"/>
                      <w:kern w:val="0"/>
                      <w:sz w:val="21"/>
                      <w:szCs w:val="24"/>
                      <w:u w:val="none"/>
                      <w:lang w:val="en-US" w:eastAsia="zh-CN" w:bidi="ar"/>
                    </w:rPr>
                    <w:t>0.9</w:t>
                  </w:r>
                </w:p>
              </w:tc>
              <w:tc>
                <w:tcPr>
                  <w:tcW w:w="963" w:type="dxa"/>
                  <w:tcBorders>
                    <w:top w:val="single" w:color="auto" w:sz="4" w:space="0"/>
                    <w:left w:val="nil"/>
                    <w:right w:val="single" w:color="auto" w:sz="4" w:space="0"/>
                  </w:tcBorders>
                  <w:noWrap w:val="0"/>
                  <w:vAlign w:val="center"/>
                </w:tcPr>
                <w:p w14:paraId="3D431FD8">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jc w:val="center"/>
                    <w:textAlignment w:val="auto"/>
                    <w:rPr>
                      <w:rFonts w:hint="eastAsia" w:ascii="Times New Roman" w:hAnsi="Times New Roman" w:eastAsia="宋体" w:cs="Times New Roman"/>
                      <w:i w:val="0"/>
                      <w:iCs w:val="0"/>
                      <w:color w:val="auto"/>
                      <w:kern w:val="0"/>
                      <w:sz w:val="21"/>
                      <w:szCs w:val="24"/>
                      <w:u w:val="none"/>
                      <w:lang w:val="en-US" w:eastAsia="zh-CN" w:bidi="ar"/>
                    </w:rPr>
                  </w:pPr>
                  <w:r>
                    <w:rPr>
                      <w:rFonts w:hint="eastAsia" w:ascii="Times New Roman" w:hAnsi="Times New Roman" w:eastAsia="宋体" w:cs="Times New Roman"/>
                      <w:i w:val="0"/>
                      <w:iCs w:val="0"/>
                      <w:color w:val="auto"/>
                      <w:kern w:val="0"/>
                      <w:sz w:val="21"/>
                      <w:szCs w:val="24"/>
                      <w:u w:val="none"/>
                      <w:lang w:val="en-US" w:eastAsia="zh-CN" w:bidi="ar"/>
                    </w:rPr>
                    <w:t>0.</w:t>
                  </w:r>
                  <w:r>
                    <w:rPr>
                      <w:rFonts w:hint="eastAsia" w:ascii="Times New Roman" w:hAnsi="Times New Roman" w:eastAsia="宋体"/>
                      <w:color w:val="auto"/>
                      <w:lang w:val="en-US" w:eastAsia="zh-CN"/>
                    </w:rPr>
                    <w:t>8</w:t>
                  </w:r>
                </w:p>
              </w:tc>
              <w:tc>
                <w:tcPr>
                  <w:tcW w:w="941" w:type="dxa"/>
                  <w:tcBorders>
                    <w:top w:val="single" w:color="auto" w:sz="4" w:space="0"/>
                    <w:left w:val="nil"/>
                    <w:right w:val="single" w:color="auto" w:sz="4" w:space="0"/>
                  </w:tcBorders>
                  <w:noWrap w:val="0"/>
                  <w:vAlign w:val="center"/>
                </w:tcPr>
                <w:p w14:paraId="5658D320">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jc w:val="center"/>
                    <w:textAlignment w:val="auto"/>
                    <w:rPr>
                      <w:rFonts w:hint="default" w:ascii="Times New Roman" w:hAnsi="Times New Roman" w:eastAsia="宋体" w:cs="Times New Roman"/>
                      <w:i w:val="0"/>
                      <w:iCs w:val="0"/>
                      <w:color w:val="auto"/>
                      <w:kern w:val="0"/>
                      <w:sz w:val="21"/>
                      <w:szCs w:val="24"/>
                      <w:u w:val="none"/>
                      <w:lang w:val="en-US" w:eastAsia="zh-CN" w:bidi="ar"/>
                    </w:rPr>
                  </w:pPr>
                  <w:r>
                    <w:rPr>
                      <w:rFonts w:hint="eastAsia" w:ascii="Times New Roman" w:hAnsi="Times New Roman" w:eastAsia="宋体" w:cs="Times New Roman"/>
                      <w:i w:val="0"/>
                      <w:iCs w:val="0"/>
                      <w:color w:val="auto"/>
                      <w:kern w:val="0"/>
                      <w:sz w:val="21"/>
                      <w:szCs w:val="24"/>
                      <w:u w:val="none"/>
                      <w:lang w:val="en-US" w:eastAsia="zh-CN" w:bidi="ar"/>
                    </w:rPr>
                    <w:t>0.5</w:t>
                  </w:r>
                </w:p>
              </w:tc>
              <w:tc>
                <w:tcPr>
                  <w:tcW w:w="1000" w:type="dxa"/>
                  <w:tcBorders>
                    <w:top w:val="single" w:color="auto" w:sz="4" w:space="0"/>
                    <w:left w:val="nil"/>
                    <w:right w:val="single" w:color="auto" w:sz="4" w:space="0"/>
                  </w:tcBorders>
                  <w:noWrap w:val="0"/>
                  <w:vAlign w:val="center"/>
                </w:tcPr>
                <w:p w14:paraId="436E5F0A">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jc w:val="center"/>
                    <w:textAlignment w:val="auto"/>
                    <w:rPr>
                      <w:rFonts w:hint="default" w:ascii="Times New Roman" w:hAnsi="Times New Roman" w:eastAsia="宋体" w:cs="Times New Roman"/>
                      <w:i w:val="0"/>
                      <w:iCs w:val="0"/>
                      <w:color w:val="auto"/>
                      <w:kern w:val="0"/>
                      <w:sz w:val="21"/>
                      <w:szCs w:val="24"/>
                      <w:u w:val="none"/>
                      <w:lang w:val="en-US" w:eastAsia="zh-CN" w:bidi="ar"/>
                    </w:rPr>
                  </w:pPr>
                  <w:r>
                    <w:rPr>
                      <w:rFonts w:hint="eastAsia" w:ascii="Times New Roman" w:hAnsi="Times New Roman" w:eastAsia="宋体" w:cs="Times New Roman"/>
                      <w:i w:val="0"/>
                      <w:iCs w:val="0"/>
                      <w:color w:val="auto"/>
                      <w:kern w:val="0"/>
                      <w:sz w:val="21"/>
                      <w:szCs w:val="24"/>
                      <w:u w:val="none"/>
                      <w:lang w:val="en-US" w:eastAsia="zh-CN" w:bidi="ar"/>
                    </w:rPr>
                    <w:t>3</w:t>
                  </w:r>
                </w:p>
              </w:tc>
              <w:tc>
                <w:tcPr>
                  <w:tcW w:w="887" w:type="dxa"/>
                  <w:tcBorders>
                    <w:top w:val="single" w:color="auto" w:sz="4" w:space="0"/>
                    <w:left w:val="nil"/>
                    <w:right w:val="single" w:color="auto" w:sz="4" w:space="0"/>
                  </w:tcBorders>
                  <w:noWrap w:val="0"/>
                  <w:vAlign w:val="center"/>
                </w:tcPr>
                <w:p w14:paraId="52ADBA63">
                  <w:pPr>
                    <w:pStyle w:val="191"/>
                    <w:keepNext w:val="0"/>
                    <w:keepLines w:val="0"/>
                    <w:pageBreakBefore w:val="0"/>
                    <w:widowControl w:val="0"/>
                    <w:kinsoku w:val="0"/>
                    <w:wordWrap w:val="0"/>
                    <w:overflowPunct/>
                    <w:topLinePunct w:val="0"/>
                    <w:autoSpaceDE/>
                    <w:autoSpaceDN/>
                    <w:bidi w:val="0"/>
                    <w:adjustRightInd/>
                    <w:snapToGrid/>
                    <w:spacing w:before="40" w:line="288" w:lineRule="auto"/>
                    <w:jc w:val="center"/>
                    <w:textAlignment w:val="auto"/>
                    <w:rPr>
                      <w:rFonts w:hint="default" w:ascii="Times New Roman" w:hAnsi="Times New Roman" w:eastAsia="宋体" w:cs="Times New Roman"/>
                      <w:color w:val="auto"/>
                      <w:sz w:val="21"/>
                      <w:szCs w:val="24"/>
                      <w:lang w:val="en-US" w:eastAsia="zh-CN"/>
                    </w:rPr>
                  </w:pPr>
                  <w:r>
                    <w:rPr>
                      <w:rFonts w:hint="eastAsia" w:ascii="Times New Roman" w:hAnsi="Times New Roman" w:eastAsia="宋体" w:cs="Times New Roman"/>
                      <w:color w:val="auto"/>
                      <w:sz w:val="21"/>
                      <w:szCs w:val="24"/>
                      <w:lang w:val="en-US" w:eastAsia="zh-CN"/>
                    </w:rPr>
                    <w:t>3888</w:t>
                  </w:r>
                </w:p>
              </w:tc>
              <w:tc>
                <w:tcPr>
                  <w:tcW w:w="792" w:type="dxa"/>
                  <w:vMerge w:val="continue"/>
                  <w:tcBorders>
                    <w:left w:val="single" w:color="auto" w:sz="4" w:space="0"/>
                    <w:bottom w:val="single" w:color="auto" w:sz="4" w:space="0"/>
                    <w:right w:val="single" w:color="auto" w:sz="4" w:space="0"/>
                  </w:tcBorders>
                  <w:noWrap w:val="0"/>
                  <w:vAlign w:val="center"/>
                </w:tcPr>
                <w:p w14:paraId="6DB2ED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4"/>
                      <w:highlight w:val="none"/>
                      <w:u w:val="none"/>
                      <w:lang w:val="en-US" w:eastAsia="zh-CN"/>
                    </w:rPr>
                  </w:pPr>
                </w:p>
              </w:tc>
              <w:tc>
                <w:tcPr>
                  <w:tcW w:w="575" w:type="dxa"/>
                  <w:vMerge w:val="continue"/>
                  <w:tcBorders>
                    <w:top w:val="single" w:color="auto" w:sz="4" w:space="0"/>
                    <w:left w:val="single" w:color="auto" w:sz="4" w:space="0"/>
                    <w:bottom w:val="single" w:color="auto" w:sz="4" w:space="0"/>
                    <w:right w:val="single" w:color="auto" w:sz="4" w:space="0"/>
                  </w:tcBorders>
                  <w:noWrap w:val="0"/>
                  <w:vAlign w:val="center"/>
                </w:tcPr>
                <w:p w14:paraId="69F44CE2">
                  <w:pPr>
                    <w:keepNext w:val="0"/>
                    <w:keepLines w:val="0"/>
                    <w:widowControl/>
                    <w:suppressLineNumbers w:val="0"/>
                    <w:jc w:val="center"/>
                    <w:textAlignment w:val="center"/>
                    <w:rPr>
                      <w:rFonts w:hint="eastAsia" w:ascii="Times New Roman" w:hAnsi="Times New Roman" w:eastAsia="宋体" w:cs="宋体"/>
                      <w:i w:val="0"/>
                      <w:iCs w:val="0"/>
                      <w:color w:val="auto"/>
                      <w:sz w:val="21"/>
                      <w:szCs w:val="24"/>
                      <w:highlight w:val="none"/>
                      <w:u w:val="none"/>
                      <w:lang w:val="en-US" w:eastAsia="zh-CN"/>
                    </w:rPr>
                  </w:pPr>
                </w:p>
              </w:tc>
            </w:tr>
            <w:tr w14:paraId="43DC06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7" w:hRule="atLeast"/>
                <w:jc w:val="center"/>
              </w:trPr>
              <w:tc>
                <w:tcPr>
                  <w:tcW w:w="726" w:type="dxa"/>
                  <w:vMerge w:val="continue"/>
                  <w:tcBorders>
                    <w:top w:val="single" w:color="auto" w:sz="4" w:space="0"/>
                    <w:left w:val="single" w:color="auto" w:sz="4" w:space="0"/>
                    <w:bottom w:val="single" w:color="auto" w:sz="4" w:space="0"/>
                    <w:right w:val="single" w:color="auto" w:sz="4" w:space="0"/>
                  </w:tcBorders>
                  <w:noWrap w:val="0"/>
                  <w:vAlign w:val="center"/>
                </w:tcPr>
                <w:p w14:paraId="4CD32CAB">
                  <w:pPr>
                    <w:keepNext w:val="0"/>
                    <w:keepLines w:val="0"/>
                    <w:widowControl/>
                    <w:suppressLineNumbers w:val="0"/>
                    <w:jc w:val="center"/>
                    <w:textAlignment w:val="center"/>
                    <w:rPr>
                      <w:rFonts w:ascii="Times New Roman" w:hAnsi="Times New Roman" w:eastAsia="宋体"/>
                      <w:color w:val="auto"/>
                      <w:sz w:val="21"/>
                      <w:szCs w:val="24"/>
                    </w:rPr>
                  </w:pPr>
                </w:p>
              </w:tc>
              <w:tc>
                <w:tcPr>
                  <w:tcW w:w="6063" w:type="dxa"/>
                  <w:gridSpan w:val="7"/>
                  <w:tcBorders>
                    <w:top w:val="single" w:color="auto" w:sz="4" w:space="0"/>
                    <w:left w:val="single" w:color="auto" w:sz="4" w:space="0"/>
                    <w:bottom w:val="single" w:color="auto" w:sz="4" w:space="0"/>
                    <w:right w:val="single" w:color="auto" w:sz="4" w:space="0"/>
                  </w:tcBorders>
                  <w:noWrap w:val="0"/>
                  <w:vAlign w:val="center"/>
                </w:tcPr>
                <w:p w14:paraId="414367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4"/>
                      <w:u w:val="none"/>
                      <w:lang w:val="en-US" w:eastAsia="zh-CN" w:bidi="ar"/>
                    </w:rPr>
                  </w:pPr>
                  <w:r>
                    <w:rPr>
                      <w:rFonts w:hint="eastAsia" w:ascii="Times New Roman" w:hAnsi="Times New Roman" w:eastAsia="宋体" w:cs="宋体"/>
                      <w:b/>
                      <w:bCs/>
                      <w:i w:val="0"/>
                      <w:iCs w:val="0"/>
                      <w:color w:val="auto"/>
                      <w:kern w:val="0"/>
                      <w:sz w:val="21"/>
                      <w:szCs w:val="24"/>
                      <w:highlight w:val="none"/>
                      <w:u w:val="none"/>
                      <w:lang w:val="en-US" w:eastAsia="zh-CN" w:bidi="ar"/>
                    </w:rPr>
                    <w:t>设计总风量</w:t>
                  </w:r>
                  <w:r>
                    <w:rPr>
                      <w:rFonts w:hint="default" w:ascii="Times New Roman" w:hAnsi="Times New Roman" w:eastAsia="宋体" w:cs="Times New Roman"/>
                      <w:b/>
                      <w:bCs/>
                      <w:i w:val="0"/>
                      <w:iCs w:val="0"/>
                      <w:color w:val="auto"/>
                      <w:kern w:val="0"/>
                      <w:sz w:val="21"/>
                      <w:szCs w:val="24"/>
                      <w:highlight w:val="none"/>
                      <w:u w:val="none"/>
                      <w:lang w:val="en-US" w:eastAsia="zh-CN" w:bidi="ar"/>
                    </w:rPr>
                    <w:t>m³/h</w:t>
                  </w:r>
                </w:p>
              </w:tc>
              <w:tc>
                <w:tcPr>
                  <w:tcW w:w="792" w:type="dxa"/>
                  <w:tcBorders>
                    <w:top w:val="single" w:color="auto" w:sz="4" w:space="0"/>
                    <w:left w:val="single" w:color="auto" w:sz="4" w:space="0"/>
                    <w:bottom w:val="single" w:color="auto" w:sz="4" w:space="0"/>
                    <w:right w:val="single" w:color="auto" w:sz="4" w:space="0"/>
                  </w:tcBorders>
                  <w:noWrap w:val="0"/>
                  <w:vAlign w:val="center"/>
                </w:tcPr>
                <w:p w14:paraId="73D76558">
                  <w:pPr>
                    <w:jc w:val="center"/>
                    <w:rPr>
                      <w:rFonts w:hint="default" w:ascii="Times New Roman" w:hAnsi="Times New Roman" w:eastAsia="宋体" w:cs="Times New Roman"/>
                      <w:i w:val="0"/>
                      <w:iCs w:val="0"/>
                      <w:color w:val="auto"/>
                      <w:sz w:val="21"/>
                      <w:szCs w:val="24"/>
                      <w:highlight w:val="none"/>
                      <w:u w:val="none"/>
                      <w:lang w:val="en-US" w:eastAsia="zh-CN"/>
                    </w:rPr>
                  </w:pPr>
                  <w:r>
                    <w:rPr>
                      <w:rFonts w:hint="eastAsia" w:ascii="Times New Roman" w:hAnsi="Times New Roman" w:eastAsia="宋体" w:cs="Times New Roman"/>
                      <w:b/>
                      <w:bCs/>
                      <w:i w:val="0"/>
                      <w:iCs w:val="0"/>
                      <w:color w:val="auto"/>
                      <w:sz w:val="21"/>
                      <w:szCs w:val="24"/>
                      <w:highlight w:val="none"/>
                      <w:u w:val="none"/>
                      <w:lang w:val="en-US" w:eastAsia="zh-CN"/>
                    </w:rPr>
                    <w:t>15000</w:t>
                  </w:r>
                </w:p>
              </w:tc>
              <w:tc>
                <w:tcPr>
                  <w:tcW w:w="575" w:type="dxa"/>
                  <w:vMerge w:val="continue"/>
                  <w:tcBorders>
                    <w:top w:val="single" w:color="auto" w:sz="4" w:space="0"/>
                    <w:left w:val="single" w:color="auto" w:sz="4" w:space="0"/>
                    <w:bottom w:val="single" w:color="auto" w:sz="4" w:space="0"/>
                    <w:right w:val="single" w:color="auto" w:sz="4" w:space="0"/>
                  </w:tcBorders>
                  <w:noWrap w:val="0"/>
                  <w:vAlign w:val="center"/>
                </w:tcPr>
                <w:p w14:paraId="3A00B939">
                  <w:pPr>
                    <w:keepNext w:val="0"/>
                    <w:keepLines w:val="0"/>
                    <w:widowControl/>
                    <w:suppressLineNumbers w:val="0"/>
                    <w:jc w:val="center"/>
                    <w:textAlignment w:val="center"/>
                    <w:rPr>
                      <w:rFonts w:hint="eastAsia" w:ascii="Times New Roman" w:hAnsi="Times New Roman" w:eastAsia="宋体" w:cs="宋体"/>
                      <w:i w:val="0"/>
                      <w:iCs w:val="0"/>
                      <w:color w:val="auto"/>
                      <w:sz w:val="21"/>
                      <w:szCs w:val="24"/>
                      <w:highlight w:val="none"/>
                      <w:u w:val="none"/>
                      <w:lang w:val="en-US" w:eastAsia="zh-CN"/>
                    </w:rPr>
                  </w:pPr>
                </w:p>
              </w:tc>
            </w:tr>
          </w:tbl>
          <w:p w14:paraId="6EFDE3DD">
            <w:pPr>
              <w:pStyle w:val="108"/>
              <w:numPr>
                <w:ilvl w:val="0"/>
                <w:numId w:val="0"/>
              </w:numPr>
              <w:spacing w:line="360" w:lineRule="auto"/>
              <w:ind w:leftChars="0"/>
              <w:jc w:val="both"/>
              <w:rPr>
                <w:rFonts w:hint="default" w:eastAsia="宋体"/>
                <w:b w:val="0"/>
                <w:bCs w:val="0"/>
                <w:color w:val="auto"/>
                <w:sz w:val="21"/>
                <w:szCs w:val="24"/>
                <w:highlight w:val="none"/>
                <w:lang w:val="en-US" w:eastAsia="zh-CN"/>
              </w:rPr>
            </w:pPr>
            <w:r>
              <w:rPr>
                <w:rFonts w:hint="eastAsia"/>
                <w:b w:val="0"/>
                <w:bCs/>
                <w:color w:val="auto"/>
                <w:lang w:val="en-US" w:eastAsia="zh-CN"/>
              </w:rPr>
              <w:t>注：理论风量（Q）=喷粉柜（房）操作工位敞开面面积（F，长×宽）×</w:t>
            </w:r>
            <w:r>
              <w:rPr>
                <w:rFonts w:hint="eastAsia" w:ascii="Times New Roman" w:hAnsi="Times New Roman" w:eastAsia="宋体" w:cs="宋体"/>
                <w:b w:val="0"/>
                <w:bCs/>
                <w:i w:val="0"/>
                <w:iCs w:val="0"/>
                <w:color w:val="auto"/>
                <w:sz w:val="21"/>
                <w:szCs w:val="24"/>
                <w:highlight w:val="none"/>
                <w:u w:val="none"/>
                <w:lang w:val="en-US" w:eastAsia="zh-CN"/>
              </w:rPr>
              <w:t>喷粉柜</w:t>
            </w:r>
            <w:r>
              <w:rPr>
                <w:rFonts w:hint="eastAsia" w:cs="宋体"/>
                <w:b w:val="0"/>
                <w:bCs/>
                <w:i w:val="0"/>
                <w:iCs w:val="0"/>
                <w:color w:val="auto"/>
                <w:sz w:val="21"/>
                <w:szCs w:val="24"/>
                <w:highlight w:val="none"/>
                <w:u w:val="none"/>
                <w:lang w:val="en-US" w:eastAsia="zh-CN"/>
              </w:rPr>
              <w:t>（房）</w:t>
            </w:r>
            <w:r>
              <w:rPr>
                <w:rFonts w:hint="eastAsia" w:ascii="Times New Roman" w:hAnsi="Times New Roman" w:eastAsia="宋体" w:cs="宋体"/>
                <w:b w:val="0"/>
                <w:bCs/>
                <w:i w:val="0"/>
                <w:iCs w:val="0"/>
                <w:color w:val="auto"/>
                <w:sz w:val="21"/>
                <w:szCs w:val="24"/>
                <w:highlight w:val="none"/>
                <w:u w:val="none"/>
                <w:lang w:val="en-US" w:eastAsia="zh-CN"/>
              </w:rPr>
              <w:t>数</w:t>
            </w:r>
            <w:r>
              <w:rPr>
                <w:rFonts w:hint="eastAsia" w:eastAsia="宋体" w:cs="宋体"/>
                <w:b w:val="0"/>
                <w:bCs/>
                <w:i w:val="0"/>
                <w:iCs w:val="0"/>
                <w:color w:val="auto"/>
                <w:sz w:val="21"/>
                <w:szCs w:val="24"/>
                <w:highlight w:val="none"/>
                <w:u w:val="none"/>
                <w:lang w:val="en-US" w:eastAsia="zh-CN"/>
              </w:rPr>
              <w:t>量</w:t>
            </w:r>
            <w:r>
              <w:rPr>
                <w:rFonts w:hint="eastAsia" w:cs="宋体"/>
                <w:b w:val="0"/>
                <w:bCs/>
                <w:i w:val="0"/>
                <w:iCs w:val="0"/>
                <w:color w:val="auto"/>
                <w:sz w:val="21"/>
                <w:szCs w:val="24"/>
                <w:highlight w:val="none"/>
                <w:u w:val="none"/>
                <w:lang w:val="en-US" w:eastAsia="zh-CN"/>
              </w:rPr>
              <w:t>×</w:t>
            </w:r>
            <w:r>
              <w:rPr>
                <w:rFonts w:hint="eastAsia" w:ascii="Times New Roman" w:hAnsi="Times New Roman" w:eastAsia="宋体" w:cs="宋体"/>
                <w:b w:val="0"/>
                <w:bCs/>
                <w:i w:val="0"/>
                <w:iCs w:val="0"/>
                <w:color w:val="auto"/>
                <w:sz w:val="21"/>
                <w:szCs w:val="24"/>
                <w:highlight w:val="none"/>
                <w:u w:val="none"/>
                <w:lang w:val="en-US" w:eastAsia="zh-CN"/>
              </w:rPr>
              <w:t>操作口平均速度</w:t>
            </w:r>
            <w:r>
              <w:rPr>
                <w:rFonts w:hint="eastAsia" w:cs="宋体"/>
                <w:b w:val="0"/>
                <w:bCs/>
                <w:i w:val="0"/>
                <w:iCs w:val="0"/>
                <w:color w:val="auto"/>
                <w:sz w:val="21"/>
                <w:szCs w:val="24"/>
                <w:highlight w:val="none"/>
                <w:u w:val="none"/>
                <w:lang w:val="en-US" w:eastAsia="zh-CN"/>
              </w:rPr>
              <w:t>(v)×</w:t>
            </w:r>
            <w:r>
              <w:rPr>
                <w:rFonts w:hint="eastAsia" w:eastAsia="宋体" w:cs="宋体"/>
                <w:b w:val="0"/>
                <w:bCs/>
                <w:i w:val="0"/>
                <w:iCs w:val="0"/>
                <w:color w:val="auto"/>
                <w:sz w:val="21"/>
                <w:szCs w:val="24"/>
                <w:highlight w:val="none"/>
                <w:u w:val="none"/>
                <w:lang w:val="en-US" w:eastAsia="zh-CN"/>
              </w:rPr>
              <w:t>3600</w:t>
            </w:r>
            <w:r>
              <w:rPr>
                <w:rFonts w:hint="eastAsia" w:cs="宋体"/>
                <w:b w:val="0"/>
                <w:bCs/>
                <w:i w:val="0"/>
                <w:iCs w:val="0"/>
                <w:color w:val="auto"/>
                <w:sz w:val="21"/>
                <w:szCs w:val="24"/>
                <w:highlight w:val="none"/>
                <w:u w:val="none"/>
                <w:lang w:val="en-US" w:eastAsia="zh-CN"/>
              </w:rPr>
              <w:t>；</w:t>
            </w:r>
          </w:p>
          <w:p w14:paraId="623D1300">
            <w:pPr>
              <w:pStyle w:val="108"/>
              <w:ind w:left="210" w:leftChars="0" w:firstLineChars="0"/>
              <w:rPr>
                <w:rFonts w:hint="eastAsia"/>
                <w:b/>
                <w:bCs w:val="0"/>
                <w:color w:val="auto"/>
                <w:sz w:val="24"/>
                <w:szCs w:val="32"/>
                <w:highlight w:val="none"/>
              </w:rPr>
            </w:pPr>
            <w:r>
              <w:rPr>
                <w:rFonts w:hint="eastAsia"/>
                <w:b/>
                <w:bCs w:val="0"/>
                <w:color w:val="auto"/>
                <w:sz w:val="21"/>
                <w:szCs w:val="24"/>
                <w:highlight w:val="none"/>
                <w:lang w:val="en-US" w:eastAsia="zh-CN"/>
              </w:rPr>
              <w:t>喷粉工序废气产排情况一览表（G1）</w:t>
            </w:r>
          </w:p>
          <w:tbl>
            <w:tblPr>
              <w:tblStyle w:val="192"/>
              <w:tblW w:w="67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70"/>
              <w:gridCol w:w="1585"/>
              <w:gridCol w:w="1308"/>
              <w:gridCol w:w="1308"/>
              <w:gridCol w:w="1308"/>
            </w:tblGrid>
            <w:tr w14:paraId="6031D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2855" w:type="dxa"/>
                  <w:gridSpan w:val="2"/>
                  <w:noWrap w:val="0"/>
                  <w:vAlign w:val="center"/>
                </w:tcPr>
                <w:p w14:paraId="0A251E2C">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2"/>
                      <w:sz w:val="21"/>
                      <w:szCs w:val="21"/>
                      <w:highlight w:val="none"/>
                    </w:rPr>
                    <w:t>产排污环节</w:t>
                  </w:r>
                </w:p>
              </w:tc>
              <w:tc>
                <w:tcPr>
                  <w:tcW w:w="3924" w:type="dxa"/>
                  <w:gridSpan w:val="3"/>
                  <w:noWrap w:val="0"/>
                  <w:vAlign w:val="center"/>
                </w:tcPr>
                <w:p w14:paraId="63B479AC">
                  <w:pPr>
                    <w:pStyle w:val="191"/>
                    <w:keepLines/>
                    <w:pageBreakBefore w:val="0"/>
                    <w:widowControl/>
                    <w:bidi w:val="0"/>
                    <w:spacing w:before="73" w:line="219" w:lineRule="auto"/>
                    <w:jc w:val="center"/>
                    <w:rPr>
                      <w:rFonts w:hint="eastAsia" w:ascii="Times New Roman" w:hAnsi="Times New Roman" w:eastAsia="宋体"/>
                      <w:color w:val="auto"/>
                      <w:spacing w:val="3"/>
                      <w:sz w:val="21"/>
                      <w:szCs w:val="21"/>
                      <w:highlight w:val="none"/>
                      <w:lang w:val="en-US" w:eastAsia="zh-CN"/>
                    </w:rPr>
                  </w:pPr>
                  <w:r>
                    <w:rPr>
                      <w:rFonts w:hint="eastAsia" w:ascii="Times New Roman" w:hAnsi="Times New Roman" w:eastAsia="宋体"/>
                      <w:color w:val="auto"/>
                      <w:spacing w:val="3"/>
                      <w:sz w:val="21"/>
                      <w:szCs w:val="21"/>
                      <w:highlight w:val="none"/>
                      <w:lang w:val="en-US" w:eastAsia="zh-CN"/>
                    </w:rPr>
                    <w:t>喷粉</w:t>
                  </w:r>
                  <w:r>
                    <w:rPr>
                      <w:rFonts w:ascii="Times New Roman" w:hAnsi="Times New Roman" w:eastAsia="宋体"/>
                      <w:color w:val="auto"/>
                      <w:spacing w:val="3"/>
                      <w:sz w:val="21"/>
                      <w:szCs w:val="21"/>
                      <w:highlight w:val="none"/>
                    </w:rPr>
                    <w:t>工序</w:t>
                  </w:r>
                </w:p>
              </w:tc>
            </w:tr>
            <w:tr w14:paraId="2E279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0" w:hRule="atLeast"/>
                <w:jc w:val="center"/>
              </w:trPr>
              <w:tc>
                <w:tcPr>
                  <w:tcW w:w="2855" w:type="dxa"/>
                  <w:gridSpan w:val="2"/>
                  <w:noWrap w:val="0"/>
                  <w:vAlign w:val="center"/>
                </w:tcPr>
                <w:p w14:paraId="552BFCC3">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olor w:val="auto"/>
                      <w:spacing w:val="10"/>
                      <w:sz w:val="21"/>
                      <w:szCs w:val="21"/>
                      <w:highlight w:val="none"/>
                      <w:lang w:val="en-US" w:eastAsia="zh-CN"/>
                    </w:rPr>
                  </w:pPr>
                  <w:r>
                    <w:rPr>
                      <w:rFonts w:hint="eastAsia" w:ascii="Times New Roman" w:hAnsi="Times New Roman"/>
                      <w:color w:val="auto"/>
                      <w:spacing w:val="10"/>
                      <w:sz w:val="21"/>
                      <w:szCs w:val="21"/>
                      <w:highlight w:val="none"/>
                      <w:lang w:val="en-US" w:eastAsia="zh-CN"/>
                    </w:rPr>
                    <w:t>废气种类</w:t>
                  </w:r>
                </w:p>
              </w:tc>
              <w:tc>
                <w:tcPr>
                  <w:tcW w:w="1308" w:type="dxa"/>
                  <w:noWrap w:val="0"/>
                  <w:vAlign w:val="top"/>
                </w:tcPr>
                <w:p w14:paraId="18F9F6BB">
                  <w:pPr>
                    <w:pStyle w:val="191"/>
                    <w:keepLines/>
                    <w:pageBreakBefore w:val="0"/>
                    <w:widowControl/>
                    <w:bidi w:val="0"/>
                    <w:spacing w:before="79" w:line="219" w:lineRule="auto"/>
                    <w:jc w:val="center"/>
                    <w:rPr>
                      <w:rFonts w:hint="default" w:ascii="Times New Roman" w:hAnsi="Times New Roman" w:eastAsia="宋体"/>
                      <w:color w:val="auto"/>
                      <w:spacing w:val="5"/>
                      <w:sz w:val="21"/>
                      <w:szCs w:val="21"/>
                      <w:highlight w:val="none"/>
                      <w:lang w:val="en-US" w:eastAsia="zh-CN"/>
                    </w:rPr>
                  </w:pPr>
                  <w:r>
                    <w:rPr>
                      <w:rFonts w:hint="default" w:ascii="Times New Roman" w:hAnsi="Times New Roman" w:eastAsia="宋体"/>
                      <w:color w:val="auto"/>
                      <w:spacing w:val="5"/>
                      <w:sz w:val="21"/>
                      <w:szCs w:val="21"/>
                      <w:highlight w:val="none"/>
                      <w:lang w:val="en-US" w:eastAsia="zh-CN"/>
                    </w:rPr>
                    <w:t>自动</w:t>
                  </w:r>
                  <w:r>
                    <w:rPr>
                      <w:rFonts w:hint="eastAsia" w:ascii="Times New Roman" w:hAnsi="Times New Roman" w:eastAsia="宋体"/>
                      <w:color w:val="auto"/>
                      <w:spacing w:val="5"/>
                      <w:sz w:val="21"/>
                      <w:szCs w:val="21"/>
                      <w:highlight w:val="none"/>
                      <w:lang w:val="en-US" w:eastAsia="zh-CN"/>
                    </w:rPr>
                    <w:t>喷粉</w:t>
                  </w:r>
                  <w:r>
                    <w:rPr>
                      <w:rFonts w:hint="default" w:ascii="Times New Roman" w:hAnsi="Times New Roman" w:eastAsia="宋体"/>
                      <w:color w:val="auto"/>
                      <w:spacing w:val="5"/>
                      <w:sz w:val="21"/>
                      <w:szCs w:val="21"/>
                      <w:highlight w:val="none"/>
                      <w:lang w:val="en-US" w:eastAsia="zh-CN"/>
                    </w:rPr>
                    <w:t>线</w:t>
                  </w:r>
                  <w:r>
                    <w:rPr>
                      <w:rFonts w:hint="eastAsia" w:ascii="Times New Roman" w:hAnsi="Times New Roman" w:eastAsia="宋体"/>
                      <w:color w:val="auto"/>
                      <w:spacing w:val="5"/>
                      <w:sz w:val="21"/>
                      <w:szCs w:val="21"/>
                      <w:highlight w:val="none"/>
                      <w:lang w:val="en-US" w:eastAsia="zh-CN"/>
                    </w:rPr>
                    <w:t>废气</w:t>
                  </w:r>
                </w:p>
              </w:tc>
              <w:tc>
                <w:tcPr>
                  <w:tcW w:w="1308" w:type="dxa"/>
                  <w:noWrap w:val="0"/>
                  <w:vAlign w:val="top"/>
                </w:tcPr>
                <w:p w14:paraId="7F81D408">
                  <w:pPr>
                    <w:pStyle w:val="191"/>
                    <w:keepLines/>
                    <w:pageBreakBefore w:val="0"/>
                    <w:widowControl/>
                    <w:bidi w:val="0"/>
                    <w:spacing w:before="79" w:line="219" w:lineRule="auto"/>
                    <w:jc w:val="center"/>
                    <w:rPr>
                      <w:rFonts w:hint="eastAsia" w:ascii="Times New Roman" w:hAnsi="Times New Roman"/>
                      <w:color w:val="auto"/>
                      <w:spacing w:val="5"/>
                      <w:sz w:val="21"/>
                      <w:szCs w:val="21"/>
                      <w:highlight w:val="none"/>
                      <w:lang w:val="en-US" w:eastAsia="zh-CN"/>
                    </w:rPr>
                  </w:pPr>
                  <w:r>
                    <w:rPr>
                      <w:rFonts w:hint="eastAsia" w:ascii="Times New Roman" w:hAnsi="Times New Roman" w:eastAsia="宋体"/>
                      <w:color w:val="auto"/>
                      <w:spacing w:val="5"/>
                      <w:sz w:val="21"/>
                      <w:szCs w:val="21"/>
                      <w:highlight w:val="none"/>
                      <w:lang w:val="en-US" w:eastAsia="zh-CN"/>
                    </w:rPr>
                    <w:t>手</w:t>
                  </w:r>
                  <w:r>
                    <w:rPr>
                      <w:rFonts w:hint="default" w:ascii="Times New Roman" w:hAnsi="Times New Roman" w:eastAsia="宋体"/>
                      <w:color w:val="auto"/>
                      <w:spacing w:val="5"/>
                      <w:sz w:val="21"/>
                      <w:szCs w:val="21"/>
                      <w:highlight w:val="none"/>
                      <w:lang w:val="en-US" w:eastAsia="zh-CN"/>
                    </w:rPr>
                    <w:t>动</w:t>
                  </w:r>
                  <w:r>
                    <w:rPr>
                      <w:rFonts w:hint="eastAsia" w:ascii="Times New Roman" w:hAnsi="Times New Roman" w:eastAsia="宋体"/>
                      <w:color w:val="auto"/>
                      <w:spacing w:val="5"/>
                      <w:sz w:val="21"/>
                      <w:szCs w:val="21"/>
                      <w:highlight w:val="none"/>
                      <w:lang w:val="en-US" w:eastAsia="zh-CN"/>
                    </w:rPr>
                    <w:t>喷粉</w:t>
                  </w:r>
                  <w:r>
                    <w:rPr>
                      <w:rFonts w:hint="default" w:ascii="Times New Roman" w:hAnsi="Times New Roman" w:eastAsia="宋体"/>
                      <w:color w:val="auto"/>
                      <w:spacing w:val="5"/>
                      <w:sz w:val="21"/>
                      <w:szCs w:val="21"/>
                      <w:highlight w:val="none"/>
                      <w:lang w:val="en-US" w:eastAsia="zh-CN"/>
                    </w:rPr>
                    <w:t>线</w:t>
                  </w:r>
                  <w:r>
                    <w:rPr>
                      <w:rFonts w:hint="eastAsia" w:ascii="Times New Roman" w:hAnsi="Times New Roman" w:eastAsia="宋体"/>
                      <w:color w:val="auto"/>
                      <w:spacing w:val="5"/>
                      <w:sz w:val="21"/>
                      <w:szCs w:val="21"/>
                      <w:highlight w:val="none"/>
                      <w:lang w:val="en-US" w:eastAsia="zh-CN"/>
                    </w:rPr>
                    <w:t>废气</w:t>
                  </w:r>
                </w:p>
              </w:tc>
              <w:tc>
                <w:tcPr>
                  <w:tcW w:w="1308" w:type="dxa"/>
                  <w:noWrap w:val="0"/>
                  <w:vAlign w:val="center"/>
                </w:tcPr>
                <w:p w14:paraId="223B8FAB">
                  <w:pPr>
                    <w:pStyle w:val="191"/>
                    <w:keepLines/>
                    <w:pageBreakBefore w:val="0"/>
                    <w:widowControl/>
                    <w:bidi w:val="0"/>
                    <w:spacing w:before="79" w:line="219" w:lineRule="auto"/>
                    <w:jc w:val="center"/>
                    <w:rPr>
                      <w:rFonts w:hint="default" w:ascii="Times New Roman" w:hAnsi="Times New Roman"/>
                      <w:color w:val="auto"/>
                      <w:spacing w:val="5"/>
                      <w:sz w:val="21"/>
                      <w:szCs w:val="21"/>
                      <w:highlight w:val="none"/>
                      <w:lang w:val="en-US" w:eastAsia="zh-CN"/>
                    </w:rPr>
                  </w:pPr>
                  <w:r>
                    <w:rPr>
                      <w:rFonts w:hint="eastAsia" w:ascii="Times New Roman" w:hAnsi="Times New Roman"/>
                      <w:color w:val="auto"/>
                      <w:spacing w:val="5"/>
                      <w:sz w:val="21"/>
                      <w:szCs w:val="21"/>
                      <w:highlight w:val="none"/>
                      <w:lang w:val="en-US" w:eastAsia="zh-CN"/>
                    </w:rPr>
                    <w:t>/</w:t>
                  </w:r>
                </w:p>
              </w:tc>
            </w:tr>
            <w:tr w14:paraId="1799E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855" w:type="dxa"/>
                  <w:gridSpan w:val="2"/>
                  <w:noWrap w:val="0"/>
                  <w:vAlign w:val="center"/>
                </w:tcPr>
                <w:p w14:paraId="3C583D41">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2"/>
                      <w:sz w:val="21"/>
                      <w:szCs w:val="21"/>
                      <w:highlight w:val="none"/>
                    </w:rPr>
                    <w:t>排气筒编号</w:t>
                  </w:r>
                </w:p>
              </w:tc>
              <w:tc>
                <w:tcPr>
                  <w:tcW w:w="3924" w:type="dxa"/>
                  <w:gridSpan w:val="3"/>
                  <w:noWrap w:val="0"/>
                  <w:vAlign w:val="center"/>
                </w:tcPr>
                <w:p w14:paraId="0AF6D848">
                  <w:pPr>
                    <w:pStyle w:val="191"/>
                    <w:keepLines/>
                    <w:pageBreakBefore w:val="0"/>
                    <w:widowControl/>
                    <w:bidi w:val="0"/>
                    <w:spacing w:before="124" w:line="183" w:lineRule="auto"/>
                    <w:jc w:val="center"/>
                    <w:rPr>
                      <w:rFonts w:hint="eastAsia" w:ascii="Times New Roman" w:hAnsi="Times New Roman"/>
                      <w:color w:val="auto"/>
                      <w:spacing w:val="-2"/>
                      <w:sz w:val="21"/>
                      <w:szCs w:val="21"/>
                      <w:highlight w:val="none"/>
                      <w:lang w:val="en-US" w:eastAsia="zh-CN"/>
                    </w:rPr>
                  </w:pPr>
                  <w:r>
                    <w:rPr>
                      <w:rFonts w:hint="eastAsia" w:ascii="Times New Roman" w:hAnsi="Times New Roman"/>
                      <w:color w:val="auto"/>
                      <w:spacing w:val="-2"/>
                      <w:sz w:val="21"/>
                      <w:szCs w:val="21"/>
                      <w:highlight w:val="none"/>
                      <w:lang w:val="en-US" w:eastAsia="zh-CN"/>
                    </w:rPr>
                    <w:t>G1</w:t>
                  </w:r>
                </w:p>
              </w:tc>
            </w:tr>
            <w:tr w14:paraId="14258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jc w:val="center"/>
              </w:trPr>
              <w:tc>
                <w:tcPr>
                  <w:tcW w:w="2855" w:type="dxa"/>
                  <w:gridSpan w:val="2"/>
                  <w:noWrap w:val="0"/>
                  <w:vAlign w:val="center"/>
                </w:tcPr>
                <w:p w14:paraId="55EEA99F">
                  <w:pPr>
                    <w:pStyle w:val="191"/>
                    <w:keepNext w:val="0"/>
                    <w:keepLines/>
                    <w:pageBreakBefore w:val="0"/>
                    <w:widowControl/>
                    <w:kinsoku/>
                    <w:wordWrap/>
                    <w:overflowPunct/>
                    <w:topLinePunct w:val="0"/>
                    <w:autoSpaceDE/>
                    <w:autoSpaceDN/>
                    <w:bidi w:val="0"/>
                    <w:adjustRightInd/>
                    <w:snapToGrid/>
                    <w:spacing w:line="220" w:lineRule="auto"/>
                    <w:ind w:left="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2"/>
                      <w:sz w:val="21"/>
                      <w:szCs w:val="21"/>
                      <w:highlight w:val="none"/>
                    </w:rPr>
                    <w:t>污染物名称</w:t>
                  </w:r>
                </w:p>
              </w:tc>
              <w:tc>
                <w:tcPr>
                  <w:tcW w:w="2616" w:type="dxa"/>
                  <w:gridSpan w:val="2"/>
                  <w:noWrap w:val="0"/>
                  <w:vAlign w:val="center"/>
                </w:tcPr>
                <w:p w14:paraId="2467B713">
                  <w:pPr>
                    <w:pStyle w:val="191"/>
                    <w:keepLines/>
                    <w:pageBreakBefore w:val="0"/>
                    <w:widowControl/>
                    <w:bidi w:val="0"/>
                    <w:spacing w:before="81" w:line="220" w:lineRule="auto"/>
                    <w:jc w:val="center"/>
                    <w:rPr>
                      <w:rFonts w:hint="eastAsia" w:ascii="Times New Roman" w:hAnsi="Times New Roman" w:eastAsia="宋体"/>
                      <w:color w:val="auto"/>
                      <w:spacing w:val="-2"/>
                      <w:sz w:val="21"/>
                      <w:szCs w:val="21"/>
                      <w:highlight w:val="none"/>
                      <w:lang w:val="en-US" w:eastAsia="zh-CN"/>
                    </w:rPr>
                  </w:pPr>
                  <w:r>
                    <w:rPr>
                      <w:rFonts w:hint="eastAsia" w:ascii="Times New Roman" w:hAnsi="Times New Roman" w:eastAsia="宋体"/>
                      <w:color w:val="auto"/>
                      <w:spacing w:val="-2"/>
                      <w:sz w:val="21"/>
                      <w:szCs w:val="21"/>
                      <w:highlight w:val="none"/>
                      <w:lang w:val="en-US" w:eastAsia="zh-CN"/>
                    </w:rPr>
                    <w:t>颗粒物</w:t>
                  </w:r>
                </w:p>
              </w:tc>
              <w:tc>
                <w:tcPr>
                  <w:tcW w:w="1308" w:type="dxa"/>
                  <w:noWrap w:val="0"/>
                  <w:vAlign w:val="center"/>
                </w:tcPr>
                <w:p w14:paraId="0110C8C2">
                  <w:pPr>
                    <w:pStyle w:val="191"/>
                    <w:keepLines/>
                    <w:pageBreakBefore w:val="0"/>
                    <w:widowControl/>
                    <w:bidi w:val="0"/>
                    <w:spacing w:before="81" w:line="220" w:lineRule="auto"/>
                    <w:jc w:val="center"/>
                    <w:rPr>
                      <w:rFonts w:hint="default" w:ascii="Times New Roman" w:hAnsi="Times New Roman" w:eastAsia="宋体"/>
                      <w:color w:val="auto"/>
                      <w:spacing w:val="-2"/>
                      <w:sz w:val="21"/>
                      <w:szCs w:val="21"/>
                      <w:highlight w:val="none"/>
                      <w:lang w:val="en-US" w:eastAsia="zh-CN"/>
                    </w:rPr>
                  </w:pPr>
                  <w:r>
                    <w:rPr>
                      <w:rFonts w:hint="eastAsia" w:ascii="Times New Roman" w:hAnsi="Times New Roman" w:eastAsia="宋体"/>
                      <w:color w:val="auto"/>
                      <w:spacing w:val="-2"/>
                      <w:sz w:val="21"/>
                      <w:szCs w:val="21"/>
                      <w:highlight w:val="none"/>
                      <w:lang w:val="en-US" w:eastAsia="zh-CN"/>
                    </w:rPr>
                    <w:t>颗粒物合并</w:t>
                  </w:r>
                </w:p>
              </w:tc>
            </w:tr>
            <w:tr w14:paraId="5310D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2855" w:type="dxa"/>
                  <w:gridSpan w:val="2"/>
                  <w:noWrap w:val="0"/>
                  <w:vAlign w:val="center"/>
                </w:tcPr>
                <w:p w14:paraId="145C2C32">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2"/>
                      <w:sz w:val="21"/>
                      <w:szCs w:val="21"/>
                      <w:highlight w:val="none"/>
                    </w:rPr>
                    <w:t>产生量t/a</w:t>
                  </w:r>
                </w:p>
              </w:tc>
              <w:tc>
                <w:tcPr>
                  <w:tcW w:w="1308" w:type="dxa"/>
                  <w:noWrap w:val="0"/>
                  <w:vAlign w:val="center"/>
                </w:tcPr>
                <w:p w14:paraId="5C1F3918">
                  <w:pPr>
                    <w:keepNext w:val="0"/>
                    <w:keepLines w:val="0"/>
                    <w:widowControl/>
                    <w:suppressLineNumbers w:val="0"/>
                    <w:jc w:val="center"/>
                    <w:textAlignment w:val="center"/>
                    <w:rPr>
                      <w:rFonts w:hint="default" w:ascii="Times New Roman" w:hAnsi="Times New Roman" w:eastAsia="宋体"/>
                      <w:color w:val="auto"/>
                      <w:spacing w:val="0"/>
                      <w:sz w:val="21"/>
                      <w:szCs w:val="21"/>
                      <w:highlight w:val="none"/>
                      <w:lang w:val="en-US" w:eastAsia="zh-CN"/>
                    </w:rPr>
                  </w:pPr>
                  <w:r>
                    <w:rPr>
                      <w:rFonts w:hint="eastAsia"/>
                      <w:color w:val="auto"/>
                      <w:spacing w:val="0"/>
                      <w:sz w:val="21"/>
                      <w:szCs w:val="21"/>
                      <w:highlight w:val="none"/>
                      <w:lang w:val="en-US" w:eastAsia="zh-CN"/>
                    </w:rPr>
                    <w:t>4</w:t>
                  </w:r>
                  <w:r>
                    <w:rPr>
                      <w:rFonts w:hint="eastAsia" w:ascii="Times New Roman" w:hAnsi="Times New Roman" w:eastAsia="宋体"/>
                      <w:color w:val="auto"/>
                      <w:spacing w:val="0"/>
                      <w:sz w:val="21"/>
                      <w:szCs w:val="21"/>
                      <w:highlight w:val="none"/>
                      <w:lang w:val="en-US" w:eastAsia="zh-CN"/>
                    </w:rPr>
                    <w:t>.</w:t>
                  </w:r>
                  <w:r>
                    <w:rPr>
                      <w:rFonts w:hint="eastAsia"/>
                      <w:color w:val="auto"/>
                      <w:spacing w:val="0"/>
                      <w:sz w:val="21"/>
                      <w:szCs w:val="21"/>
                      <w:highlight w:val="none"/>
                      <w:lang w:val="en-US" w:eastAsia="zh-CN"/>
                    </w:rPr>
                    <w:t>29</w:t>
                  </w:r>
                </w:p>
              </w:tc>
              <w:tc>
                <w:tcPr>
                  <w:tcW w:w="1308" w:type="dxa"/>
                  <w:noWrap w:val="0"/>
                  <w:vAlign w:val="center"/>
                </w:tcPr>
                <w:p w14:paraId="072AB33E">
                  <w:pPr>
                    <w:keepNext w:val="0"/>
                    <w:keepLines w:val="0"/>
                    <w:widowControl/>
                    <w:suppressLineNumbers w:val="0"/>
                    <w:jc w:val="center"/>
                    <w:textAlignment w:val="center"/>
                    <w:rPr>
                      <w:rFonts w:hint="default" w:ascii="Times New Roman" w:hAnsi="Times New Roman" w:eastAsia="宋体" w:cs="Times New Roman"/>
                      <w:bCs/>
                      <w:color w:val="auto"/>
                      <w:spacing w:val="-10"/>
                      <w:sz w:val="21"/>
                      <w:szCs w:val="21"/>
                      <w:lang w:val="en-US" w:eastAsia="zh-CN"/>
                    </w:rPr>
                  </w:pPr>
                  <w:r>
                    <w:rPr>
                      <w:rFonts w:hint="eastAsia" w:ascii="Times New Roman" w:hAnsi="Times New Roman" w:eastAsia="宋体" w:cs="Times New Roman"/>
                      <w:bCs/>
                      <w:color w:val="auto"/>
                      <w:spacing w:val="-10"/>
                      <w:sz w:val="21"/>
                      <w:szCs w:val="21"/>
                      <w:lang w:val="en-US" w:eastAsia="zh-CN"/>
                    </w:rPr>
                    <w:t>0.</w:t>
                  </w:r>
                  <w:r>
                    <w:rPr>
                      <w:rFonts w:hint="eastAsia" w:cs="Times New Roman"/>
                      <w:bCs/>
                      <w:color w:val="auto"/>
                      <w:spacing w:val="-10"/>
                      <w:sz w:val="21"/>
                      <w:szCs w:val="21"/>
                      <w:lang w:val="en-US" w:eastAsia="zh-CN"/>
                    </w:rPr>
                    <w:t>51</w:t>
                  </w:r>
                </w:p>
              </w:tc>
              <w:tc>
                <w:tcPr>
                  <w:tcW w:w="1308" w:type="dxa"/>
                  <w:noWrap w:val="0"/>
                  <w:vAlign w:val="center"/>
                </w:tcPr>
                <w:p w14:paraId="612FDBD0">
                  <w:pPr>
                    <w:keepNext w:val="0"/>
                    <w:keepLines w:val="0"/>
                    <w:widowControl/>
                    <w:suppressLineNumbers w:val="0"/>
                    <w:jc w:val="center"/>
                    <w:textAlignment w:val="center"/>
                    <w:rPr>
                      <w:rFonts w:hint="default" w:ascii="Times New Roman" w:hAnsi="Times New Roman" w:eastAsia="宋体" w:cs="Times New Roman"/>
                      <w:bCs/>
                      <w:color w:val="auto"/>
                      <w:spacing w:val="-10"/>
                      <w:sz w:val="21"/>
                      <w:szCs w:val="21"/>
                      <w:lang w:val="en-US" w:eastAsia="zh-CN"/>
                    </w:rPr>
                  </w:pPr>
                  <w:r>
                    <w:rPr>
                      <w:rFonts w:hint="eastAsia" w:ascii="Times New Roman" w:hAnsi="Times New Roman" w:eastAsia="宋体" w:cs="Times New Roman"/>
                      <w:bCs/>
                      <w:color w:val="auto"/>
                      <w:spacing w:val="-10"/>
                      <w:sz w:val="21"/>
                      <w:szCs w:val="21"/>
                      <w:lang w:val="en-US" w:eastAsia="zh-CN"/>
                    </w:rPr>
                    <w:t>4.</w:t>
                  </w:r>
                  <w:r>
                    <w:rPr>
                      <w:rFonts w:hint="eastAsia" w:cs="Times New Roman"/>
                      <w:bCs/>
                      <w:color w:val="auto"/>
                      <w:spacing w:val="-10"/>
                      <w:sz w:val="21"/>
                      <w:szCs w:val="21"/>
                      <w:lang w:val="en-US" w:eastAsia="zh-CN"/>
                    </w:rPr>
                    <w:t>80</w:t>
                  </w:r>
                </w:p>
              </w:tc>
            </w:tr>
            <w:tr w14:paraId="0A2E1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2855" w:type="dxa"/>
                  <w:gridSpan w:val="2"/>
                  <w:noWrap w:val="0"/>
                  <w:vAlign w:val="center"/>
                </w:tcPr>
                <w:p w14:paraId="7C501649">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olor w:val="auto"/>
                      <w:spacing w:val="-2"/>
                      <w:sz w:val="21"/>
                      <w:szCs w:val="21"/>
                      <w:highlight w:val="none"/>
                      <w:lang w:val="en-US" w:eastAsia="zh-CN"/>
                    </w:rPr>
                  </w:pPr>
                  <w:r>
                    <w:rPr>
                      <w:rFonts w:hint="eastAsia" w:ascii="Times New Roman" w:hAnsi="Times New Roman" w:eastAsia="宋体"/>
                      <w:color w:val="auto"/>
                      <w:spacing w:val="-2"/>
                      <w:sz w:val="21"/>
                      <w:szCs w:val="21"/>
                      <w:highlight w:val="none"/>
                      <w:lang w:val="en-US" w:eastAsia="zh-CN"/>
                    </w:rPr>
                    <w:t>收集效率</w:t>
                  </w:r>
                </w:p>
              </w:tc>
              <w:tc>
                <w:tcPr>
                  <w:tcW w:w="1308" w:type="dxa"/>
                  <w:noWrap w:val="0"/>
                  <w:vAlign w:val="center"/>
                </w:tcPr>
                <w:p w14:paraId="19AA04B8">
                  <w:pPr>
                    <w:keepNext w:val="0"/>
                    <w:keepLines w:val="0"/>
                    <w:widowControl/>
                    <w:suppressLineNumbers w:val="0"/>
                    <w:jc w:val="center"/>
                    <w:textAlignment w:val="center"/>
                    <w:rPr>
                      <w:rFonts w:hint="default" w:ascii="Times New Roman" w:hAnsi="Times New Roman" w:eastAsia="宋体"/>
                      <w:color w:val="auto"/>
                      <w:spacing w:val="0"/>
                      <w:sz w:val="21"/>
                      <w:szCs w:val="21"/>
                      <w:highlight w:val="none"/>
                      <w:lang w:val="en-US" w:eastAsia="zh-CN"/>
                    </w:rPr>
                  </w:pPr>
                  <w:r>
                    <w:rPr>
                      <w:rFonts w:hint="eastAsia"/>
                      <w:color w:val="auto"/>
                      <w:spacing w:val="0"/>
                      <w:sz w:val="21"/>
                      <w:szCs w:val="21"/>
                      <w:highlight w:val="none"/>
                      <w:lang w:val="en-US" w:eastAsia="zh-CN"/>
                    </w:rPr>
                    <w:t>65</w:t>
                  </w:r>
                  <w:r>
                    <w:rPr>
                      <w:rFonts w:hint="eastAsia" w:ascii="Times New Roman" w:hAnsi="Times New Roman" w:eastAsia="宋体"/>
                      <w:color w:val="auto"/>
                      <w:spacing w:val="0"/>
                      <w:sz w:val="21"/>
                      <w:szCs w:val="21"/>
                      <w:highlight w:val="none"/>
                      <w:lang w:val="en-US" w:eastAsia="zh-CN"/>
                    </w:rPr>
                    <w:t>%</w:t>
                  </w:r>
                </w:p>
              </w:tc>
              <w:tc>
                <w:tcPr>
                  <w:tcW w:w="1308" w:type="dxa"/>
                  <w:noWrap w:val="0"/>
                  <w:vAlign w:val="center"/>
                </w:tcPr>
                <w:p w14:paraId="3BF7101D">
                  <w:pPr>
                    <w:keepNext w:val="0"/>
                    <w:keepLines w:val="0"/>
                    <w:widowControl/>
                    <w:suppressLineNumbers w:val="0"/>
                    <w:jc w:val="center"/>
                    <w:textAlignment w:val="center"/>
                    <w:rPr>
                      <w:rFonts w:hint="default" w:ascii="Times New Roman" w:hAnsi="Times New Roman" w:eastAsia="宋体"/>
                      <w:color w:val="auto"/>
                      <w:spacing w:val="0"/>
                      <w:sz w:val="21"/>
                      <w:szCs w:val="21"/>
                      <w:highlight w:val="none"/>
                      <w:lang w:val="en-US" w:eastAsia="zh-CN"/>
                    </w:rPr>
                  </w:pPr>
                  <w:r>
                    <w:rPr>
                      <w:rFonts w:hint="eastAsia"/>
                      <w:color w:val="auto"/>
                      <w:spacing w:val="0"/>
                      <w:sz w:val="21"/>
                      <w:szCs w:val="21"/>
                      <w:highlight w:val="none"/>
                      <w:lang w:val="en-US" w:eastAsia="zh-CN"/>
                    </w:rPr>
                    <w:t>65</w:t>
                  </w:r>
                  <w:r>
                    <w:rPr>
                      <w:rFonts w:hint="eastAsia" w:ascii="Times New Roman" w:hAnsi="Times New Roman" w:eastAsia="宋体"/>
                      <w:color w:val="auto"/>
                      <w:spacing w:val="0"/>
                      <w:sz w:val="21"/>
                      <w:szCs w:val="21"/>
                      <w:highlight w:val="none"/>
                      <w:lang w:val="en-US" w:eastAsia="zh-CN"/>
                    </w:rPr>
                    <w:t>%</w:t>
                  </w:r>
                </w:p>
              </w:tc>
              <w:tc>
                <w:tcPr>
                  <w:tcW w:w="1308" w:type="dxa"/>
                  <w:noWrap w:val="0"/>
                  <w:vAlign w:val="center"/>
                </w:tcPr>
                <w:p w14:paraId="7144984E">
                  <w:pPr>
                    <w:keepNext w:val="0"/>
                    <w:keepLines w:val="0"/>
                    <w:widowControl/>
                    <w:suppressLineNumbers w:val="0"/>
                    <w:jc w:val="center"/>
                    <w:textAlignment w:val="center"/>
                    <w:rPr>
                      <w:rFonts w:hint="default" w:ascii="Times New Roman" w:hAnsi="Times New Roman" w:eastAsia="宋体"/>
                      <w:color w:val="auto"/>
                      <w:spacing w:val="0"/>
                      <w:sz w:val="21"/>
                      <w:szCs w:val="21"/>
                      <w:highlight w:val="none"/>
                      <w:lang w:val="en-US" w:eastAsia="zh-CN"/>
                    </w:rPr>
                  </w:pPr>
                  <w:r>
                    <w:rPr>
                      <w:rFonts w:hint="eastAsia" w:ascii="Times New Roman" w:hAnsi="Times New Roman" w:eastAsia="宋体"/>
                      <w:color w:val="auto"/>
                      <w:spacing w:val="0"/>
                      <w:sz w:val="21"/>
                      <w:szCs w:val="21"/>
                      <w:highlight w:val="none"/>
                      <w:lang w:val="en-US" w:eastAsia="zh-CN"/>
                    </w:rPr>
                    <w:t>/</w:t>
                  </w:r>
                </w:p>
              </w:tc>
            </w:tr>
            <w:tr w14:paraId="39AF9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2855" w:type="dxa"/>
                  <w:gridSpan w:val="2"/>
                  <w:noWrap w:val="0"/>
                  <w:vAlign w:val="center"/>
                </w:tcPr>
                <w:p w14:paraId="03D379C6">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olor w:val="auto"/>
                      <w:spacing w:val="-2"/>
                      <w:sz w:val="21"/>
                      <w:szCs w:val="21"/>
                      <w:highlight w:val="none"/>
                      <w:lang w:val="en-US" w:eastAsia="zh-CN"/>
                    </w:rPr>
                  </w:pPr>
                  <w:r>
                    <w:rPr>
                      <w:rFonts w:hint="eastAsia" w:ascii="Times New Roman" w:hAnsi="Times New Roman" w:eastAsia="宋体"/>
                      <w:color w:val="auto"/>
                      <w:spacing w:val="-2"/>
                      <w:sz w:val="21"/>
                      <w:szCs w:val="21"/>
                      <w:highlight w:val="none"/>
                      <w:lang w:val="en-US" w:eastAsia="zh-CN"/>
                    </w:rPr>
                    <w:t>去除率</w:t>
                  </w:r>
                </w:p>
              </w:tc>
              <w:tc>
                <w:tcPr>
                  <w:tcW w:w="3924" w:type="dxa"/>
                  <w:gridSpan w:val="3"/>
                  <w:noWrap w:val="0"/>
                  <w:vAlign w:val="center"/>
                </w:tcPr>
                <w:p w14:paraId="3313F6D7">
                  <w:pPr>
                    <w:keepNext w:val="0"/>
                    <w:keepLines w:val="0"/>
                    <w:widowControl/>
                    <w:suppressLineNumbers w:val="0"/>
                    <w:jc w:val="center"/>
                    <w:textAlignment w:val="center"/>
                    <w:rPr>
                      <w:rFonts w:hint="eastAsia" w:ascii="Times New Roman" w:hAnsi="Times New Roman" w:eastAsia="宋体"/>
                      <w:color w:val="auto"/>
                      <w:spacing w:val="0"/>
                      <w:sz w:val="21"/>
                      <w:szCs w:val="21"/>
                      <w:highlight w:val="none"/>
                      <w:lang w:val="en-US" w:eastAsia="zh-CN"/>
                    </w:rPr>
                  </w:pPr>
                  <w:r>
                    <w:rPr>
                      <w:rFonts w:hint="eastAsia" w:ascii="Times New Roman" w:hAnsi="Times New Roman" w:eastAsia="宋体"/>
                      <w:color w:val="auto"/>
                      <w:spacing w:val="0"/>
                      <w:sz w:val="21"/>
                      <w:szCs w:val="21"/>
                      <w:highlight w:val="none"/>
                      <w:lang w:val="en-US" w:eastAsia="zh-CN"/>
                    </w:rPr>
                    <w:t>95%</w:t>
                  </w:r>
                </w:p>
              </w:tc>
            </w:tr>
            <w:tr w14:paraId="36F0D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restart"/>
                  <w:noWrap w:val="0"/>
                  <w:vAlign w:val="center"/>
                </w:tcPr>
                <w:p w14:paraId="12089891">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p w14:paraId="407A5500">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p w14:paraId="110D9398">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p w14:paraId="5E0668BB">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有组织</w:t>
                  </w:r>
                </w:p>
              </w:tc>
              <w:tc>
                <w:tcPr>
                  <w:tcW w:w="1585" w:type="dxa"/>
                  <w:noWrap w:val="0"/>
                  <w:vAlign w:val="center"/>
                </w:tcPr>
                <w:p w14:paraId="5C67FA5F">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产生量t/a</w:t>
                  </w:r>
                </w:p>
              </w:tc>
              <w:tc>
                <w:tcPr>
                  <w:tcW w:w="1308" w:type="dxa"/>
                  <w:noWrap w:val="0"/>
                  <w:vAlign w:val="center"/>
                </w:tcPr>
                <w:p w14:paraId="7402B65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2.7885 </w:t>
                  </w:r>
                </w:p>
              </w:tc>
              <w:tc>
                <w:tcPr>
                  <w:tcW w:w="1308" w:type="dxa"/>
                  <w:noWrap w:val="0"/>
                  <w:vAlign w:val="center"/>
                </w:tcPr>
                <w:p w14:paraId="3B77F7A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0.3315 </w:t>
                  </w:r>
                </w:p>
              </w:tc>
              <w:tc>
                <w:tcPr>
                  <w:tcW w:w="1308" w:type="dxa"/>
                  <w:noWrap w:val="0"/>
                  <w:vAlign w:val="center"/>
                </w:tcPr>
                <w:p w14:paraId="722FE33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3.1200 </w:t>
                  </w:r>
                </w:p>
              </w:tc>
            </w:tr>
            <w:tr w14:paraId="556A7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7" w:hRule="atLeast"/>
                <w:jc w:val="center"/>
              </w:trPr>
              <w:tc>
                <w:tcPr>
                  <w:tcW w:w="1270" w:type="dxa"/>
                  <w:vMerge w:val="continue"/>
                  <w:noWrap w:val="0"/>
                  <w:vAlign w:val="center"/>
                </w:tcPr>
                <w:p w14:paraId="1E044DBA">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2EED6208">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产生浓度mg/m³</w:t>
                  </w:r>
                </w:p>
              </w:tc>
              <w:tc>
                <w:tcPr>
                  <w:tcW w:w="1308" w:type="dxa"/>
                  <w:noWrap w:val="0"/>
                  <w:vAlign w:val="center"/>
                </w:tcPr>
                <w:p w14:paraId="55B211C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77.4583 </w:t>
                  </w:r>
                </w:p>
              </w:tc>
              <w:tc>
                <w:tcPr>
                  <w:tcW w:w="1308" w:type="dxa"/>
                  <w:noWrap w:val="0"/>
                  <w:vAlign w:val="center"/>
                </w:tcPr>
                <w:p w14:paraId="01C3FC4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73.6667 </w:t>
                  </w:r>
                </w:p>
              </w:tc>
              <w:tc>
                <w:tcPr>
                  <w:tcW w:w="1308" w:type="dxa"/>
                  <w:noWrap w:val="0"/>
                  <w:vAlign w:val="center"/>
                </w:tcPr>
                <w:p w14:paraId="1D7BEC6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151.1250 </w:t>
                  </w:r>
                </w:p>
              </w:tc>
            </w:tr>
            <w:tr w14:paraId="34C91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continue"/>
                  <w:noWrap w:val="0"/>
                  <w:vAlign w:val="center"/>
                </w:tcPr>
                <w:p w14:paraId="4D6BB111">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7C79BD83">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hint="eastAsia" w:ascii="Times New Roman" w:hAnsi="Times New Roman" w:eastAsia="宋体"/>
                      <w:color w:val="auto"/>
                      <w:spacing w:val="0"/>
                      <w:sz w:val="21"/>
                      <w:szCs w:val="21"/>
                      <w:highlight w:val="none"/>
                      <w:lang w:val="en-US" w:eastAsia="zh-CN"/>
                    </w:rPr>
                    <w:t>产生</w:t>
                  </w:r>
                  <w:r>
                    <w:rPr>
                      <w:rFonts w:ascii="Times New Roman" w:hAnsi="Times New Roman" w:eastAsia="宋体"/>
                      <w:color w:val="auto"/>
                      <w:spacing w:val="0"/>
                      <w:sz w:val="21"/>
                      <w:szCs w:val="21"/>
                      <w:highlight w:val="none"/>
                    </w:rPr>
                    <w:t>速率kg/h</w:t>
                  </w:r>
                </w:p>
              </w:tc>
              <w:tc>
                <w:tcPr>
                  <w:tcW w:w="1308" w:type="dxa"/>
                  <w:noWrap w:val="0"/>
                  <w:vAlign w:val="center"/>
                </w:tcPr>
                <w:p w14:paraId="4B709EF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1.1619 </w:t>
                  </w:r>
                </w:p>
              </w:tc>
              <w:tc>
                <w:tcPr>
                  <w:tcW w:w="1308" w:type="dxa"/>
                  <w:noWrap w:val="0"/>
                  <w:vAlign w:val="center"/>
                </w:tcPr>
                <w:p w14:paraId="6D5483A3">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1050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308" w:type="dxa"/>
                  <w:noWrap w:val="0"/>
                  <w:vAlign w:val="center"/>
                </w:tcPr>
                <w:p w14:paraId="1F5BB6C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2669</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56BD8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continue"/>
                  <w:noWrap w:val="0"/>
                  <w:vAlign w:val="center"/>
                </w:tcPr>
                <w:p w14:paraId="12129022">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68DE129D">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排放量t/a</w:t>
                  </w:r>
                </w:p>
              </w:tc>
              <w:tc>
                <w:tcPr>
                  <w:tcW w:w="1308" w:type="dxa"/>
                  <w:noWrap w:val="0"/>
                  <w:vAlign w:val="center"/>
                </w:tcPr>
                <w:p w14:paraId="26B8A6B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0.1394 </w:t>
                  </w:r>
                </w:p>
              </w:tc>
              <w:tc>
                <w:tcPr>
                  <w:tcW w:w="1308" w:type="dxa"/>
                  <w:noWrap w:val="0"/>
                  <w:vAlign w:val="center"/>
                </w:tcPr>
                <w:p w14:paraId="4D9E433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0.0166 </w:t>
                  </w:r>
                </w:p>
              </w:tc>
              <w:tc>
                <w:tcPr>
                  <w:tcW w:w="1308" w:type="dxa"/>
                  <w:noWrap w:val="0"/>
                  <w:vAlign w:val="center"/>
                </w:tcPr>
                <w:p w14:paraId="2681CC2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0.1560 </w:t>
                  </w:r>
                </w:p>
              </w:tc>
            </w:tr>
            <w:tr w14:paraId="63F93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7" w:hRule="atLeast"/>
                <w:jc w:val="center"/>
              </w:trPr>
              <w:tc>
                <w:tcPr>
                  <w:tcW w:w="1270" w:type="dxa"/>
                  <w:vMerge w:val="continue"/>
                  <w:noWrap w:val="0"/>
                  <w:vAlign w:val="center"/>
                </w:tcPr>
                <w:p w14:paraId="6A3314DB">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082B6FBA">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排放浓度mg/m³</w:t>
                  </w:r>
                </w:p>
              </w:tc>
              <w:tc>
                <w:tcPr>
                  <w:tcW w:w="1308" w:type="dxa"/>
                  <w:noWrap w:val="0"/>
                  <w:vAlign w:val="center"/>
                </w:tcPr>
                <w:p w14:paraId="730678A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3.8729 </w:t>
                  </w:r>
                </w:p>
              </w:tc>
              <w:tc>
                <w:tcPr>
                  <w:tcW w:w="1308" w:type="dxa"/>
                  <w:noWrap w:val="0"/>
                  <w:vAlign w:val="center"/>
                </w:tcPr>
                <w:p w14:paraId="1F7EF20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3.6833 </w:t>
                  </w:r>
                </w:p>
              </w:tc>
              <w:tc>
                <w:tcPr>
                  <w:tcW w:w="1308" w:type="dxa"/>
                  <w:noWrap w:val="0"/>
                  <w:vAlign w:val="center"/>
                </w:tcPr>
                <w:p w14:paraId="658CAE1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7.556</w:t>
                  </w: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105A4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continue"/>
                  <w:noWrap w:val="0"/>
                  <w:vAlign w:val="center"/>
                </w:tcPr>
                <w:p w14:paraId="56FD7769">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5DE124E5">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排放速率kg/h</w:t>
                  </w:r>
                </w:p>
              </w:tc>
              <w:tc>
                <w:tcPr>
                  <w:tcW w:w="1308" w:type="dxa"/>
                  <w:noWrap w:val="0"/>
                  <w:vAlign w:val="center"/>
                </w:tcPr>
                <w:p w14:paraId="74D573F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0.0581 </w:t>
                  </w:r>
                </w:p>
              </w:tc>
              <w:tc>
                <w:tcPr>
                  <w:tcW w:w="1308" w:type="dxa"/>
                  <w:noWrap w:val="0"/>
                  <w:vAlign w:val="center"/>
                </w:tcPr>
                <w:p w14:paraId="1BF0FA8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553</w:t>
                  </w:r>
                </w:p>
              </w:tc>
              <w:tc>
                <w:tcPr>
                  <w:tcW w:w="1308" w:type="dxa"/>
                  <w:noWrap w:val="0"/>
                  <w:vAlign w:val="center"/>
                </w:tcPr>
                <w:p w14:paraId="278FE04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1134</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70A0D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restart"/>
                  <w:noWrap w:val="0"/>
                  <w:vAlign w:val="center"/>
                </w:tcPr>
                <w:p w14:paraId="2D02825C">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无组织</w:t>
                  </w:r>
                </w:p>
              </w:tc>
              <w:tc>
                <w:tcPr>
                  <w:tcW w:w="1585" w:type="dxa"/>
                  <w:noWrap w:val="0"/>
                  <w:vAlign w:val="center"/>
                </w:tcPr>
                <w:p w14:paraId="0EB7BA7E">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排放量t</w:t>
                  </w:r>
                  <w:r>
                    <w:rPr>
                      <w:rFonts w:hint="eastAsia" w:ascii="Times New Roman" w:hAnsi="Times New Roman"/>
                      <w:color w:val="auto"/>
                      <w:spacing w:val="0"/>
                      <w:sz w:val="21"/>
                      <w:szCs w:val="21"/>
                      <w:highlight w:val="none"/>
                      <w:lang w:val="en-US" w:eastAsia="zh-CN"/>
                    </w:rPr>
                    <w:t>/</w:t>
                  </w:r>
                  <w:r>
                    <w:rPr>
                      <w:rFonts w:ascii="Times New Roman" w:hAnsi="Times New Roman" w:eastAsia="宋体"/>
                      <w:color w:val="auto"/>
                      <w:spacing w:val="0"/>
                      <w:sz w:val="21"/>
                      <w:szCs w:val="21"/>
                      <w:highlight w:val="none"/>
                    </w:rPr>
                    <w:t>a</w:t>
                  </w:r>
                </w:p>
              </w:tc>
              <w:tc>
                <w:tcPr>
                  <w:tcW w:w="1308" w:type="dxa"/>
                  <w:noWrap w:val="0"/>
                  <w:vAlign w:val="center"/>
                </w:tcPr>
                <w:p w14:paraId="52B82EC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1.5015 </w:t>
                  </w:r>
                </w:p>
              </w:tc>
              <w:tc>
                <w:tcPr>
                  <w:tcW w:w="1308" w:type="dxa"/>
                  <w:noWrap w:val="0"/>
                  <w:vAlign w:val="center"/>
                </w:tcPr>
                <w:p w14:paraId="436E53F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0.1785 </w:t>
                  </w:r>
                </w:p>
              </w:tc>
              <w:tc>
                <w:tcPr>
                  <w:tcW w:w="1308" w:type="dxa"/>
                  <w:noWrap w:val="0"/>
                  <w:vAlign w:val="center"/>
                </w:tcPr>
                <w:p w14:paraId="21AD5CC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1.6800 </w:t>
                  </w:r>
                </w:p>
              </w:tc>
            </w:tr>
            <w:tr w14:paraId="57B6D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continue"/>
                  <w:noWrap w:val="0"/>
                  <w:vAlign w:val="center"/>
                </w:tcPr>
                <w:p w14:paraId="0D4EEAF3">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53D0897C">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排放速率kg/h</w:t>
                  </w:r>
                </w:p>
              </w:tc>
              <w:tc>
                <w:tcPr>
                  <w:tcW w:w="1308" w:type="dxa"/>
                  <w:noWrap w:val="0"/>
                  <w:vAlign w:val="center"/>
                </w:tcPr>
                <w:p w14:paraId="724F7D4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0.6256 </w:t>
                  </w:r>
                </w:p>
              </w:tc>
              <w:tc>
                <w:tcPr>
                  <w:tcW w:w="1308" w:type="dxa"/>
                  <w:noWrap w:val="0"/>
                  <w:vAlign w:val="center"/>
                </w:tcPr>
                <w:p w14:paraId="569DE4D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5</w:t>
                  </w:r>
                  <w:r>
                    <w:rPr>
                      <w:rFonts w:hint="default" w:ascii="Times New Roman" w:hAnsi="Times New Roman" w:eastAsia="宋体" w:cs="Times New Roman"/>
                      <w:i w:val="0"/>
                      <w:iCs w:val="0"/>
                      <w:color w:val="auto"/>
                      <w:kern w:val="0"/>
                      <w:sz w:val="21"/>
                      <w:szCs w:val="21"/>
                      <w:u w:val="none"/>
                      <w:lang w:val="en-US" w:eastAsia="zh-CN" w:bidi="ar"/>
                    </w:rPr>
                    <w:t>9</w:t>
                  </w:r>
                  <w:r>
                    <w:rPr>
                      <w:rFonts w:hint="eastAsia" w:cs="Times New Roman"/>
                      <w:i w:val="0"/>
                      <w:iCs w:val="0"/>
                      <w:color w:val="auto"/>
                      <w:kern w:val="0"/>
                      <w:sz w:val="21"/>
                      <w:szCs w:val="21"/>
                      <w:u w:val="none"/>
                      <w:lang w:val="en-US" w:eastAsia="zh-CN" w:bidi="ar"/>
                    </w:rPr>
                    <w:t>50</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308" w:type="dxa"/>
                  <w:noWrap w:val="0"/>
                  <w:vAlign w:val="center"/>
                </w:tcPr>
                <w:p w14:paraId="3EB96C9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2206</w:t>
                  </w:r>
                </w:p>
              </w:tc>
            </w:tr>
            <w:tr w14:paraId="3934B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2855" w:type="dxa"/>
                  <w:gridSpan w:val="2"/>
                  <w:noWrap w:val="0"/>
                  <w:vAlign w:val="center"/>
                </w:tcPr>
                <w:p w14:paraId="533696DA">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hint="eastAsia" w:ascii="Times New Roman" w:hAnsi="Times New Roman" w:eastAsia="宋体"/>
                      <w:color w:val="auto"/>
                      <w:spacing w:val="0"/>
                      <w:sz w:val="21"/>
                      <w:szCs w:val="21"/>
                      <w:highlight w:val="none"/>
                      <w:lang w:val="en-US" w:eastAsia="zh-CN"/>
                    </w:rPr>
                    <w:t>有组织+无组织排放量</w:t>
                  </w:r>
                  <w:r>
                    <w:rPr>
                      <w:rFonts w:ascii="Times New Roman" w:hAnsi="Times New Roman" w:eastAsia="宋体"/>
                      <w:color w:val="auto"/>
                      <w:spacing w:val="0"/>
                      <w:sz w:val="21"/>
                      <w:szCs w:val="21"/>
                      <w:highlight w:val="none"/>
                    </w:rPr>
                    <w:t>t</w:t>
                  </w:r>
                  <w:r>
                    <w:rPr>
                      <w:rFonts w:hint="eastAsia" w:ascii="Times New Roman" w:hAnsi="Times New Roman"/>
                      <w:color w:val="auto"/>
                      <w:spacing w:val="0"/>
                      <w:sz w:val="21"/>
                      <w:szCs w:val="21"/>
                      <w:highlight w:val="none"/>
                      <w:lang w:val="en-US" w:eastAsia="zh-CN"/>
                    </w:rPr>
                    <w:t>/</w:t>
                  </w:r>
                  <w:r>
                    <w:rPr>
                      <w:rFonts w:ascii="Times New Roman" w:hAnsi="Times New Roman" w:eastAsia="宋体"/>
                      <w:color w:val="auto"/>
                      <w:spacing w:val="0"/>
                      <w:sz w:val="21"/>
                      <w:szCs w:val="21"/>
                      <w:highlight w:val="none"/>
                    </w:rPr>
                    <w:t>a</w:t>
                  </w:r>
                </w:p>
              </w:tc>
              <w:tc>
                <w:tcPr>
                  <w:tcW w:w="1308" w:type="dxa"/>
                  <w:noWrap w:val="0"/>
                  <w:vAlign w:val="center"/>
                </w:tcPr>
                <w:p w14:paraId="3E3C344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1.6409 </w:t>
                  </w:r>
                </w:p>
              </w:tc>
              <w:tc>
                <w:tcPr>
                  <w:tcW w:w="1308" w:type="dxa"/>
                  <w:noWrap w:val="0"/>
                  <w:vAlign w:val="center"/>
                </w:tcPr>
                <w:p w14:paraId="5EB39DE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0.1951 </w:t>
                  </w:r>
                </w:p>
              </w:tc>
              <w:tc>
                <w:tcPr>
                  <w:tcW w:w="1308" w:type="dxa"/>
                  <w:noWrap w:val="0"/>
                  <w:vAlign w:val="center"/>
                </w:tcPr>
                <w:p w14:paraId="597924E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1.8360 </w:t>
                  </w:r>
                </w:p>
              </w:tc>
            </w:tr>
            <w:tr w14:paraId="33E62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2855" w:type="dxa"/>
                  <w:gridSpan w:val="2"/>
                  <w:noWrap w:val="0"/>
                  <w:vAlign w:val="center"/>
                </w:tcPr>
                <w:p w14:paraId="0CDE2B45">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有组织排放高度m</w:t>
                  </w:r>
                </w:p>
              </w:tc>
              <w:tc>
                <w:tcPr>
                  <w:tcW w:w="3924" w:type="dxa"/>
                  <w:gridSpan w:val="3"/>
                  <w:noWrap w:val="0"/>
                  <w:vAlign w:val="center"/>
                </w:tcPr>
                <w:p w14:paraId="566E3DB0">
                  <w:pPr>
                    <w:keepNext w:val="0"/>
                    <w:keepLines w:val="0"/>
                    <w:pageBreakBefore w:val="0"/>
                    <w:widowControl/>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ascii="Times New Roman" w:hAnsi="Times New Roman" w:eastAsia="宋体" w:cs="Times New Roman"/>
                      <w:i w:val="0"/>
                      <w:iCs w:val="0"/>
                      <w:color w:val="auto"/>
                      <w:spacing w:val="0"/>
                      <w:kern w:val="0"/>
                      <w:sz w:val="21"/>
                      <w:szCs w:val="21"/>
                      <w:highlight w:val="none"/>
                      <w:u w:val="none"/>
                      <w:lang w:val="en-US" w:eastAsia="zh-CN" w:bidi="ar"/>
                    </w:rPr>
                    <w:t>15</w:t>
                  </w:r>
                </w:p>
              </w:tc>
            </w:tr>
            <w:tr w14:paraId="51B6C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2855" w:type="dxa"/>
                  <w:gridSpan w:val="2"/>
                  <w:noWrap w:val="0"/>
                  <w:vAlign w:val="center"/>
                </w:tcPr>
                <w:p w14:paraId="30B43A80">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hint="eastAsia" w:ascii="Times New Roman" w:hAnsi="Times New Roman" w:eastAsia="宋体"/>
                      <w:color w:val="auto"/>
                      <w:spacing w:val="0"/>
                      <w:sz w:val="21"/>
                      <w:szCs w:val="21"/>
                      <w:highlight w:val="none"/>
                      <w:lang w:val="en-US" w:eastAsia="zh-CN"/>
                    </w:rPr>
                  </w:pPr>
                  <w:r>
                    <w:rPr>
                      <w:rFonts w:hint="eastAsia" w:ascii="Times New Roman" w:hAnsi="Times New Roman" w:eastAsia="宋体"/>
                      <w:color w:val="auto"/>
                      <w:spacing w:val="0"/>
                      <w:sz w:val="21"/>
                      <w:szCs w:val="21"/>
                      <w:highlight w:val="none"/>
                      <w:lang w:val="en-US" w:eastAsia="zh-CN"/>
                    </w:rPr>
                    <w:t>风量</w:t>
                  </w:r>
                  <w:r>
                    <w:rPr>
                      <w:rFonts w:ascii="Times New Roman" w:hAnsi="Times New Roman" w:eastAsia="宋体"/>
                      <w:color w:val="auto"/>
                      <w:spacing w:val="0"/>
                      <w:sz w:val="21"/>
                      <w:szCs w:val="21"/>
                      <w:highlight w:val="none"/>
                    </w:rPr>
                    <w:t>m³/h</w:t>
                  </w:r>
                </w:p>
              </w:tc>
              <w:tc>
                <w:tcPr>
                  <w:tcW w:w="3924" w:type="dxa"/>
                  <w:gridSpan w:val="3"/>
                  <w:noWrap w:val="0"/>
                  <w:vAlign w:val="center"/>
                </w:tcPr>
                <w:p w14:paraId="4A8DF52F">
                  <w:pPr>
                    <w:keepNext w:val="0"/>
                    <w:keepLines w:val="0"/>
                    <w:pageBreakBefore w:val="0"/>
                    <w:widowControl/>
                    <w:suppressLineNumbers w:val="0"/>
                    <w:kinsoku/>
                    <w:wordWrap/>
                    <w:overflowPunct/>
                    <w:topLinePunct w:val="0"/>
                    <w:autoSpaceDE/>
                    <w:autoSpaceDN/>
                    <w:bidi w:val="0"/>
                    <w:adjustRightInd/>
                    <w:snapToGrid/>
                    <w:jc w:val="center"/>
                    <w:textAlignment w:val="top"/>
                    <w:rPr>
                      <w:rFonts w:hint="eastAsia" w:ascii="Times New Roman" w:hAnsi="Times New Roman" w:eastAsia="宋体" w:cs="Times New Roman"/>
                      <w:i w:val="0"/>
                      <w:iCs w:val="0"/>
                      <w:color w:val="auto"/>
                      <w:spacing w:val="0"/>
                      <w:kern w:val="0"/>
                      <w:sz w:val="21"/>
                      <w:szCs w:val="21"/>
                      <w:highlight w:val="none"/>
                      <w:u w:val="none"/>
                      <w:lang w:val="en-US" w:eastAsia="zh-CN" w:bidi="ar"/>
                    </w:rPr>
                  </w:pPr>
                  <w:r>
                    <w:rPr>
                      <w:rFonts w:hint="eastAsia" w:ascii="Times New Roman" w:hAnsi="Times New Roman" w:eastAsia="宋体" w:cs="Times New Roman"/>
                      <w:i w:val="0"/>
                      <w:iCs w:val="0"/>
                      <w:color w:val="auto"/>
                      <w:spacing w:val="0"/>
                      <w:kern w:val="0"/>
                      <w:sz w:val="21"/>
                      <w:szCs w:val="21"/>
                      <w:highlight w:val="none"/>
                      <w:u w:val="none"/>
                      <w:lang w:val="en-US" w:eastAsia="zh-CN" w:bidi="ar"/>
                    </w:rPr>
                    <w:t>15000</w:t>
                  </w:r>
                </w:p>
              </w:tc>
            </w:tr>
            <w:tr w14:paraId="4F6DB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2855" w:type="dxa"/>
                  <w:gridSpan w:val="2"/>
                  <w:noWrap w:val="0"/>
                  <w:vAlign w:val="center"/>
                </w:tcPr>
                <w:p w14:paraId="1343D64A">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工作时间h</w:t>
                  </w:r>
                </w:p>
              </w:tc>
              <w:tc>
                <w:tcPr>
                  <w:tcW w:w="1308" w:type="dxa"/>
                  <w:noWrap w:val="0"/>
                  <w:vAlign w:val="center"/>
                </w:tcPr>
                <w:p w14:paraId="2B4C386A">
                  <w:pPr>
                    <w:keepNext w:val="0"/>
                    <w:keepLines w:val="0"/>
                    <w:widowControl/>
                    <w:suppressLineNumbers w:val="0"/>
                    <w:jc w:val="center"/>
                    <w:textAlignment w:val="center"/>
                    <w:rPr>
                      <w:rFonts w:hint="eastAsia" w:ascii="Times New Roman" w:hAnsi="Times New Roman" w:eastAsia="宋体"/>
                      <w:color w:val="auto"/>
                      <w:spacing w:val="0"/>
                      <w:sz w:val="21"/>
                      <w:szCs w:val="21"/>
                      <w:highlight w:val="none"/>
                      <w:lang w:val="en-US" w:eastAsia="zh-CN"/>
                    </w:rPr>
                  </w:pPr>
                  <w:r>
                    <w:rPr>
                      <w:rFonts w:hint="eastAsia" w:cs="Times New Roman"/>
                      <w:i w:val="0"/>
                      <w:iCs w:val="0"/>
                      <w:color w:val="auto"/>
                      <w:spacing w:val="0"/>
                      <w:kern w:val="0"/>
                      <w:sz w:val="21"/>
                      <w:szCs w:val="21"/>
                      <w:highlight w:val="none"/>
                      <w:u w:val="none"/>
                      <w:lang w:val="en-US" w:eastAsia="zh-CN" w:bidi="ar"/>
                    </w:rPr>
                    <w:t>24</w:t>
                  </w:r>
                  <w:r>
                    <w:rPr>
                      <w:rFonts w:hint="default" w:ascii="Times New Roman" w:hAnsi="Times New Roman" w:eastAsia="宋体" w:cs="Times New Roman"/>
                      <w:i w:val="0"/>
                      <w:iCs w:val="0"/>
                      <w:color w:val="auto"/>
                      <w:spacing w:val="0"/>
                      <w:kern w:val="0"/>
                      <w:sz w:val="21"/>
                      <w:szCs w:val="21"/>
                      <w:highlight w:val="none"/>
                      <w:u w:val="none"/>
                      <w:lang w:val="en-US" w:eastAsia="zh-CN" w:bidi="ar"/>
                    </w:rPr>
                    <w:t>00</w:t>
                  </w:r>
                </w:p>
              </w:tc>
              <w:tc>
                <w:tcPr>
                  <w:tcW w:w="1308" w:type="dxa"/>
                  <w:noWrap w:val="0"/>
                  <w:vAlign w:val="center"/>
                </w:tcPr>
                <w:p w14:paraId="29EBE69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cs="Times New Roman"/>
                      <w:i w:val="0"/>
                      <w:iCs w:val="0"/>
                      <w:color w:val="auto"/>
                      <w:spacing w:val="0"/>
                      <w:kern w:val="0"/>
                      <w:sz w:val="21"/>
                      <w:szCs w:val="21"/>
                      <w:highlight w:val="none"/>
                      <w:u w:val="none"/>
                      <w:lang w:val="en-US" w:eastAsia="zh-CN" w:bidi="ar"/>
                    </w:rPr>
                    <w:t>30</w:t>
                  </w:r>
                  <w:r>
                    <w:rPr>
                      <w:rFonts w:hint="eastAsia" w:ascii="Times New Roman" w:hAnsi="Times New Roman" w:eastAsia="宋体" w:cs="Times New Roman"/>
                      <w:i w:val="0"/>
                      <w:iCs w:val="0"/>
                      <w:color w:val="auto"/>
                      <w:spacing w:val="0"/>
                      <w:kern w:val="0"/>
                      <w:sz w:val="21"/>
                      <w:szCs w:val="21"/>
                      <w:highlight w:val="none"/>
                      <w:u w:val="none"/>
                      <w:lang w:val="en-US" w:eastAsia="zh-CN" w:bidi="ar"/>
                    </w:rPr>
                    <w:t>0</w:t>
                  </w:r>
                </w:p>
              </w:tc>
              <w:tc>
                <w:tcPr>
                  <w:tcW w:w="1308" w:type="dxa"/>
                  <w:noWrap w:val="0"/>
                  <w:vAlign w:val="center"/>
                </w:tcPr>
                <w:p w14:paraId="7984FAA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ascii="Times New Roman" w:hAnsi="Times New Roman" w:eastAsia="宋体" w:cs="Times New Roman"/>
                      <w:i w:val="0"/>
                      <w:iCs w:val="0"/>
                      <w:color w:val="auto"/>
                      <w:spacing w:val="0"/>
                      <w:kern w:val="0"/>
                      <w:sz w:val="21"/>
                      <w:szCs w:val="21"/>
                      <w:highlight w:val="none"/>
                      <w:u w:val="none"/>
                      <w:lang w:val="en-US" w:eastAsia="zh-CN" w:bidi="ar"/>
                    </w:rPr>
                    <w:t>/</w:t>
                  </w:r>
                </w:p>
              </w:tc>
            </w:tr>
          </w:tbl>
          <w:p w14:paraId="58325334">
            <w:pPr>
              <w:spacing w:line="360" w:lineRule="auto"/>
              <w:ind w:firstLine="420" w:firstLineChars="200"/>
              <w:rPr>
                <w:color w:val="auto"/>
              </w:rPr>
            </w:pPr>
            <w:r>
              <w:rPr>
                <w:color w:val="auto"/>
                <w:szCs w:val="21"/>
              </w:rPr>
              <w:t>综上所述</w:t>
            </w:r>
            <w:r>
              <w:rPr>
                <w:rFonts w:hint="eastAsia"/>
                <w:color w:val="auto"/>
                <w:szCs w:val="21"/>
              </w:rPr>
              <w:t>，自动线喷粉房、手动线喷粉柜</w:t>
            </w:r>
            <w:r>
              <w:rPr>
                <w:color w:val="auto"/>
                <w:szCs w:val="21"/>
              </w:rPr>
              <w:t>喷粉工序</w:t>
            </w:r>
            <w:r>
              <w:rPr>
                <w:rFonts w:hint="eastAsia"/>
                <w:color w:val="auto"/>
                <w:szCs w:val="21"/>
                <w:lang w:val="en-US" w:eastAsia="zh-CN"/>
              </w:rPr>
              <w:t>有</w:t>
            </w:r>
            <w:r>
              <w:rPr>
                <w:rFonts w:hint="eastAsia"/>
                <w:color w:val="auto"/>
                <w:szCs w:val="21"/>
              </w:rPr>
              <w:t>组织排放的</w:t>
            </w:r>
            <w:r>
              <w:rPr>
                <w:color w:val="auto"/>
                <w:szCs w:val="21"/>
              </w:rPr>
              <w:t>颗粒物</w:t>
            </w:r>
            <w:r>
              <w:rPr>
                <w:color w:val="auto"/>
                <w:szCs w:val="21"/>
                <w:highlight w:val="none"/>
              </w:rPr>
              <w:t>为</w:t>
            </w:r>
            <w:r>
              <w:rPr>
                <w:rFonts w:hint="eastAsia"/>
                <w:color w:val="auto"/>
                <w:szCs w:val="21"/>
                <w:highlight w:val="none"/>
              </w:rPr>
              <w:t>0</w:t>
            </w:r>
            <w:r>
              <w:rPr>
                <w:color w:val="auto"/>
                <w:szCs w:val="21"/>
                <w:highlight w:val="none"/>
              </w:rPr>
              <w:t>.</w:t>
            </w:r>
            <w:r>
              <w:rPr>
                <w:rFonts w:hint="eastAsia"/>
                <w:color w:val="auto"/>
                <w:szCs w:val="21"/>
                <w:highlight w:val="none"/>
                <w:lang w:val="en-US" w:eastAsia="zh-CN"/>
              </w:rPr>
              <w:t>156</w:t>
            </w:r>
            <w:r>
              <w:rPr>
                <w:color w:val="auto"/>
                <w:szCs w:val="21"/>
                <w:highlight w:val="none"/>
              </w:rPr>
              <w:t>t/a</w:t>
            </w:r>
            <w:r>
              <w:rPr>
                <w:rFonts w:hint="eastAsia"/>
                <w:color w:val="auto"/>
                <w:szCs w:val="21"/>
                <w:highlight w:val="none"/>
              </w:rPr>
              <w:t>，排放速率为</w:t>
            </w:r>
            <w:r>
              <w:rPr>
                <w:color w:val="auto"/>
                <w:szCs w:val="21"/>
                <w:highlight w:val="none"/>
              </w:rPr>
              <w:t>0.</w:t>
            </w:r>
            <w:r>
              <w:rPr>
                <w:rFonts w:hint="eastAsia"/>
                <w:color w:val="auto"/>
                <w:szCs w:val="21"/>
                <w:highlight w:val="none"/>
                <w:lang w:val="en-US" w:eastAsia="zh-CN"/>
              </w:rPr>
              <w:t>1134</w:t>
            </w:r>
            <w:r>
              <w:rPr>
                <w:color w:val="auto"/>
                <w:szCs w:val="21"/>
              </w:rPr>
              <w:t>kg/h</w:t>
            </w:r>
            <w:r>
              <w:rPr>
                <w:rFonts w:hint="eastAsia"/>
                <w:color w:val="auto"/>
                <w:szCs w:val="21"/>
              </w:rPr>
              <w:t>；喷粉工序产生的颗粒物执行</w:t>
            </w:r>
            <w:r>
              <w:rPr>
                <w:color w:val="auto"/>
                <w:szCs w:val="21"/>
              </w:rPr>
              <w:t>广东省</w:t>
            </w:r>
            <w:r>
              <w:rPr>
                <w:rFonts w:hint="eastAsia"/>
                <w:color w:val="auto"/>
                <w:szCs w:val="21"/>
                <w:lang w:val="en-US" w:eastAsia="zh-CN"/>
              </w:rPr>
              <w:t>地方标准</w:t>
            </w:r>
            <w:r>
              <w:rPr>
                <w:color w:val="auto"/>
                <w:szCs w:val="21"/>
              </w:rPr>
              <w:t>《大气污染物排放限值》(DB44/27－2001)</w:t>
            </w:r>
            <w:r>
              <w:rPr>
                <w:rFonts w:hint="eastAsia"/>
                <w:color w:val="auto"/>
                <w:szCs w:val="21"/>
                <w:lang w:val="en-US" w:eastAsia="zh-CN"/>
              </w:rPr>
              <w:t>表2</w:t>
            </w:r>
            <w:r>
              <w:rPr>
                <w:color w:val="auto"/>
                <w:szCs w:val="21"/>
              </w:rPr>
              <w:t>第二时段</w:t>
            </w:r>
            <w:r>
              <w:rPr>
                <w:rFonts w:hint="eastAsia"/>
                <w:color w:val="auto"/>
                <w:szCs w:val="21"/>
                <w:lang w:val="en-US" w:eastAsia="zh-CN"/>
              </w:rPr>
              <w:t>二级标准</w:t>
            </w:r>
            <w:r>
              <w:rPr>
                <w:rFonts w:hint="eastAsia"/>
                <w:color w:val="auto"/>
                <w:szCs w:val="21"/>
              </w:rPr>
              <w:t>。</w:t>
            </w:r>
          </w:p>
          <w:p w14:paraId="465E08ED">
            <w:pPr>
              <w:spacing w:line="360" w:lineRule="auto"/>
              <w:ind w:firstLine="422" w:firstLineChars="200"/>
              <w:rPr>
                <w:b/>
                <w:color w:val="auto"/>
                <w:szCs w:val="21"/>
              </w:rPr>
            </w:pPr>
            <w:r>
              <w:rPr>
                <w:rFonts w:hint="eastAsia"/>
                <w:b/>
                <w:color w:val="auto"/>
                <w:szCs w:val="21"/>
              </w:rPr>
              <w:t>（</w:t>
            </w:r>
            <w:r>
              <w:rPr>
                <w:rFonts w:hint="eastAsia"/>
                <w:b/>
                <w:color w:val="auto"/>
                <w:szCs w:val="21"/>
                <w:lang w:val="en-US" w:eastAsia="zh-CN"/>
              </w:rPr>
              <w:t>2</w:t>
            </w:r>
            <w:r>
              <w:rPr>
                <w:rFonts w:hint="eastAsia"/>
                <w:b/>
                <w:color w:val="auto"/>
                <w:szCs w:val="21"/>
              </w:rPr>
              <w:t>）固化工序废气</w:t>
            </w:r>
          </w:p>
          <w:p w14:paraId="4A0AB43C">
            <w:pPr>
              <w:spacing w:line="360" w:lineRule="auto"/>
              <w:ind w:firstLine="422" w:firstLineChars="200"/>
              <w:rPr>
                <w:color w:val="auto"/>
                <w:szCs w:val="21"/>
              </w:rPr>
            </w:pPr>
            <w:r>
              <w:rPr>
                <w:rFonts w:hint="eastAsia"/>
                <w:b/>
                <w:color w:val="auto"/>
                <w:szCs w:val="21"/>
              </w:rPr>
              <w:t>产污情况：</w:t>
            </w:r>
            <w:r>
              <w:rPr>
                <w:rFonts w:hint="eastAsia"/>
                <w:color w:val="auto"/>
                <w:szCs w:val="21"/>
              </w:rPr>
              <w:t>项目</w:t>
            </w:r>
            <w:r>
              <w:rPr>
                <w:rFonts w:hint="eastAsia"/>
                <w:color w:val="auto"/>
                <w:szCs w:val="21"/>
                <w:lang w:val="en-US" w:eastAsia="zh-CN"/>
              </w:rPr>
              <w:t>固化工序（自动线、手动线）产生废气，主要以</w:t>
            </w:r>
            <w:r>
              <w:rPr>
                <w:rFonts w:hint="eastAsia"/>
                <w:color w:val="auto"/>
                <w:lang w:val="en-US" w:eastAsia="zh-CN"/>
              </w:rPr>
              <w:t>TVOC</w:t>
            </w:r>
            <w:r>
              <w:rPr>
                <w:rFonts w:hint="eastAsia"/>
                <w:color w:val="auto"/>
                <w:lang w:val="en-US" w:eastAsia="zh-CN"/>
              </w:rPr>
              <w:t>、</w:t>
            </w:r>
            <w:r>
              <w:rPr>
                <w:rFonts w:hint="eastAsia"/>
                <w:color w:val="auto"/>
                <w:szCs w:val="21"/>
                <w:lang w:val="en-US" w:eastAsia="zh-CN"/>
              </w:rPr>
              <w:t>非甲烷总烃、臭气浓度为表征。项目</w:t>
            </w:r>
            <w:r>
              <w:rPr>
                <w:rFonts w:hint="eastAsia"/>
                <w:color w:val="auto"/>
                <w:szCs w:val="21"/>
              </w:rPr>
              <w:t>喷粉使用原料为环氧聚酯粉末，年用量为</w:t>
            </w:r>
            <w:r>
              <w:rPr>
                <w:color w:val="auto"/>
                <w:szCs w:val="21"/>
              </w:rPr>
              <w:t>16</w:t>
            </w:r>
            <w:r>
              <w:rPr>
                <w:rFonts w:hint="eastAsia"/>
                <w:color w:val="auto"/>
                <w:szCs w:val="21"/>
              </w:rPr>
              <w:t>吨。参照《喷塑行业污染物源强估算及治理方法探讨》（中国环境管理干部学院学报）中的产排污系数，固化过程有机废气</w:t>
            </w:r>
            <w:r>
              <w:rPr>
                <w:rFonts w:hint="eastAsia"/>
                <w:color w:val="auto"/>
                <w:szCs w:val="21"/>
                <w:lang w:eastAsia="zh-CN"/>
              </w:rPr>
              <w:t>（</w:t>
            </w:r>
            <w:r>
              <w:rPr>
                <w:rFonts w:hint="eastAsia"/>
                <w:color w:val="auto"/>
                <w:szCs w:val="21"/>
                <w:lang w:val="en-US" w:eastAsia="zh-CN"/>
              </w:rPr>
              <w:t>以</w:t>
            </w:r>
            <w:r>
              <w:rPr>
                <w:rFonts w:hint="eastAsia"/>
                <w:color w:val="auto"/>
                <w:lang w:val="en-US" w:eastAsia="zh-CN"/>
              </w:rPr>
              <w:t>TVOC、</w:t>
            </w:r>
            <w:r>
              <w:rPr>
                <w:rFonts w:hint="eastAsia"/>
                <w:color w:val="auto"/>
                <w:szCs w:val="21"/>
                <w:lang w:val="en-US" w:eastAsia="zh-CN"/>
              </w:rPr>
              <w:t>非甲烷总烃为表征</w:t>
            </w:r>
            <w:r>
              <w:rPr>
                <w:rFonts w:hint="eastAsia"/>
                <w:color w:val="auto"/>
                <w:szCs w:val="21"/>
                <w:lang w:eastAsia="zh-CN"/>
              </w:rPr>
              <w:t>）</w:t>
            </w:r>
            <w:r>
              <w:rPr>
                <w:rFonts w:hint="eastAsia"/>
                <w:color w:val="auto"/>
                <w:szCs w:val="21"/>
              </w:rPr>
              <w:t>产生速率按3‰~6‰计算，本项目按6‰计，本项目</w:t>
            </w:r>
            <w:r>
              <w:rPr>
                <w:rFonts w:hint="eastAsia"/>
                <w:color w:val="auto"/>
                <w:szCs w:val="21"/>
                <w:lang w:val="en-US" w:eastAsia="zh-CN"/>
              </w:rPr>
              <w:t>固化工序</w:t>
            </w:r>
            <w:r>
              <w:rPr>
                <w:rFonts w:hint="eastAsia"/>
                <w:color w:val="auto"/>
                <w:szCs w:val="21"/>
              </w:rPr>
              <w:t>分</w:t>
            </w:r>
            <w:r>
              <w:rPr>
                <w:rFonts w:hint="eastAsia"/>
                <w:color w:val="auto"/>
                <w:szCs w:val="21"/>
                <w:lang w:val="en-US" w:eastAsia="zh-CN"/>
              </w:rPr>
              <w:t>别使用</w:t>
            </w:r>
            <w:r>
              <w:rPr>
                <w:rFonts w:hint="eastAsia"/>
                <w:color w:val="auto"/>
                <w:szCs w:val="21"/>
              </w:rPr>
              <w:t>面包炉和</w:t>
            </w:r>
            <w:r>
              <w:rPr>
                <w:rFonts w:hint="default" w:ascii="Times New Roman" w:hAnsi="Times New Roman" w:eastAsia="宋体" w:cs="Times New Roman"/>
                <w:strike w:val="0"/>
                <w:dstrike w:val="0"/>
                <w:color w:val="auto"/>
                <w:sz w:val="21"/>
                <w:szCs w:val="21"/>
                <w:lang w:val="en-US" w:eastAsia="zh-CN"/>
              </w:rPr>
              <w:t>烘干线+固化线（一体线）</w:t>
            </w:r>
            <w:r>
              <w:rPr>
                <w:rFonts w:hint="eastAsia"/>
                <w:color w:val="auto"/>
                <w:szCs w:val="21"/>
              </w:rPr>
              <w:t>，</w:t>
            </w:r>
            <w:r>
              <w:rPr>
                <w:rFonts w:hint="eastAsia"/>
                <w:color w:val="auto"/>
                <w:szCs w:val="21"/>
                <w:lang w:val="en-US" w:eastAsia="zh-CN"/>
              </w:rPr>
              <w:t>手</w:t>
            </w:r>
            <w:r>
              <w:rPr>
                <w:rFonts w:hint="eastAsia"/>
                <w:color w:val="auto"/>
                <w:szCs w:val="21"/>
              </w:rPr>
              <w:t>动线</w:t>
            </w:r>
            <w:r>
              <w:rPr>
                <w:rFonts w:hint="eastAsia"/>
                <w:color w:val="auto"/>
                <w:szCs w:val="21"/>
                <w:lang w:eastAsia="zh-CN"/>
              </w:rPr>
              <w:t>（</w:t>
            </w:r>
            <w:r>
              <w:rPr>
                <w:rFonts w:hint="eastAsia"/>
                <w:color w:val="auto"/>
                <w:szCs w:val="21"/>
                <w:lang w:val="en-US" w:eastAsia="zh-CN"/>
              </w:rPr>
              <w:t>含面包炉</w:t>
            </w:r>
            <w:r>
              <w:rPr>
                <w:rFonts w:hint="eastAsia"/>
                <w:color w:val="auto"/>
                <w:szCs w:val="21"/>
                <w:lang w:eastAsia="zh-CN"/>
              </w:rPr>
              <w:t>）</w:t>
            </w:r>
            <w:r>
              <w:rPr>
                <w:rFonts w:hint="eastAsia"/>
                <w:color w:val="auto"/>
                <w:szCs w:val="21"/>
              </w:rPr>
              <w:t>用量为</w:t>
            </w:r>
            <w:r>
              <w:rPr>
                <w:rFonts w:hint="eastAsia"/>
                <w:color w:val="auto"/>
                <w:szCs w:val="21"/>
                <w:lang w:val="en-US" w:eastAsia="zh-CN"/>
              </w:rPr>
              <w:t>1.7</w:t>
            </w:r>
            <w:r>
              <w:rPr>
                <w:rFonts w:hint="eastAsia"/>
                <w:color w:val="auto"/>
                <w:szCs w:val="21"/>
              </w:rPr>
              <w:t>t/a，</w:t>
            </w:r>
            <w:r>
              <w:rPr>
                <w:rFonts w:hint="eastAsia"/>
                <w:color w:val="auto"/>
                <w:szCs w:val="21"/>
                <w:lang w:val="en-US" w:eastAsia="zh-CN"/>
              </w:rPr>
              <w:t>自</w:t>
            </w:r>
            <w:r>
              <w:rPr>
                <w:rFonts w:hint="eastAsia"/>
                <w:color w:val="auto"/>
                <w:szCs w:val="21"/>
              </w:rPr>
              <w:t>动线</w:t>
            </w:r>
            <w:r>
              <w:rPr>
                <w:rFonts w:hint="eastAsia"/>
                <w:color w:val="auto"/>
                <w:szCs w:val="21"/>
                <w:lang w:eastAsia="zh-CN"/>
              </w:rPr>
              <w:t>（</w:t>
            </w:r>
            <w:r>
              <w:rPr>
                <w:rFonts w:hint="eastAsia"/>
                <w:color w:val="auto"/>
                <w:szCs w:val="21"/>
                <w:lang w:val="en-US" w:eastAsia="zh-CN"/>
              </w:rPr>
              <w:t>含</w:t>
            </w:r>
            <w:r>
              <w:rPr>
                <w:rFonts w:hint="default" w:ascii="Times New Roman" w:hAnsi="Times New Roman" w:eastAsia="宋体" w:cs="Times New Roman"/>
                <w:strike w:val="0"/>
                <w:dstrike w:val="0"/>
                <w:color w:val="auto"/>
                <w:sz w:val="21"/>
                <w:szCs w:val="21"/>
                <w:lang w:val="en-US" w:eastAsia="zh-CN"/>
              </w:rPr>
              <w:t>烘干线+固化线（一体线）</w:t>
            </w:r>
            <w:r>
              <w:rPr>
                <w:rFonts w:hint="eastAsia"/>
                <w:color w:val="auto"/>
                <w:szCs w:val="21"/>
                <w:lang w:eastAsia="zh-CN"/>
              </w:rPr>
              <w:t>）</w:t>
            </w:r>
            <w:r>
              <w:rPr>
                <w:rFonts w:hint="eastAsia"/>
                <w:color w:val="auto"/>
                <w:szCs w:val="21"/>
              </w:rPr>
              <w:t>用量为</w:t>
            </w:r>
            <w:r>
              <w:rPr>
                <w:rFonts w:hint="eastAsia"/>
                <w:color w:val="auto"/>
                <w:szCs w:val="21"/>
                <w:lang w:val="en-US" w:eastAsia="zh-CN"/>
              </w:rPr>
              <w:t>14.3</w:t>
            </w:r>
            <w:r>
              <w:rPr>
                <w:rFonts w:hint="eastAsia"/>
                <w:color w:val="auto"/>
                <w:szCs w:val="21"/>
              </w:rPr>
              <w:t>t/a。因此</w:t>
            </w:r>
            <w:r>
              <w:rPr>
                <w:rFonts w:hint="eastAsia"/>
                <w:color w:val="auto"/>
                <w:szCs w:val="21"/>
                <w:lang w:val="en-US" w:eastAsia="zh-CN"/>
              </w:rPr>
              <w:t>手</w:t>
            </w:r>
            <w:r>
              <w:rPr>
                <w:rFonts w:hint="eastAsia"/>
                <w:color w:val="auto"/>
                <w:szCs w:val="21"/>
              </w:rPr>
              <w:t>动线固化过程产生的</w:t>
            </w:r>
            <w:r>
              <w:rPr>
                <w:rFonts w:hint="eastAsia"/>
                <w:color w:val="auto"/>
                <w:lang w:val="en-US" w:eastAsia="zh-CN"/>
              </w:rPr>
              <w:t>TVOC、</w:t>
            </w:r>
            <w:r>
              <w:rPr>
                <w:rFonts w:hint="eastAsia"/>
                <w:color w:val="auto"/>
                <w:szCs w:val="21"/>
              </w:rPr>
              <w:t>非甲烷总烃产生量为</w:t>
            </w:r>
            <w:r>
              <w:rPr>
                <w:color w:val="auto"/>
                <w:szCs w:val="21"/>
              </w:rPr>
              <w:t>0.0</w:t>
            </w:r>
            <w:r>
              <w:rPr>
                <w:rFonts w:hint="eastAsia"/>
                <w:color w:val="auto"/>
                <w:szCs w:val="21"/>
                <w:lang w:val="en-US" w:eastAsia="zh-CN"/>
              </w:rPr>
              <w:t>102</w:t>
            </w:r>
            <w:r>
              <w:rPr>
                <w:rFonts w:hint="eastAsia"/>
                <w:color w:val="auto"/>
                <w:szCs w:val="21"/>
              </w:rPr>
              <w:t>t/a，</w:t>
            </w:r>
            <w:r>
              <w:rPr>
                <w:rFonts w:hint="eastAsia"/>
                <w:color w:val="auto"/>
                <w:szCs w:val="21"/>
                <w:lang w:val="en-US" w:eastAsia="zh-CN"/>
              </w:rPr>
              <w:t>自</w:t>
            </w:r>
            <w:r>
              <w:rPr>
                <w:rFonts w:hint="eastAsia"/>
                <w:color w:val="auto"/>
                <w:szCs w:val="21"/>
              </w:rPr>
              <w:t>动线固化过程产生的</w:t>
            </w:r>
            <w:r>
              <w:rPr>
                <w:rFonts w:hint="eastAsia"/>
                <w:color w:val="auto"/>
                <w:lang w:val="en-US" w:eastAsia="zh-CN"/>
              </w:rPr>
              <w:t>TVOC、</w:t>
            </w:r>
            <w:r>
              <w:rPr>
                <w:rFonts w:hint="eastAsia"/>
                <w:color w:val="auto"/>
                <w:szCs w:val="21"/>
              </w:rPr>
              <w:t>非甲烷总烃产生量为</w:t>
            </w:r>
            <w:r>
              <w:rPr>
                <w:color w:val="auto"/>
                <w:szCs w:val="21"/>
              </w:rPr>
              <w:t>0.0</w:t>
            </w:r>
            <w:r>
              <w:rPr>
                <w:rFonts w:hint="eastAsia"/>
                <w:color w:val="auto"/>
                <w:szCs w:val="21"/>
                <w:lang w:val="en-US" w:eastAsia="zh-CN"/>
              </w:rPr>
              <w:t>858</w:t>
            </w:r>
            <w:r>
              <w:rPr>
                <w:rFonts w:hint="eastAsia"/>
                <w:color w:val="auto"/>
                <w:szCs w:val="21"/>
              </w:rPr>
              <w:t>t/a。</w:t>
            </w:r>
          </w:p>
          <w:p w14:paraId="600C12C2">
            <w:pPr>
              <w:spacing w:line="360" w:lineRule="auto"/>
              <w:ind w:firstLine="422" w:firstLineChars="200"/>
              <w:rPr>
                <w:b/>
                <w:color w:val="auto"/>
                <w:szCs w:val="21"/>
              </w:rPr>
            </w:pPr>
            <w:r>
              <w:rPr>
                <w:rFonts w:hint="eastAsia"/>
                <w:b/>
                <w:color w:val="auto"/>
                <w:szCs w:val="21"/>
              </w:rPr>
              <w:t>①自动线固化工序废气收集可行性分析</w:t>
            </w:r>
          </w:p>
          <w:p w14:paraId="4E6B008B">
            <w:pPr>
              <w:spacing w:line="360" w:lineRule="auto"/>
              <w:ind w:firstLine="420" w:firstLineChars="200"/>
              <w:rPr>
                <w:color w:val="auto"/>
                <w:szCs w:val="21"/>
              </w:rPr>
            </w:pPr>
            <w:r>
              <w:rPr>
                <w:color w:val="auto"/>
                <w:szCs w:val="21"/>
              </w:rPr>
              <w:t>本项目</w:t>
            </w:r>
            <w:r>
              <w:rPr>
                <w:rFonts w:hint="eastAsia"/>
                <w:color w:val="auto"/>
                <w:szCs w:val="21"/>
              </w:rPr>
              <w:t>自动线固化工序</w:t>
            </w:r>
            <w:r>
              <w:rPr>
                <w:color w:val="auto"/>
                <w:szCs w:val="21"/>
              </w:rPr>
              <w:t>在</w:t>
            </w:r>
            <w:r>
              <w:rPr>
                <w:rFonts w:hint="eastAsia"/>
                <w:color w:val="auto"/>
              </w:rPr>
              <w:t>烘干线+固化线（一体线）</w:t>
            </w:r>
            <w:r>
              <w:rPr>
                <w:color w:val="auto"/>
                <w:szCs w:val="21"/>
              </w:rPr>
              <w:t>中进行，</w:t>
            </w:r>
            <w:r>
              <w:rPr>
                <w:rFonts w:hint="eastAsia"/>
                <w:color w:val="auto"/>
                <w:szCs w:val="21"/>
                <w:lang w:val="en-US" w:eastAsia="zh-CN"/>
              </w:rPr>
              <w:t>除两侧产品进出口外炉体完全密闭，</w:t>
            </w:r>
            <w:r>
              <w:rPr>
                <w:rFonts w:hint="eastAsia"/>
                <w:b/>
                <w:bCs/>
                <w:color w:val="auto"/>
                <w:szCs w:val="21"/>
                <w:lang w:val="en-US" w:eastAsia="zh-CN"/>
              </w:rPr>
              <w:t>靠近产品出口处设集气</w:t>
            </w:r>
            <w:r>
              <w:rPr>
                <w:b/>
                <w:bCs/>
                <w:color w:val="auto"/>
                <w:szCs w:val="21"/>
              </w:rPr>
              <w:t>管道与</w:t>
            </w:r>
            <w:r>
              <w:rPr>
                <w:rFonts w:hint="eastAsia"/>
                <w:b/>
                <w:bCs/>
                <w:color w:val="auto"/>
                <w:szCs w:val="21"/>
                <w:lang w:val="en-US" w:eastAsia="zh-CN"/>
              </w:rPr>
              <w:t>炉</w:t>
            </w:r>
            <w:r>
              <w:rPr>
                <w:b/>
                <w:bCs/>
                <w:color w:val="auto"/>
                <w:szCs w:val="21"/>
              </w:rPr>
              <w:t>体相接，抽风设备直接将</w:t>
            </w:r>
            <w:r>
              <w:rPr>
                <w:rFonts w:hint="eastAsia"/>
                <w:b/>
                <w:bCs/>
                <w:color w:val="auto"/>
                <w:szCs w:val="21"/>
              </w:rPr>
              <w:t>固化</w:t>
            </w:r>
            <w:r>
              <w:rPr>
                <w:b/>
                <w:bCs/>
                <w:color w:val="auto"/>
                <w:szCs w:val="21"/>
              </w:rPr>
              <w:t>过程产生的废气</w:t>
            </w:r>
            <w:r>
              <w:rPr>
                <w:rFonts w:hint="eastAsia"/>
                <w:b/>
                <w:bCs/>
                <w:color w:val="auto"/>
                <w:szCs w:val="21"/>
                <w:lang w:val="en-US" w:eastAsia="zh-CN"/>
              </w:rPr>
              <w:t>通过集气管道</w:t>
            </w:r>
            <w:r>
              <w:rPr>
                <w:b/>
                <w:bCs/>
                <w:color w:val="auto"/>
                <w:szCs w:val="21"/>
              </w:rPr>
              <w:t>抽入废气治理设施中进行</w:t>
            </w:r>
            <w:r>
              <w:rPr>
                <w:rFonts w:hint="eastAsia"/>
                <w:b/>
                <w:bCs/>
                <w:color w:val="auto"/>
                <w:szCs w:val="21"/>
                <w:lang w:val="en-US" w:eastAsia="zh-CN"/>
              </w:rPr>
              <w:t>处</w:t>
            </w:r>
            <w:r>
              <w:rPr>
                <w:b/>
                <w:bCs/>
                <w:color w:val="auto"/>
                <w:szCs w:val="21"/>
              </w:rPr>
              <w:t>理</w:t>
            </w:r>
            <w:r>
              <w:rPr>
                <w:rFonts w:hint="eastAsia"/>
                <w:b/>
                <w:bCs/>
                <w:color w:val="auto"/>
                <w:szCs w:val="21"/>
                <w:lang w:eastAsia="zh-CN"/>
              </w:rPr>
              <w:t>，</w:t>
            </w:r>
            <w:r>
              <w:rPr>
                <w:rFonts w:hint="eastAsia"/>
                <w:b/>
                <w:bCs/>
                <w:color w:val="auto"/>
                <w:szCs w:val="21"/>
                <w:lang w:val="en-US" w:eastAsia="zh-CN"/>
              </w:rPr>
              <w:t>内部主导气流方向为产品进口到产品出口，产品进口不设置废气收集装置，</w:t>
            </w:r>
            <w:r>
              <w:rPr>
                <w:rFonts w:hint="eastAsia"/>
                <w:color w:val="auto"/>
                <w:szCs w:val="21"/>
              </w:rPr>
              <w:t>根据</w:t>
            </w:r>
            <w:r>
              <w:rPr>
                <w:rFonts w:hint="eastAsia" w:hAnsi="Times New Roman"/>
                <w:color w:val="auto"/>
                <w:spacing w:val="0"/>
                <w:sz w:val="21"/>
                <w:szCs w:val="22"/>
                <w:highlight w:val="none"/>
                <w:lang w:val="en-US" w:eastAsia="zh-CN"/>
              </w:rPr>
              <w:t>《广东省工业源挥发性有机物减排量核算方法（2023年修订版）》</w:t>
            </w:r>
            <w:r>
              <w:rPr>
                <w:rFonts w:hint="eastAsia"/>
                <w:color w:val="auto"/>
                <w:spacing w:val="0"/>
                <w:sz w:val="21"/>
                <w:szCs w:val="22"/>
                <w:highlight w:val="none"/>
                <w:lang w:val="en-US" w:eastAsia="zh-CN"/>
              </w:rPr>
              <w:t>，“设备有固定排放管（或口）直接与风管连接，设备整体密闭只留产品进出口，且进出口处有废气收集措施，收集系统运行时周边基本无 VOCs 散发，</w:t>
            </w:r>
            <w:r>
              <w:rPr>
                <w:rFonts w:hint="eastAsia"/>
                <w:color w:val="auto"/>
                <w:szCs w:val="21"/>
                <w:lang w:val="en-US" w:eastAsia="zh-CN"/>
              </w:rPr>
              <w:t>收集效率可达95%</w:t>
            </w:r>
            <w:r>
              <w:rPr>
                <w:rFonts w:hint="eastAsia"/>
                <w:color w:val="auto"/>
                <w:spacing w:val="0"/>
                <w:sz w:val="21"/>
                <w:szCs w:val="22"/>
                <w:highlight w:val="none"/>
                <w:lang w:val="en-US" w:eastAsia="zh-CN"/>
              </w:rPr>
              <w:t>”</w:t>
            </w:r>
            <w:r>
              <w:rPr>
                <w:rFonts w:hint="eastAsia"/>
                <w:color w:val="auto"/>
                <w:szCs w:val="21"/>
                <w:u w:val="none"/>
                <w:lang w:eastAsia="zh-CN"/>
              </w:rPr>
              <w:t>，</w:t>
            </w:r>
            <w:r>
              <w:rPr>
                <w:rFonts w:hint="eastAsia"/>
                <w:color w:val="auto"/>
                <w:szCs w:val="21"/>
                <w:u w:val="none"/>
                <w:lang w:val="en-US" w:eastAsia="zh-CN"/>
              </w:rPr>
              <w:t>因此本项目为设备管道直连收集，</w:t>
            </w:r>
            <w:r>
              <w:rPr>
                <w:rFonts w:hint="eastAsia"/>
                <w:b/>
                <w:bCs/>
                <w:color w:val="auto"/>
                <w:szCs w:val="21"/>
                <w:lang w:val="en-US" w:eastAsia="zh-CN"/>
              </w:rPr>
              <w:t>产品进口无废气收集装置</w:t>
            </w:r>
            <w:r>
              <w:rPr>
                <w:rFonts w:hint="eastAsia"/>
                <w:color w:val="auto"/>
                <w:szCs w:val="21"/>
                <w:u w:val="none"/>
                <w:lang w:val="en-US" w:eastAsia="zh-CN"/>
              </w:rPr>
              <w:t>，收集效率</w:t>
            </w:r>
            <w:r>
              <w:rPr>
                <w:rFonts w:hint="eastAsia"/>
                <w:b/>
                <w:bCs/>
                <w:color w:val="auto"/>
                <w:szCs w:val="21"/>
                <w:lang w:val="en-US" w:eastAsia="zh-CN"/>
              </w:rPr>
              <w:t>按80%计</w:t>
            </w:r>
            <w:r>
              <w:rPr>
                <w:rFonts w:hint="eastAsia"/>
                <w:color w:val="auto"/>
                <w:szCs w:val="21"/>
                <w:u w:val="none"/>
                <w:lang w:val="en-US" w:eastAsia="zh-CN"/>
              </w:rPr>
              <w:t>；</w:t>
            </w:r>
            <w:r>
              <w:rPr>
                <w:rFonts w:hint="eastAsia"/>
                <w:color w:val="auto"/>
                <w:szCs w:val="21"/>
              </w:rPr>
              <w:t>自动线固化工序废气拟采用一套活性炭吸附处理后有组织排放（G</w:t>
            </w:r>
            <w:r>
              <w:rPr>
                <w:rFonts w:hint="eastAsia"/>
                <w:color w:val="auto"/>
                <w:szCs w:val="21"/>
                <w:lang w:val="en-US" w:eastAsia="zh-CN"/>
              </w:rPr>
              <w:t>2</w:t>
            </w:r>
            <w:r>
              <w:rPr>
                <w:rFonts w:hint="eastAsia"/>
                <w:color w:val="auto"/>
                <w:szCs w:val="21"/>
              </w:rPr>
              <w:t>），</w:t>
            </w:r>
            <w:r>
              <w:rPr>
                <w:rFonts w:hint="eastAsia"/>
                <w:b w:val="0"/>
                <w:bCs/>
                <w:color w:val="auto"/>
                <w:szCs w:val="21"/>
                <w:lang w:val="en-US" w:eastAsia="zh-CN"/>
              </w:rPr>
              <w:t>参照《广东省印刷行业挥发性有机物废气治理技术指南》、《广东省家具制造行业挥发性有机废气治理技术指南》，吸附法对有机废气处理效率为 50-80%，本项目取活性炭吸附处理效率为60%，</w:t>
            </w:r>
            <w:r>
              <w:rPr>
                <w:rFonts w:hint="eastAsia"/>
                <w:color w:val="auto"/>
                <w:lang w:val="en-US" w:eastAsia="zh-CN"/>
              </w:rPr>
              <w:t>TVOC、</w:t>
            </w:r>
            <w:r>
              <w:rPr>
                <w:rFonts w:hint="eastAsia"/>
                <w:color w:val="auto"/>
                <w:szCs w:val="21"/>
              </w:rPr>
              <w:t>非甲烷总烃的处理效率</w:t>
            </w:r>
            <w:r>
              <w:rPr>
                <w:rFonts w:hint="eastAsia"/>
                <w:color w:val="auto"/>
                <w:szCs w:val="21"/>
                <w:lang w:val="en-US" w:eastAsia="zh-CN"/>
              </w:rPr>
              <w:t>为6</w:t>
            </w:r>
            <w:r>
              <w:rPr>
                <w:rFonts w:hint="eastAsia"/>
                <w:color w:val="auto"/>
                <w:szCs w:val="21"/>
              </w:rPr>
              <w:t>0％。</w:t>
            </w:r>
          </w:p>
          <w:p w14:paraId="0E8DE4DA">
            <w:pPr>
              <w:spacing w:line="360" w:lineRule="auto"/>
              <w:ind w:firstLine="422" w:firstLineChars="200"/>
              <w:rPr>
                <w:b/>
                <w:color w:val="auto"/>
                <w:szCs w:val="21"/>
              </w:rPr>
            </w:pPr>
            <w:r>
              <w:rPr>
                <w:rFonts w:hint="eastAsia"/>
                <w:b/>
                <w:color w:val="auto"/>
                <w:szCs w:val="21"/>
              </w:rPr>
              <w:t>②手动线固化工序废气收集可行性分析</w:t>
            </w:r>
          </w:p>
          <w:p w14:paraId="2C60214D">
            <w:pPr>
              <w:spacing w:line="360" w:lineRule="auto"/>
              <w:ind w:firstLine="420" w:firstLineChars="200"/>
              <w:rPr>
                <w:rFonts w:hint="eastAsia"/>
                <w:color w:val="auto"/>
                <w:szCs w:val="21"/>
              </w:rPr>
            </w:pPr>
            <w:r>
              <w:rPr>
                <w:color w:val="auto"/>
                <w:szCs w:val="21"/>
              </w:rPr>
              <w:t>本项目</w:t>
            </w:r>
            <w:r>
              <w:rPr>
                <w:rFonts w:hint="eastAsia"/>
                <w:color w:val="auto"/>
                <w:szCs w:val="21"/>
                <w:lang w:val="en-US" w:eastAsia="zh-CN"/>
              </w:rPr>
              <w:t>手动线</w:t>
            </w:r>
            <w:r>
              <w:rPr>
                <w:rFonts w:hint="eastAsia"/>
                <w:color w:val="auto"/>
                <w:szCs w:val="21"/>
              </w:rPr>
              <w:t>固化工序</w:t>
            </w:r>
            <w:r>
              <w:rPr>
                <w:color w:val="auto"/>
                <w:szCs w:val="21"/>
              </w:rPr>
              <w:t>在</w:t>
            </w:r>
            <w:r>
              <w:rPr>
                <w:rFonts w:hint="eastAsia"/>
                <w:color w:val="auto"/>
                <w:szCs w:val="21"/>
              </w:rPr>
              <w:t>面包炉</w:t>
            </w:r>
            <w:r>
              <w:rPr>
                <w:color w:val="auto"/>
                <w:szCs w:val="21"/>
              </w:rPr>
              <w:t>中进行，</w:t>
            </w:r>
            <w:r>
              <w:rPr>
                <w:strike w:val="0"/>
                <w:dstrike w:val="0"/>
                <w:color w:val="auto"/>
                <w:szCs w:val="21"/>
              </w:rPr>
              <w:t>固化过程箱体</w:t>
            </w:r>
            <w:r>
              <w:rPr>
                <w:rFonts w:hint="eastAsia"/>
                <w:strike w:val="0"/>
                <w:dstrike w:val="0"/>
                <w:color w:val="auto"/>
                <w:szCs w:val="21"/>
                <w:lang w:val="en-US" w:eastAsia="zh-CN"/>
              </w:rPr>
              <w:t>为</w:t>
            </w:r>
            <w:r>
              <w:rPr>
                <w:strike w:val="0"/>
                <w:dstrike w:val="0"/>
                <w:color w:val="auto"/>
                <w:szCs w:val="21"/>
              </w:rPr>
              <w:t>密闭</w:t>
            </w:r>
            <w:r>
              <w:rPr>
                <w:rFonts w:hint="eastAsia"/>
                <w:strike w:val="0"/>
                <w:dstrike w:val="0"/>
                <w:color w:val="auto"/>
                <w:szCs w:val="21"/>
                <w:lang w:val="en-US" w:eastAsia="zh-CN"/>
              </w:rPr>
              <w:t>状态</w:t>
            </w:r>
            <w:r>
              <w:rPr>
                <w:strike w:val="0"/>
                <w:dstrike w:val="0"/>
                <w:color w:val="auto"/>
                <w:szCs w:val="21"/>
              </w:rPr>
              <w:t>，</w:t>
            </w:r>
            <w:r>
              <w:rPr>
                <w:rFonts w:hint="eastAsia" w:ascii="Times New Roman" w:hAnsi="Times New Roman" w:eastAsia="宋体" w:cs="Times New Roman"/>
                <w:strike w:val="0"/>
                <w:dstrike w:val="0"/>
                <w:color w:val="auto"/>
                <w:szCs w:val="21"/>
                <w:lang w:val="en-US" w:eastAsia="zh-CN"/>
              </w:rPr>
              <w:t>无废气逸出点，</w:t>
            </w:r>
            <w:r>
              <w:rPr>
                <w:rFonts w:hint="eastAsia"/>
                <w:strike w:val="0"/>
                <w:dstrike w:val="0"/>
                <w:color w:val="auto"/>
                <w:szCs w:val="21"/>
              </w:rPr>
              <w:t>项目</w:t>
            </w:r>
            <w:r>
              <w:rPr>
                <w:rFonts w:hint="eastAsia"/>
                <w:strike w:val="0"/>
                <w:dstrike w:val="0"/>
                <w:color w:val="auto"/>
                <w:szCs w:val="21"/>
                <w:lang w:val="en-US" w:eastAsia="zh-CN"/>
              </w:rPr>
              <w:t>废气</w:t>
            </w:r>
            <w:r>
              <w:rPr>
                <w:strike w:val="0"/>
                <w:dstrike w:val="0"/>
                <w:color w:val="auto"/>
                <w:szCs w:val="21"/>
              </w:rPr>
              <w:t>拟在面包炉</w:t>
            </w:r>
            <w:r>
              <w:rPr>
                <w:rFonts w:hint="eastAsia"/>
                <w:strike w:val="0"/>
                <w:dstrike w:val="0"/>
                <w:color w:val="auto"/>
                <w:szCs w:val="21"/>
                <w:lang w:val="en-US" w:eastAsia="zh-CN"/>
              </w:rPr>
              <w:t>上方</w:t>
            </w:r>
            <w:r>
              <w:rPr>
                <w:strike w:val="0"/>
                <w:dstrike w:val="0"/>
                <w:color w:val="auto"/>
                <w:szCs w:val="21"/>
              </w:rPr>
              <w:t>设置</w:t>
            </w:r>
            <w:r>
              <w:rPr>
                <w:rFonts w:hint="eastAsia"/>
                <w:strike w:val="0"/>
                <w:dstrike w:val="0"/>
                <w:color w:val="auto"/>
                <w:szCs w:val="21"/>
                <w:lang w:val="en-US" w:eastAsia="zh-CN"/>
              </w:rPr>
              <w:t>密闭</w:t>
            </w:r>
            <w:r>
              <w:rPr>
                <w:strike w:val="0"/>
                <w:dstrike w:val="0"/>
                <w:color w:val="auto"/>
                <w:szCs w:val="21"/>
              </w:rPr>
              <w:t>集气</w:t>
            </w:r>
            <w:r>
              <w:rPr>
                <w:rFonts w:hint="eastAsia"/>
                <w:strike w:val="0"/>
                <w:dstrike w:val="0"/>
                <w:color w:val="auto"/>
                <w:szCs w:val="21"/>
                <w:lang w:val="en-US" w:eastAsia="zh-CN"/>
              </w:rPr>
              <w:t>管道负压</w:t>
            </w:r>
            <w:r>
              <w:rPr>
                <w:strike w:val="0"/>
                <w:dstrike w:val="0"/>
                <w:color w:val="auto"/>
                <w:szCs w:val="21"/>
              </w:rPr>
              <w:t>收集</w:t>
            </w:r>
            <w:r>
              <w:rPr>
                <w:rFonts w:hint="eastAsia" w:ascii="Times New Roman" w:hAnsi="Times New Roman" w:eastAsia="宋体" w:cs="Times New Roman"/>
                <w:strike w:val="0"/>
                <w:dstrike w:val="0"/>
                <w:color w:val="auto"/>
                <w:szCs w:val="21"/>
                <w:lang w:eastAsia="zh-CN"/>
              </w:rPr>
              <w:t>，</w:t>
            </w:r>
            <w:r>
              <w:rPr>
                <w:rFonts w:hint="eastAsia"/>
                <w:strike w:val="0"/>
                <w:dstrike w:val="0"/>
                <w:color w:val="auto"/>
                <w:szCs w:val="21"/>
                <w:lang w:val="en-US" w:eastAsia="zh-CN"/>
              </w:rPr>
              <w:t>根</w:t>
            </w:r>
            <w:r>
              <w:rPr>
                <w:rFonts w:hint="eastAsia"/>
                <w:strike w:val="0"/>
                <w:dstrike w:val="0"/>
                <w:color w:val="auto"/>
                <w:szCs w:val="21"/>
              </w:rPr>
              <w:t>据</w:t>
            </w:r>
            <w:r>
              <w:rPr>
                <w:rFonts w:hint="eastAsia" w:hAnsi="Times New Roman"/>
                <w:strike w:val="0"/>
                <w:dstrike w:val="0"/>
                <w:color w:val="auto"/>
                <w:spacing w:val="0"/>
                <w:sz w:val="21"/>
                <w:szCs w:val="22"/>
                <w:highlight w:val="none"/>
                <w:lang w:val="en-US" w:eastAsia="zh-CN"/>
              </w:rPr>
              <w:t>《广</w:t>
            </w:r>
            <w:r>
              <w:rPr>
                <w:rFonts w:hint="eastAsia" w:hAnsi="Times New Roman"/>
                <w:strike w:val="0"/>
                <w:color w:val="auto"/>
                <w:spacing w:val="0"/>
                <w:sz w:val="21"/>
                <w:szCs w:val="22"/>
                <w:highlight w:val="none"/>
                <w:lang w:val="en-US" w:eastAsia="zh-CN"/>
              </w:rPr>
              <w:t>东</w:t>
            </w:r>
            <w:r>
              <w:rPr>
                <w:rFonts w:hint="eastAsia" w:hAnsi="Times New Roman"/>
                <w:color w:val="auto"/>
                <w:spacing w:val="0"/>
                <w:sz w:val="21"/>
                <w:szCs w:val="22"/>
                <w:highlight w:val="none"/>
                <w:lang w:val="en-US" w:eastAsia="zh-CN"/>
              </w:rPr>
              <w:t>省工业源挥发性有机物减排量核算方法（2023年修订版）》</w:t>
            </w:r>
            <w:r>
              <w:rPr>
                <w:rFonts w:hint="eastAsia"/>
                <w:color w:val="auto"/>
                <w:spacing w:val="0"/>
                <w:sz w:val="21"/>
                <w:szCs w:val="22"/>
                <w:highlight w:val="none"/>
                <w:lang w:val="en-US" w:eastAsia="zh-CN"/>
              </w:rPr>
              <w:t>，</w:t>
            </w:r>
            <w:r>
              <w:rPr>
                <w:rFonts w:hint="eastAsia"/>
                <w:color w:val="auto"/>
                <w:szCs w:val="21"/>
                <w:lang w:val="en-US" w:eastAsia="zh-CN"/>
              </w:rPr>
              <w:t>“VOCs产生源设置在密闭车间、密闭设备(含反应釜)、密闭管道内，所有开口处，包括人员或物料进出口处呈负压，收集效率可达90%”</w:t>
            </w:r>
            <w:r>
              <w:rPr>
                <w:rFonts w:hint="eastAsia"/>
                <w:color w:val="auto"/>
                <w:szCs w:val="21"/>
                <w:lang w:eastAsia="zh-CN"/>
              </w:rPr>
              <w:t>，</w:t>
            </w:r>
            <w:r>
              <w:rPr>
                <w:rFonts w:hint="eastAsia"/>
                <w:color w:val="auto"/>
                <w:szCs w:val="21"/>
                <w:lang w:val="en-US" w:eastAsia="zh-CN"/>
              </w:rPr>
              <w:t>本项目收集效率取值90%；</w:t>
            </w:r>
            <w:r>
              <w:rPr>
                <w:rFonts w:hint="eastAsia"/>
                <w:color w:val="auto"/>
                <w:szCs w:val="21"/>
              </w:rPr>
              <w:t>面包炉固化废气</w:t>
            </w:r>
            <w:r>
              <w:rPr>
                <w:rFonts w:hint="eastAsia"/>
                <w:color w:val="auto"/>
                <w:szCs w:val="21"/>
                <w:lang w:val="en-US" w:eastAsia="zh-CN"/>
              </w:rPr>
              <w:t>拟通过</w:t>
            </w:r>
            <w:r>
              <w:rPr>
                <w:rFonts w:hint="eastAsia"/>
                <w:color w:val="auto"/>
                <w:szCs w:val="21"/>
              </w:rPr>
              <w:t>一套活性炭吸附处理后有组织排放（G</w:t>
            </w:r>
            <w:r>
              <w:rPr>
                <w:color w:val="auto"/>
                <w:szCs w:val="21"/>
              </w:rPr>
              <w:t>2</w:t>
            </w:r>
            <w:r>
              <w:rPr>
                <w:rFonts w:hint="eastAsia"/>
                <w:color w:val="auto"/>
                <w:szCs w:val="21"/>
              </w:rPr>
              <w:t>），对</w:t>
            </w:r>
            <w:r>
              <w:rPr>
                <w:rFonts w:hint="eastAsia"/>
                <w:color w:val="auto"/>
                <w:lang w:val="en-US" w:eastAsia="zh-CN"/>
              </w:rPr>
              <w:t>TVOC、</w:t>
            </w:r>
            <w:r>
              <w:rPr>
                <w:rFonts w:hint="eastAsia"/>
                <w:color w:val="auto"/>
                <w:szCs w:val="21"/>
              </w:rPr>
              <w:t>非甲烷总烃的处理效率为</w:t>
            </w:r>
            <w:r>
              <w:rPr>
                <w:rFonts w:hint="eastAsia"/>
                <w:color w:val="auto"/>
                <w:szCs w:val="21"/>
                <w:lang w:val="en-US" w:eastAsia="zh-CN"/>
              </w:rPr>
              <w:t>6</w:t>
            </w:r>
            <w:r>
              <w:rPr>
                <w:rFonts w:hint="eastAsia"/>
                <w:color w:val="auto"/>
                <w:szCs w:val="21"/>
              </w:rPr>
              <w:t>0％。</w:t>
            </w:r>
          </w:p>
          <w:p w14:paraId="418264A0">
            <w:pPr>
              <w:spacing w:line="360" w:lineRule="auto"/>
              <w:ind w:firstLine="422" w:firstLineChars="200"/>
              <w:rPr>
                <w:b/>
                <w:color w:val="auto"/>
                <w:szCs w:val="21"/>
                <w:highlight w:val="none"/>
              </w:rPr>
            </w:pPr>
            <w:r>
              <w:rPr>
                <w:b/>
                <w:color w:val="auto"/>
                <w:szCs w:val="21"/>
                <w:highlight w:val="none"/>
              </w:rPr>
              <w:t>风量设计分析：</w:t>
            </w:r>
          </w:p>
          <w:p w14:paraId="616422FD">
            <w:pPr>
              <w:pStyle w:val="108"/>
              <w:ind w:left="210" w:leftChars="0" w:firstLineChars="0"/>
              <w:rPr>
                <w:rFonts w:hint="eastAsia"/>
                <w:b w:val="0"/>
                <w:bCs w:val="0"/>
                <w:color w:val="auto"/>
                <w:sz w:val="24"/>
                <w:szCs w:val="32"/>
                <w:highlight w:val="none"/>
              </w:rPr>
            </w:pPr>
            <w:r>
              <w:rPr>
                <w:rFonts w:hint="eastAsia"/>
                <w:color w:val="auto"/>
                <w:szCs w:val="21"/>
                <w:lang w:val="en-US" w:eastAsia="zh-CN"/>
              </w:rPr>
              <w:t>活性炭吸附</w:t>
            </w:r>
            <w:r>
              <w:rPr>
                <w:rFonts w:hint="eastAsia"/>
                <w:b/>
                <w:bCs/>
                <w:color w:val="auto"/>
                <w:sz w:val="21"/>
                <w:szCs w:val="24"/>
                <w:highlight w:val="none"/>
                <w:lang w:val="en-US" w:eastAsia="zh-CN"/>
              </w:rPr>
              <w:t>装置</w:t>
            </w:r>
            <w:r>
              <w:rPr>
                <w:rFonts w:hint="eastAsia"/>
                <w:b/>
                <w:bCs/>
                <w:color w:val="auto"/>
                <w:sz w:val="21"/>
                <w:szCs w:val="24"/>
                <w:highlight w:val="none"/>
              </w:rPr>
              <w:t>集气设施风机风量核算</w:t>
            </w:r>
            <w:r>
              <w:rPr>
                <w:rFonts w:hint="eastAsia"/>
                <w:b/>
                <w:bCs/>
                <w:color w:val="auto"/>
                <w:sz w:val="21"/>
                <w:szCs w:val="24"/>
                <w:highlight w:val="none"/>
                <w:lang w:val="en-US" w:eastAsia="zh-CN"/>
              </w:rPr>
              <w:t>-G2</w:t>
            </w:r>
          </w:p>
          <w:tbl>
            <w:tblPr>
              <w:tblStyle w:val="35"/>
              <w:tblW w:w="815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26"/>
              <w:gridCol w:w="661"/>
              <w:gridCol w:w="722"/>
              <w:gridCol w:w="850"/>
              <w:gridCol w:w="696"/>
              <w:gridCol w:w="726"/>
              <w:gridCol w:w="11"/>
              <w:gridCol w:w="738"/>
              <w:gridCol w:w="23"/>
              <w:gridCol w:w="763"/>
              <w:gridCol w:w="873"/>
              <w:gridCol w:w="792"/>
              <w:gridCol w:w="575"/>
            </w:tblGrid>
            <w:tr w14:paraId="466A5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6" w:hRule="atLeast"/>
                <w:jc w:val="center"/>
              </w:trPr>
              <w:tc>
                <w:tcPr>
                  <w:tcW w:w="726" w:type="dxa"/>
                  <w:tcBorders>
                    <w:top w:val="single" w:color="000000" w:sz="8" w:space="0"/>
                    <w:left w:val="single" w:color="000000" w:sz="8" w:space="0"/>
                    <w:bottom w:val="single" w:color="000000" w:sz="8" w:space="0"/>
                    <w:right w:val="single" w:color="000000" w:sz="8" w:space="0"/>
                  </w:tcBorders>
                  <w:noWrap w:val="0"/>
                  <w:vAlign w:val="center"/>
                </w:tcPr>
                <w:p w14:paraId="5B8EF97D">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治理设施编号</w:t>
                  </w:r>
                </w:p>
              </w:tc>
              <w:tc>
                <w:tcPr>
                  <w:tcW w:w="661" w:type="dxa"/>
                  <w:tcBorders>
                    <w:top w:val="single" w:color="000000" w:sz="8" w:space="0"/>
                    <w:left w:val="nil"/>
                    <w:bottom w:val="single" w:color="auto" w:sz="4" w:space="0"/>
                    <w:right w:val="single" w:color="000000" w:sz="8" w:space="0"/>
                  </w:tcBorders>
                  <w:noWrap w:val="0"/>
                  <w:vAlign w:val="center"/>
                </w:tcPr>
                <w:p w14:paraId="7F4CEC81">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废气来源</w:t>
                  </w:r>
                </w:p>
              </w:tc>
              <w:tc>
                <w:tcPr>
                  <w:tcW w:w="722" w:type="dxa"/>
                  <w:tcBorders>
                    <w:top w:val="single" w:color="000000" w:sz="8" w:space="0"/>
                    <w:left w:val="nil"/>
                    <w:bottom w:val="single" w:color="auto" w:sz="4" w:space="0"/>
                    <w:right w:val="single" w:color="000000" w:sz="8" w:space="0"/>
                  </w:tcBorders>
                  <w:noWrap w:val="0"/>
                  <w:vAlign w:val="center"/>
                </w:tcPr>
                <w:p w14:paraId="00DFFA6B">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废气收集方式</w:t>
                  </w:r>
                </w:p>
              </w:tc>
              <w:tc>
                <w:tcPr>
                  <w:tcW w:w="850" w:type="dxa"/>
                  <w:tcBorders>
                    <w:top w:val="single" w:color="000000" w:sz="8" w:space="0"/>
                    <w:left w:val="nil"/>
                    <w:bottom w:val="single" w:color="auto" w:sz="4" w:space="0"/>
                    <w:right w:val="single" w:color="000000" w:sz="8" w:space="0"/>
                  </w:tcBorders>
                  <w:noWrap w:val="0"/>
                  <w:vAlign w:val="center"/>
                </w:tcPr>
                <w:p w14:paraId="390233C8">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cs="宋体"/>
                      <w:b/>
                      <w:bCs/>
                      <w:i w:val="0"/>
                      <w:iCs w:val="0"/>
                      <w:color w:val="auto"/>
                      <w:kern w:val="0"/>
                      <w:sz w:val="21"/>
                      <w:szCs w:val="24"/>
                      <w:highlight w:val="none"/>
                      <w:u w:val="none"/>
                      <w:lang w:val="en-US" w:eastAsia="zh-CN" w:bidi="ar"/>
                    </w:rPr>
                    <w:t>产污设备</w:t>
                  </w:r>
                </w:p>
              </w:tc>
              <w:tc>
                <w:tcPr>
                  <w:tcW w:w="696" w:type="dxa"/>
                  <w:tcBorders>
                    <w:top w:val="single" w:color="000000" w:sz="8" w:space="0"/>
                    <w:left w:val="nil"/>
                    <w:bottom w:val="single" w:color="auto" w:sz="4" w:space="0"/>
                    <w:right w:val="single" w:color="000000" w:sz="8" w:space="0"/>
                  </w:tcBorders>
                  <w:noWrap w:val="0"/>
                  <w:vAlign w:val="center"/>
                </w:tcPr>
                <w:p w14:paraId="55562D9B">
                  <w:pPr>
                    <w:keepNext w:val="0"/>
                    <w:keepLines w:val="0"/>
                    <w:widowControl/>
                    <w:suppressLineNumbers w:val="0"/>
                    <w:jc w:val="center"/>
                    <w:textAlignment w:val="center"/>
                    <w:rPr>
                      <w:rFonts w:hint="default" w:ascii="Times New Roman" w:hAnsi="Times New Roman" w:eastAsia="宋体" w:cs="宋体"/>
                      <w:b/>
                      <w:bCs/>
                      <w:i w:val="0"/>
                      <w:iCs w:val="0"/>
                      <w:color w:val="auto"/>
                      <w:sz w:val="21"/>
                      <w:szCs w:val="24"/>
                      <w:highlight w:val="none"/>
                      <w:u w:val="none"/>
                      <w:lang w:val="en-US"/>
                    </w:rPr>
                  </w:pPr>
                  <w:r>
                    <w:rPr>
                      <w:rFonts w:hint="eastAsia" w:cs="宋体"/>
                      <w:b/>
                      <w:bCs/>
                      <w:i w:val="0"/>
                      <w:iCs w:val="0"/>
                      <w:color w:val="auto"/>
                      <w:kern w:val="0"/>
                      <w:sz w:val="21"/>
                      <w:szCs w:val="24"/>
                      <w:highlight w:val="none"/>
                      <w:u w:val="none"/>
                      <w:lang w:val="en-US" w:eastAsia="zh-CN" w:bidi="ar"/>
                    </w:rPr>
                    <w:t>产污设备数量</w:t>
                  </w:r>
                </w:p>
              </w:tc>
              <w:tc>
                <w:tcPr>
                  <w:tcW w:w="726" w:type="dxa"/>
                  <w:tcBorders>
                    <w:top w:val="single" w:color="000000" w:sz="8" w:space="0"/>
                    <w:left w:val="nil"/>
                    <w:bottom w:val="single" w:color="auto" w:sz="4" w:space="0"/>
                    <w:right w:val="single" w:color="000000" w:sz="8" w:space="0"/>
                  </w:tcBorders>
                  <w:noWrap w:val="0"/>
                  <w:vAlign w:val="center"/>
                </w:tcPr>
                <w:p w14:paraId="635D95F3">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cs="宋体"/>
                      <w:b/>
                      <w:bCs/>
                      <w:i w:val="0"/>
                      <w:iCs w:val="0"/>
                      <w:color w:val="auto"/>
                      <w:kern w:val="0"/>
                      <w:sz w:val="21"/>
                      <w:szCs w:val="24"/>
                      <w:highlight w:val="none"/>
                      <w:u w:val="none"/>
                      <w:lang w:val="en-US" w:eastAsia="zh-CN" w:bidi="ar"/>
                    </w:rPr>
                    <w:t>设计风速</w:t>
                  </w:r>
                  <w:r>
                    <w:rPr>
                      <w:rFonts w:hint="default" w:ascii="Times New Roman" w:hAnsi="Times New Roman" w:eastAsia="宋体" w:cs="Times New Roman"/>
                      <w:b/>
                      <w:bCs/>
                      <w:i w:val="0"/>
                      <w:iCs w:val="0"/>
                      <w:color w:val="auto"/>
                      <w:kern w:val="0"/>
                      <w:sz w:val="21"/>
                      <w:szCs w:val="24"/>
                      <w:highlight w:val="none"/>
                      <w:u w:val="none"/>
                      <w:lang w:val="en-US" w:eastAsia="zh-CN" w:bidi="ar"/>
                    </w:rPr>
                    <w:t>m/s</w:t>
                  </w:r>
                </w:p>
              </w:tc>
              <w:tc>
                <w:tcPr>
                  <w:tcW w:w="749" w:type="dxa"/>
                  <w:gridSpan w:val="2"/>
                  <w:tcBorders>
                    <w:top w:val="single" w:color="000000" w:sz="8" w:space="0"/>
                    <w:left w:val="nil"/>
                    <w:bottom w:val="single" w:color="auto" w:sz="4" w:space="0"/>
                    <w:right w:val="single" w:color="000000" w:sz="8" w:space="0"/>
                  </w:tcBorders>
                  <w:noWrap w:val="0"/>
                  <w:vAlign w:val="center"/>
                </w:tcPr>
                <w:p w14:paraId="3664C5AC">
                  <w:pPr>
                    <w:keepNext w:val="0"/>
                    <w:keepLines w:val="0"/>
                    <w:widowControl/>
                    <w:suppressLineNumbers w:val="0"/>
                    <w:jc w:val="center"/>
                    <w:textAlignment w:val="center"/>
                    <w:rPr>
                      <w:rFonts w:hint="default" w:ascii="Times New Roman" w:hAnsi="Times New Roman" w:eastAsia="宋体" w:cs="宋体"/>
                      <w:b/>
                      <w:bCs/>
                      <w:i w:val="0"/>
                      <w:iCs w:val="0"/>
                      <w:color w:val="auto"/>
                      <w:sz w:val="21"/>
                      <w:szCs w:val="24"/>
                      <w:highlight w:val="none"/>
                      <w:u w:val="none"/>
                      <w:lang w:val="en-US" w:eastAsia="zh-CN"/>
                    </w:rPr>
                  </w:pPr>
                  <w:r>
                    <w:rPr>
                      <w:rFonts w:hint="eastAsia" w:cs="宋体"/>
                      <w:b/>
                      <w:bCs/>
                      <w:i w:val="0"/>
                      <w:iCs w:val="0"/>
                      <w:color w:val="auto"/>
                      <w:sz w:val="21"/>
                      <w:szCs w:val="24"/>
                      <w:highlight w:val="none"/>
                      <w:u w:val="none"/>
                      <w:lang w:val="en-US" w:eastAsia="zh-CN"/>
                    </w:rPr>
                    <w:t>集气风管内径（m）</w:t>
                  </w:r>
                </w:p>
              </w:tc>
              <w:tc>
                <w:tcPr>
                  <w:tcW w:w="786" w:type="dxa"/>
                  <w:gridSpan w:val="2"/>
                  <w:tcBorders>
                    <w:top w:val="single" w:color="000000" w:sz="8" w:space="0"/>
                    <w:left w:val="nil"/>
                    <w:bottom w:val="single" w:color="auto" w:sz="4" w:space="0"/>
                    <w:right w:val="single" w:color="000000" w:sz="8" w:space="0"/>
                  </w:tcBorders>
                  <w:noWrap w:val="0"/>
                  <w:vAlign w:val="center"/>
                </w:tcPr>
                <w:p w14:paraId="69BB5A94">
                  <w:pPr>
                    <w:keepNext w:val="0"/>
                    <w:keepLines w:val="0"/>
                    <w:pageBreakBefore w:val="0"/>
                    <w:widowControl/>
                    <w:suppressLineNumbers w:val="0"/>
                    <w:kinsoku w:val="0"/>
                    <w:wordWrap w:val="0"/>
                    <w:overflowPunct/>
                    <w:topLinePunct w:val="0"/>
                    <w:autoSpaceDE/>
                    <w:autoSpaceDN/>
                    <w:bidi w:val="0"/>
                    <w:adjustRightInd/>
                    <w:snapToGrid/>
                    <w:jc w:val="center"/>
                    <w:textAlignment w:val="center"/>
                    <w:rPr>
                      <w:rFonts w:hint="default" w:ascii="Times New Roman" w:hAnsi="Times New Roman" w:eastAsia="宋体" w:cs="宋体"/>
                      <w:b/>
                      <w:bCs/>
                      <w:i w:val="0"/>
                      <w:iCs w:val="0"/>
                      <w:color w:val="auto"/>
                      <w:sz w:val="21"/>
                      <w:szCs w:val="24"/>
                      <w:highlight w:val="none"/>
                      <w:u w:val="none"/>
                      <w:lang w:val="en-US"/>
                    </w:rPr>
                  </w:pPr>
                  <w:r>
                    <w:rPr>
                      <w:rFonts w:hint="eastAsia" w:ascii="Times New Roman" w:hAnsi="Times New Roman" w:eastAsia="宋体" w:cs="宋体"/>
                      <w:b/>
                      <w:bCs/>
                      <w:i w:val="0"/>
                      <w:iCs w:val="0"/>
                      <w:color w:val="auto"/>
                      <w:kern w:val="0"/>
                      <w:sz w:val="21"/>
                      <w:szCs w:val="24"/>
                      <w:highlight w:val="none"/>
                      <w:u w:val="none"/>
                      <w:lang w:val="en-US" w:eastAsia="zh-CN" w:bidi="ar"/>
                    </w:rPr>
                    <w:t>集气</w:t>
                  </w:r>
                  <w:r>
                    <w:rPr>
                      <w:rFonts w:hint="eastAsia" w:cs="宋体"/>
                      <w:b/>
                      <w:bCs/>
                      <w:i w:val="0"/>
                      <w:iCs w:val="0"/>
                      <w:color w:val="auto"/>
                      <w:kern w:val="0"/>
                      <w:sz w:val="21"/>
                      <w:szCs w:val="24"/>
                      <w:highlight w:val="none"/>
                      <w:u w:val="none"/>
                      <w:lang w:val="en-US" w:eastAsia="zh-CN" w:bidi="ar"/>
                    </w:rPr>
                    <w:t>风管</w:t>
                  </w:r>
                  <w:r>
                    <w:rPr>
                      <w:rFonts w:hint="eastAsia" w:ascii="Times New Roman" w:hAnsi="Times New Roman" w:eastAsia="宋体" w:cs="宋体"/>
                      <w:b/>
                      <w:bCs/>
                      <w:i w:val="0"/>
                      <w:iCs w:val="0"/>
                      <w:color w:val="auto"/>
                      <w:kern w:val="0"/>
                      <w:sz w:val="21"/>
                      <w:szCs w:val="24"/>
                      <w:highlight w:val="none"/>
                      <w:u w:val="none"/>
                      <w:lang w:val="en-US" w:eastAsia="zh-CN" w:bidi="ar"/>
                    </w:rPr>
                    <w:t>数量</w:t>
                  </w:r>
                  <w:r>
                    <w:rPr>
                      <w:rFonts w:hint="eastAsia" w:cs="宋体"/>
                      <w:b/>
                      <w:bCs/>
                      <w:i w:val="0"/>
                      <w:iCs w:val="0"/>
                      <w:color w:val="auto"/>
                      <w:kern w:val="0"/>
                      <w:sz w:val="21"/>
                      <w:szCs w:val="24"/>
                      <w:highlight w:val="none"/>
                      <w:u w:val="none"/>
                      <w:lang w:val="en-US" w:eastAsia="zh-CN" w:bidi="ar"/>
                    </w:rPr>
                    <w:t>/条</w:t>
                  </w:r>
                </w:p>
              </w:tc>
              <w:tc>
                <w:tcPr>
                  <w:tcW w:w="873" w:type="dxa"/>
                  <w:tcBorders>
                    <w:top w:val="single" w:color="000000" w:sz="8" w:space="0"/>
                    <w:left w:val="nil"/>
                    <w:bottom w:val="single" w:color="auto" w:sz="4" w:space="0"/>
                    <w:right w:val="single" w:color="000000" w:sz="8" w:space="0"/>
                  </w:tcBorders>
                  <w:noWrap w:val="0"/>
                  <w:vAlign w:val="center"/>
                </w:tcPr>
                <w:p w14:paraId="49566C50">
                  <w:pPr>
                    <w:keepNext w:val="0"/>
                    <w:keepLines w:val="0"/>
                    <w:pageBreakBefore w:val="0"/>
                    <w:widowControl/>
                    <w:suppressLineNumbers w:val="0"/>
                    <w:kinsoku w:val="0"/>
                    <w:wordWrap w:val="0"/>
                    <w:overflowPunct/>
                    <w:topLinePunct w:val="0"/>
                    <w:autoSpaceDE/>
                    <w:autoSpaceDN/>
                    <w:bidi w:val="0"/>
                    <w:adjustRightInd/>
                    <w:snapToGrid/>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理论风量</w:t>
                  </w:r>
                  <w:r>
                    <w:rPr>
                      <w:rFonts w:hint="default" w:ascii="Times New Roman" w:hAnsi="Times New Roman" w:eastAsia="宋体" w:cs="Times New Roman"/>
                      <w:b/>
                      <w:bCs/>
                      <w:i w:val="0"/>
                      <w:iCs w:val="0"/>
                      <w:color w:val="auto"/>
                      <w:kern w:val="0"/>
                      <w:sz w:val="21"/>
                      <w:szCs w:val="24"/>
                      <w:highlight w:val="none"/>
                      <w:u w:val="none"/>
                      <w:lang w:val="en-US" w:eastAsia="zh-CN" w:bidi="ar"/>
                    </w:rPr>
                    <w:t>m³/h</w:t>
                  </w:r>
                </w:p>
              </w:tc>
              <w:tc>
                <w:tcPr>
                  <w:tcW w:w="792" w:type="dxa"/>
                  <w:tcBorders>
                    <w:top w:val="single" w:color="000000" w:sz="8" w:space="0"/>
                    <w:left w:val="nil"/>
                    <w:bottom w:val="single" w:color="auto" w:sz="4" w:space="0"/>
                    <w:right w:val="single" w:color="000000" w:sz="8" w:space="0"/>
                  </w:tcBorders>
                  <w:noWrap w:val="0"/>
                  <w:vAlign w:val="center"/>
                </w:tcPr>
                <w:p w14:paraId="57A4A068">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理论总风量</w:t>
                  </w:r>
                  <w:r>
                    <w:rPr>
                      <w:rFonts w:hint="default" w:ascii="Times New Roman" w:hAnsi="Times New Roman" w:eastAsia="宋体" w:cs="Times New Roman"/>
                      <w:b/>
                      <w:bCs/>
                      <w:i w:val="0"/>
                      <w:iCs w:val="0"/>
                      <w:color w:val="auto"/>
                      <w:kern w:val="0"/>
                      <w:sz w:val="21"/>
                      <w:szCs w:val="24"/>
                      <w:highlight w:val="none"/>
                      <w:u w:val="none"/>
                      <w:lang w:val="en-US" w:eastAsia="zh-CN" w:bidi="ar"/>
                    </w:rPr>
                    <w:t>m³/h</w:t>
                  </w:r>
                </w:p>
              </w:tc>
              <w:tc>
                <w:tcPr>
                  <w:tcW w:w="575" w:type="dxa"/>
                  <w:tcBorders>
                    <w:top w:val="single" w:color="000000" w:sz="8" w:space="0"/>
                    <w:left w:val="nil"/>
                    <w:bottom w:val="single" w:color="000000" w:sz="8" w:space="0"/>
                    <w:right w:val="single" w:color="000000" w:sz="8" w:space="0"/>
                  </w:tcBorders>
                  <w:noWrap w:val="0"/>
                  <w:vAlign w:val="center"/>
                </w:tcPr>
                <w:p w14:paraId="2ADF45BC">
                  <w:pPr>
                    <w:keepNext w:val="0"/>
                    <w:keepLines w:val="0"/>
                    <w:widowControl/>
                    <w:suppressLineNumbers w:val="0"/>
                    <w:jc w:val="center"/>
                    <w:textAlignment w:val="center"/>
                    <w:rPr>
                      <w:rFonts w:hint="eastAsia" w:ascii="Times New Roman" w:hAnsi="Times New Roman" w:eastAsia="宋体" w:cs="宋体"/>
                      <w:b/>
                      <w:bCs/>
                      <w:i w:val="0"/>
                      <w:iCs w:val="0"/>
                      <w:color w:val="auto"/>
                      <w:sz w:val="21"/>
                      <w:szCs w:val="24"/>
                      <w:highlight w:val="none"/>
                      <w:u w:val="none"/>
                    </w:rPr>
                  </w:pPr>
                  <w:r>
                    <w:rPr>
                      <w:rFonts w:hint="eastAsia" w:ascii="Times New Roman" w:hAnsi="Times New Roman" w:eastAsia="宋体" w:cs="宋体"/>
                      <w:b/>
                      <w:bCs/>
                      <w:i w:val="0"/>
                      <w:iCs w:val="0"/>
                      <w:color w:val="auto"/>
                      <w:kern w:val="0"/>
                      <w:sz w:val="21"/>
                      <w:szCs w:val="24"/>
                      <w:highlight w:val="none"/>
                      <w:u w:val="none"/>
                      <w:lang w:val="en-US" w:eastAsia="zh-CN" w:bidi="ar"/>
                    </w:rPr>
                    <w:t>合理性</w:t>
                  </w:r>
                </w:p>
              </w:tc>
            </w:tr>
            <w:tr w14:paraId="320A7E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4" w:hRule="atLeast"/>
                <w:jc w:val="center"/>
              </w:trPr>
              <w:tc>
                <w:tcPr>
                  <w:tcW w:w="726" w:type="dxa"/>
                  <w:vMerge w:val="restart"/>
                  <w:tcBorders>
                    <w:top w:val="single" w:color="auto" w:sz="4" w:space="0"/>
                    <w:left w:val="single" w:color="auto" w:sz="4" w:space="0"/>
                    <w:right w:val="single" w:color="auto" w:sz="4" w:space="0"/>
                  </w:tcBorders>
                  <w:noWrap w:val="0"/>
                  <w:vAlign w:val="center"/>
                </w:tcPr>
                <w:p w14:paraId="77EB6C78">
                  <w:pPr>
                    <w:keepNext w:val="0"/>
                    <w:keepLines w:val="0"/>
                    <w:widowControl/>
                    <w:suppressLineNumbers w:val="0"/>
                    <w:jc w:val="center"/>
                    <w:textAlignment w:val="center"/>
                    <w:rPr>
                      <w:rFonts w:hint="default" w:ascii="Times New Roman" w:hAnsi="Times New Roman" w:eastAsia="宋体"/>
                      <w:color w:val="auto"/>
                      <w:sz w:val="21"/>
                      <w:szCs w:val="24"/>
                      <w:lang w:val="en-US" w:eastAsia="zh-CN"/>
                    </w:rPr>
                  </w:pPr>
                  <w:r>
                    <w:rPr>
                      <w:rFonts w:hint="eastAsia" w:ascii="Times New Roman" w:hAnsi="Times New Roman" w:eastAsia="宋体"/>
                      <w:color w:val="auto"/>
                      <w:sz w:val="21"/>
                      <w:szCs w:val="24"/>
                      <w:lang w:val="en-US" w:eastAsia="zh-CN"/>
                    </w:rPr>
                    <w:t>G2</w:t>
                  </w:r>
                </w:p>
              </w:tc>
              <w:tc>
                <w:tcPr>
                  <w:tcW w:w="661" w:type="dxa"/>
                  <w:tcBorders>
                    <w:top w:val="single" w:color="auto" w:sz="4" w:space="0"/>
                    <w:left w:val="single" w:color="auto" w:sz="4" w:space="0"/>
                    <w:right w:val="single" w:color="000000" w:sz="8" w:space="0"/>
                  </w:tcBorders>
                  <w:noWrap w:val="0"/>
                  <w:vAlign w:val="center"/>
                </w:tcPr>
                <w:p w14:paraId="01D9C9B5">
                  <w:pPr>
                    <w:keepNext w:val="0"/>
                    <w:keepLines w:val="0"/>
                    <w:widowControl/>
                    <w:suppressLineNumbers w:val="0"/>
                    <w:jc w:val="center"/>
                    <w:textAlignment w:val="center"/>
                    <w:rPr>
                      <w:rFonts w:hint="eastAsia" w:ascii="Times New Roman" w:hAnsi="Times New Roman" w:eastAsia="宋体" w:cs="宋体"/>
                      <w:i w:val="0"/>
                      <w:iCs w:val="0"/>
                      <w:color w:val="auto"/>
                      <w:sz w:val="21"/>
                      <w:szCs w:val="24"/>
                      <w:highlight w:val="none"/>
                      <w:u w:val="none"/>
                      <w:lang w:val="en-US" w:eastAsia="zh-CN"/>
                    </w:rPr>
                  </w:pPr>
                  <w:r>
                    <w:rPr>
                      <w:rFonts w:hint="eastAsia" w:ascii="Times New Roman" w:hAnsi="Times New Roman" w:eastAsia="宋体"/>
                      <w:b/>
                      <w:color w:val="auto"/>
                      <w:sz w:val="21"/>
                      <w:szCs w:val="21"/>
                      <w:highlight w:val="none"/>
                    </w:rPr>
                    <w:t>手动线固化</w:t>
                  </w:r>
                  <w:r>
                    <w:rPr>
                      <w:rFonts w:hint="eastAsia" w:ascii="Times New Roman" w:hAnsi="Times New Roman" w:eastAsia="宋体"/>
                      <w:b/>
                      <w:color w:val="auto"/>
                      <w:sz w:val="21"/>
                      <w:szCs w:val="21"/>
                      <w:highlight w:val="none"/>
                      <w:lang w:val="en-US" w:eastAsia="zh-CN"/>
                    </w:rPr>
                    <w:t>工序</w:t>
                  </w:r>
                </w:p>
              </w:tc>
              <w:tc>
                <w:tcPr>
                  <w:tcW w:w="722" w:type="dxa"/>
                  <w:tcBorders>
                    <w:top w:val="single" w:color="auto" w:sz="4" w:space="0"/>
                    <w:left w:val="nil"/>
                    <w:bottom w:val="single" w:color="auto" w:sz="4" w:space="0"/>
                    <w:right w:val="single" w:color="000000" w:sz="8" w:space="0"/>
                  </w:tcBorders>
                  <w:noWrap w:val="0"/>
                  <w:vAlign w:val="center"/>
                </w:tcPr>
                <w:p w14:paraId="0FF2623F">
                  <w:pPr>
                    <w:keepNext w:val="0"/>
                    <w:keepLines w:val="0"/>
                    <w:widowControl/>
                    <w:suppressLineNumbers w:val="0"/>
                    <w:jc w:val="center"/>
                    <w:textAlignment w:val="center"/>
                    <w:rPr>
                      <w:rFonts w:hint="default" w:ascii="Times New Roman" w:hAnsi="Times New Roman" w:eastAsia="宋体" w:cs="宋体"/>
                      <w:i w:val="0"/>
                      <w:iCs w:val="0"/>
                      <w:color w:val="auto"/>
                      <w:kern w:val="0"/>
                      <w:sz w:val="21"/>
                      <w:szCs w:val="24"/>
                      <w:highlight w:val="none"/>
                      <w:u w:val="none"/>
                      <w:lang w:val="en-US" w:eastAsia="zh-CN" w:bidi="ar"/>
                    </w:rPr>
                  </w:pPr>
                  <w:r>
                    <w:rPr>
                      <w:rFonts w:hint="eastAsia" w:ascii="Times New Roman" w:hAnsi="Times New Roman" w:eastAsia="宋体" w:cs="宋体"/>
                      <w:i w:val="0"/>
                      <w:iCs w:val="0"/>
                      <w:color w:val="auto"/>
                      <w:kern w:val="0"/>
                      <w:sz w:val="21"/>
                      <w:szCs w:val="24"/>
                      <w:highlight w:val="none"/>
                      <w:u w:val="none"/>
                      <w:lang w:val="en-US" w:eastAsia="zh-CN" w:bidi="ar"/>
                    </w:rPr>
                    <w:t>密闭管道收集</w:t>
                  </w:r>
                </w:p>
              </w:tc>
              <w:tc>
                <w:tcPr>
                  <w:tcW w:w="850" w:type="dxa"/>
                  <w:tcBorders>
                    <w:top w:val="single" w:color="auto" w:sz="4" w:space="0"/>
                    <w:left w:val="nil"/>
                    <w:right w:val="single" w:color="auto" w:sz="4" w:space="0"/>
                  </w:tcBorders>
                  <w:noWrap w:val="0"/>
                  <w:vAlign w:val="center"/>
                </w:tcPr>
                <w:p w14:paraId="04005FC0">
                  <w:pPr>
                    <w:keepNext w:val="0"/>
                    <w:keepLines w:val="0"/>
                    <w:widowControl/>
                    <w:suppressLineNumbers w:val="0"/>
                    <w:jc w:val="center"/>
                    <w:textAlignment w:val="center"/>
                    <w:rPr>
                      <w:rFonts w:hint="default" w:ascii="Times New Roman" w:hAnsi="Times New Roman" w:eastAsia="宋体" w:cs="Times New Roman"/>
                      <w:i w:val="0"/>
                      <w:iCs w:val="0"/>
                      <w:strike w:val="0"/>
                      <w:dstrike w:val="0"/>
                      <w:color w:val="auto"/>
                      <w:sz w:val="21"/>
                      <w:szCs w:val="24"/>
                      <w:highlight w:val="none"/>
                      <w:u w:val="none"/>
                      <w:lang w:val="en-US" w:eastAsia="zh-CN"/>
                    </w:rPr>
                  </w:pPr>
                  <w:r>
                    <w:rPr>
                      <w:rFonts w:hint="eastAsia" w:cs="Times New Roman"/>
                      <w:i w:val="0"/>
                      <w:iCs w:val="0"/>
                      <w:color w:val="auto"/>
                      <w:kern w:val="0"/>
                      <w:sz w:val="21"/>
                      <w:szCs w:val="24"/>
                      <w:highlight w:val="none"/>
                      <w:u w:val="none"/>
                      <w:lang w:val="en-US" w:eastAsia="zh-CN" w:bidi="ar"/>
                    </w:rPr>
                    <w:t>面包炉</w:t>
                  </w:r>
                </w:p>
              </w:tc>
              <w:tc>
                <w:tcPr>
                  <w:tcW w:w="696" w:type="dxa"/>
                  <w:tcBorders>
                    <w:top w:val="single" w:color="auto" w:sz="4" w:space="0"/>
                    <w:left w:val="nil"/>
                    <w:right w:val="single" w:color="auto" w:sz="4" w:space="0"/>
                  </w:tcBorders>
                  <w:noWrap w:val="0"/>
                  <w:vAlign w:val="center"/>
                </w:tcPr>
                <w:p w14:paraId="1CBE443F">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eastAsia" w:cs="Times New Roman"/>
                      <w:i w:val="0"/>
                      <w:iCs w:val="0"/>
                      <w:color w:val="auto"/>
                      <w:kern w:val="0"/>
                      <w:sz w:val="21"/>
                      <w:szCs w:val="24"/>
                      <w:highlight w:val="none"/>
                      <w:u w:val="none"/>
                      <w:lang w:val="en-US" w:eastAsia="zh-CN" w:bidi="ar"/>
                    </w:rPr>
                    <w:t>1台</w:t>
                  </w:r>
                </w:p>
              </w:tc>
              <w:tc>
                <w:tcPr>
                  <w:tcW w:w="737" w:type="dxa"/>
                  <w:gridSpan w:val="2"/>
                  <w:tcBorders>
                    <w:top w:val="single" w:color="auto" w:sz="4" w:space="0"/>
                    <w:left w:val="nil"/>
                    <w:right w:val="single" w:color="auto" w:sz="4" w:space="0"/>
                  </w:tcBorders>
                  <w:noWrap w:val="0"/>
                  <w:vAlign w:val="center"/>
                </w:tcPr>
                <w:p w14:paraId="41D4DD8A">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eastAsia" w:cs="Times New Roman"/>
                      <w:i w:val="0"/>
                      <w:iCs w:val="0"/>
                      <w:color w:val="auto"/>
                      <w:kern w:val="0"/>
                      <w:sz w:val="21"/>
                      <w:szCs w:val="24"/>
                      <w:highlight w:val="none"/>
                      <w:u w:val="none"/>
                      <w:lang w:val="en-US" w:eastAsia="zh-CN" w:bidi="ar"/>
                    </w:rPr>
                    <w:t>11</w:t>
                  </w:r>
                </w:p>
              </w:tc>
              <w:tc>
                <w:tcPr>
                  <w:tcW w:w="761" w:type="dxa"/>
                  <w:gridSpan w:val="2"/>
                  <w:tcBorders>
                    <w:top w:val="single" w:color="auto" w:sz="4" w:space="0"/>
                    <w:left w:val="nil"/>
                    <w:right w:val="single" w:color="auto" w:sz="4" w:space="0"/>
                  </w:tcBorders>
                  <w:noWrap w:val="0"/>
                  <w:vAlign w:val="center"/>
                </w:tcPr>
                <w:p w14:paraId="33DD5ED2">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eastAsia" w:cs="Times New Roman"/>
                      <w:i w:val="0"/>
                      <w:iCs w:val="0"/>
                      <w:color w:val="auto"/>
                      <w:kern w:val="0"/>
                      <w:sz w:val="21"/>
                      <w:szCs w:val="24"/>
                      <w:highlight w:val="none"/>
                      <w:u w:val="none"/>
                      <w:lang w:val="en-US" w:eastAsia="zh-CN" w:bidi="ar"/>
                    </w:rPr>
                    <w:t>0.3</w:t>
                  </w:r>
                </w:p>
              </w:tc>
              <w:tc>
                <w:tcPr>
                  <w:tcW w:w="763" w:type="dxa"/>
                  <w:tcBorders>
                    <w:top w:val="single" w:color="auto" w:sz="4" w:space="0"/>
                    <w:left w:val="nil"/>
                    <w:right w:val="single" w:color="auto" w:sz="4" w:space="0"/>
                  </w:tcBorders>
                  <w:noWrap w:val="0"/>
                  <w:vAlign w:val="center"/>
                </w:tcPr>
                <w:p w14:paraId="162312D1">
                  <w:pPr>
                    <w:keepNext w:val="0"/>
                    <w:keepLines w:val="0"/>
                    <w:widowControl/>
                    <w:suppressLineNumbers w:val="0"/>
                    <w:jc w:val="center"/>
                    <w:textAlignment w:val="center"/>
                    <w:rPr>
                      <w:rFonts w:hint="default" w:ascii="Times New Roman" w:hAnsi="Times New Roman" w:eastAsia="宋体" w:cs="Times New Roman"/>
                      <w:strike w:val="0"/>
                      <w:dstrike w:val="0"/>
                      <w:color w:val="auto"/>
                      <w:sz w:val="21"/>
                      <w:szCs w:val="21"/>
                      <w:highlight w:val="none"/>
                      <w:lang w:val="en-US" w:eastAsia="zh-CN"/>
                    </w:rPr>
                  </w:pPr>
                  <w:r>
                    <w:rPr>
                      <w:rFonts w:hint="eastAsia" w:cs="Times New Roman"/>
                      <w:i w:val="0"/>
                      <w:iCs w:val="0"/>
                      <w:color w:val="auto"/>
                      <w:kern w:val="0"/>
                      <w:sz w:val="21"/>
                      <w:szCs w:val="24"/>
                      <w:highlight w:val="none"/>
                      <w:u w:val="none"/>
                      <w:lang w:val="en-US" w:eastAsia="zh-CN" w:bidi="ar"/>
                    </w:rPr>
                    <w:t>1</w:t>
                  </w:r>
                </w:p>
              </w:tc>
              <w:tc>
                <w:tcPr>
                  <w:tcW w:w="873" w:type="dxa"/>
                  <w:tcBorders>
                    <w:top w:val="single" w:color="auto" w:sz="4" w:space="0"/>
                    <w:left w:val="single" w:color="auto" w:sz="4" w:space="0"/>
                    <w:bottom w:val="single" w:color="auto" w:sz="4" w:space="0"/>
                    <w:right w:val="single" w:color="auto" w:sz="4" w:space="0"/>
                  </w:tcBorders>
                  <w:noWrap w:val="0"/>
                  <w:vAlign w:val="center"/>
                </w:tcPr>
                <w:p w14:paraId="0FD5B74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4"/>
                      <w:highlight w:val="none"/>
                      <w:u w:val="none"/>
                      <w:lang w:val="en-US" w:eastAsia="zh-CN" w:bidi="ar-SA"/>
                    </w:rPr>
                  </w:pPr>
                  <w:r>
                    <w:rPr>
                      <w:rFonts w:hint="eastAsia" w:cs="Times New Roman"/>
                      <w:color w:val="auto"/>
                      <w:sz w:val="21"/>
                      <w:szCs w:val="21"/>
                      <w:highlight w:val="none"/>
                      <w:u w:val="none"/>
                      <w:lang w:val="en-US" w:eastAsia="zh-CN"/>
                    </w:rPr>
                    <w:t>2797.74</w:t>
                  </w:r>
                </w:p>
              </w:tc>
              <w:tc>
                <w:tcPr>
                  <w:tcW w:w="792" w:type="dxa"/>
                  <w:vMerge w:val="restart"/>
                  <w:tcBorders>
                    <w:top w:val="single" w:color="auto" w:sz="4" w:space="0"/>
                    <w:left w:val="single" w:color="auto" w:sz="4" w:space="0"/>
                    <w:right w:val="single" w:color="auto" w:sz="4" w:space="0"/>
                  </w:tcBorders>
                  <w:noWrap w:val="0"/>
                  <w:vAlign w:val="center"/>
                </w:tcPr>
                <w:p w14:paraId="360E8D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4"/>
                      <w:highlight w:val="none"/>
                      <w:u w:val="none"/>
                      <w:lang w:val="en-US" w:eastAsia="zh-CN"/>
                    </w:rPr>
                  </w:pPr>
                  <w:r>
                    <w:rPr>
                      <w:rFonts w:hint="eastAsia" w:cs="Times New Roman"/>
                      <w:i w:val="0"/>
                      <w:iCs w:val="0"/>
                      <w:color w:val="auto"/>
                      <w:sz w:val="21"/>
                      <w:szCs w:val="24"/>
                      <w:highlight w:val="none"/>
                      <w:u w:val="none"/>
                      <w:lang w:val="en-US" w:eastAsia="zh-CN"/>
                    </w:rPr>
                    <w:t>5595.48</w:t>
                  </w:r>
                </w:p>
              </w:tc>
              <w:tc>
                <w:tcPr>
                  <w:tcW w:w="575" w:type="dxa"/>
                  <w:vMerge w:val="restart"/>
                  <w:tcBorders>
                    <w:top w:val="single" w:color="auto" w:sz="4" w:space="0"/>
                    <w:left w:val="single" w:color="auto" w:sz="4" w:space="0"/>
                    <w:right w:val="single" w:color="auto" w:sz="4" w:space="0"/>
                  </w:tcBorders>
                  <w:noWrap w:val="0"/>
                  <w:vAlign w:val="center"/>
                </w:tcPr>
                <w:p w14:paraId="3DB94BD7">
                  <w:pPr>
                    <w:keepNext w:val="0"/>
                    <w:keepLines w:val="0"/>
                    <w:widowControl/>
                    <w:suppressLineNumbers w:val="0"/>
                    <w:jc w:val="center"/>
                    <w:textAlignment w:val="center"/>
                    <w:rPr>
                      <w:rFonts w:hint="default" w:ascii="Times New Roman" w:hAnsi="Times New Roman" w:eastAsia="宋体" w:cs="宋体"/>
                      <w:i w:val="0"/>
                      <w:iCs w:val="0"/>
                      <w:color w:val="auto"/>
                      <w:sz w:val="21"/>
                      <w:szCs w:val="24"/>
                      <w:highlight w:val="none"/>
                      <w:u w:val="none"/>
                      <w:lang w:val="en-US" w:eastAsia="zh-CN"/>
                    </w:rPr>
                  </w:pPr>
                  <w:r>
                    <w:rPr>
                      <w:rFonts w:hint="eastAsia" w:ascii="Times New Roman" w:hAnsi="Times New Roman" w:eastAsia="宋体" w:cs="宋体"/>
                      <w:i w:val="0"/>
                      <w:iCs w:val="0"/>
                      <w:color w:val="auto"/>
                      <w:sz w:val="21"/>
                      <w:szCs w:val="24"/>
                      <w:highlight w:val="none"/>
                      <w:u w:val="none"/>
                      <w:lang w:val="en-US" w:eastAsia="zh-CN"/>
                    </w:rPr>
                    <w:t>合理</w:t>
                  </w:r>
                </w:p>
              </w:tc>
            </w:tr>
            <w:tr w14:paraId="6689B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3" w:hRule="atLeast"/>
                <w:jc w:val="center"/>
              </w:trPr>
              <w:tc>
                <w:tcPr>
                  <w:tcW w:w="726" w:type="dxa"/>
                  <w:vMerge w:val="continue"/>
                  <w:tcBorders>
                    <w:top w:val="single" w:color="auto" w:sz="4" w:space="0"/>
                    <w:left w:val="single" w:color="auto" w:sz="4" w:space="0"/>
                    <w:bottom w:val="single" w:color="auto" w:sz="4" w:space="0"/>
                    <w:right w:val="single" w:color="auto" w:sz="4" w:space="0"/>
                  </w:tcBorders>
                  <w:noWrap w:val="0"/>
                  <w:vAlign w:val="center"/>
                </w:tcPr>
                <w:p w14:paraId="39E4FA83">
                  <w:pPr>
                    <w:keepNext w:val="0"/>
                    <w:keepLines w:val="0"/>
                    <w:widowControl/>
                    <w:suppressLineNumbers w:val="0"/>
                    <w:jc w:val="center"/>
                    <w:textAlignment w:val="center"/>
                    <w:rPr>
                      <w:rFonts w:ascii="Times New Roman" w:hAnsi="Times New Roman" w:eastAsia="宋体"/>
                      <w:color w:val="auto"/>
                      <w:sz w:val="21"/>
                      <w:szCs w:val="24"/>
                    </w:rPr>
                  </w:pPr>
                </w:p>
              </w:tc>
              <w:tc>
                <w:tcPr>
                  <w:tcW w:w="661" w:type="dxa"/>
                  <w:tcBorders>
                    <w:top w:val="single" w:color="auto" w:sz="4" w:space="0"/>
                    <w:left w:val="single" w:color="auto" w:sz="4" w:space="0"/>
                    <w:right w:val="single" w:color="auto" w:sz="4" w:space="0"/>
                  </w:tcBorders>
                  <w:noWrap w:val="0"/>
                  <w:vAlign w:val="center"/>
                </w:tcPr>
                <w:p w14:paraId="5377CA4E">
                  <w:pPr>
                    <w:keepNext w:val="0"/>
                    <w:keepLines w:val="0"/>
                    <w:widowControl/>
                    <w:suppressLineNumbers w:val="0"/>
                    <w:jc w:val="center"/>
                    <w:textAlignment w:val="center"/>
                    <w:rPr>
                      <w:rFonts w:hint="default" w:ascii="Times New Roman" w:hAnsi="Times New Roman" w:eastAsia="宋体" w:cs="宋体"/>
                      <w:i w:val="0"/>
                      <w:iCs w:val="0"/>
                      <w:color w:val="auto"/>
                      <w:sz w:val="21"/>
                      <w:szCs w:val="24"/>
                      <w:highlight w:val="none"/>
                      <w:u w:val="none"/>
                      <w:lang w:val="en-US" w:eastAsia="zh-CN"/>
                    </w:rPr>
                  </w:pPr>
                  <w:r>
                    <w:rPr>
                      <w:rFonts w:hint="eastAsia" w:ascii="Times New Roman" w:hAnsi="Times New Roman" w:eastAsia="宋体"/>
                      <w:b/>
                      <w:color w:val="auto"/>
                      <w:sz w:val="21"/>
                      <w:szCs w:val="21"/>
                      <w:highlight w:val="none"/>
                      <w:lang w:val="en-US" w:eastAsia="zh-CN"/>
                    </w:rPr>
                    <w:t>自</w:t>
                  </w:r>
                  <w:r>
                    <w:rPr>
                      <w:rFonts w:hint="eastAsia" w:ascii="Times New Roman" w:hAnsi="Times New Roman" w:eastAsia="宋体"/>
                      <w:b/>
                      <w:color w:val="auto"/>
                      <w:sz w:val="21"/>
                      <w:szCs w:val="21"/>
                      <w:highlight w:val="none"/>
                    </w:rPr>
                    <w:t>动线固化</w:t>
                  </w:r>
                  <w:r>
                    <w:rPr>
                      <w:rFonts w:hint="eastAsia" w:ascii="Times New Roman" w:hAnsi="Times New Roman" w:eastAsia="宋体"/>
                      <w:b/>
                      <w:color w:val="auto"/>
                      <w:sz w:val="21"/>
                      <w:szCs w:val="21"/>
                      <w:highlight w:val="none"/>
                      <w:lang w:val="en-US" w:eastAsia="zh-CN"/>
                    </w:rPr>
                    <w:t>工序</w:t>
                  </w:r>
                </w:p>
              </w:tc>
              <w:tc>
                <w:tcPr>
                  <w:tcW w:w="722" w:type="dxa"/>
                  <w:tcBorders>
                    <w:top w:val="single" w:color="auto" w:sz="4" w:space="0"/>
                    <w:left w:val="single" w:color="auto" w:sz="4" w:space="0"/>
                    <w:bottom w:val="single" w:color="auto" w:sz="4" w:space="0"/>
                    <w:right w:val="single" w:color="auto" w:sz="4" w:space="0"/>
                  </w:tcBorders>
                  <w:noWrap w:val="0"/>
                  <w:vAlign w:val="center"/>
                </w:tcPr>
                <w:p w14:paraId="54964F7C">
                  <w:pPr>
                    <w:keepNext w:val="0"/>
                    <w:keepLines w:val="0"/>
                    <w:widowControl/>
                    <w:suppressLineNumbers w:val="0"/>
                    <w:jc w:val="center"/>
                    <w:textAlignment w:val="center"/>
                    <w:rPr>
                      <w:rFonts w:hint="eastAsia" w:ascii="Times New Roman" w:hAnsi="Times New Roman" w:eastAsia="宋体" w:cs="宋体"/>
                      <w:i w:val="0"/>
                      <w:iCs w:val="0"/>
                      <w:color w:val="auto"/>
                      <w:kern w:val="0"/>
                      <w:sz w:val="21"/>
                      <w:szCs w:val="24"/>
                      <w:highlight w:val="none"/>
                      <w:u w:val="none"/>
                      <w:lang w:val="en-US" w:eastAsia="zh-CN" w:bidi="ar"/>
                    </w:rPr>
                  </w:pPr>
                  <w:r>
                    <w:rPr>
                      <w:rFonts w:hint="eastAsia"/>
                      <w:b/>
                      <w:bCs/>
                      <w:color w:val="auto"/>
                      <w:highlight w:val="none"/>
                      <w:lang w:val="en-US" w:eastAsia="zh-CN"/>
                    </w:rPr>
                    <w:t>设备</w:t>
                  </w:r>
                  <w:r>
                    <w:rPr>
                      <w:rFonts w:hint="eastAsia"/>
                      <w:b/>
                      <w:bCs/>
                      <w:color w:val="auto"/>
                      <w:spacing w:val="4"/>
                      <w:sz w:val="21"/>
                      <w:szCs w:val="24"/>
                      <w:highlight w:val="none"/>
                      <w:lang w:val="en-US" w:eastAsia="zh-CN"/>
                    </w:rPr>
                    <w:t>管道直连</w:t>
                  </w:r>
                  <w:r>
                    <w:rPr>
                      <w:rFonts w:hint="eastAsia" w:ascii="Times New Roman" w:hAnsi="Times New Roman" w:eastAsia="宋体"/>
                      <w:b/>
                      <w:bCs/>
                      <w:color w:val="auto"/>
                      <w:highlight w:val="none"/>
                      <w:lang w:val="en-US" w:eastAsia="zh-CN"/>
                    </w:rPr>
                    <w:t>收集</w:t>
                  </w:r>
                </w:p>
              </w:tc>
              <w:tc>
                <w:tcPr>
                  <w:tcW w:w="850" w:type="dxa"/>
                  <w:tcBorders>
                    <w:top w:val="single" w:color="auto" w:sz="4" w:space="0"/>
                    <w:left w:val="single" w:color="auto" w:sz="4" w:space="0"/>
                    <w:right w:val="single" w:color="auto" w:sz="4" w:space="0"/>
                  </w:tcBorders>
                  <w:noWrap w:val="0"/>
                  <w:vAlign w:val="center"/>
                </w:tcPr>
                <w:p w14:paraId="04AC409E">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leftChars="0"/>
                    <w:jc w:val="left"/>
                    <w:textAlignment w:val="auto"/>
                    <w:rPr>
                      <w:rFonts w:hint="default" w:ascii="Times New Roman" w:hAnsi="Times New Roman" w:eastAsia="宋体" w:cs="Times New Roman"/>
                      <w:i w:val="0"/>
                      <w:iCs w:val="0"/>
                      <w:strike w:val="0"/>
                      <w:dstrike w:val="0"/>
                      <w:color w:val="auto"/>
                      <w:kern w:val="0"/>
                      <w:sz w:val="21"/>
                      <w:szCs w:val="24"/>
                      <w:highlight w:val="none"/>
                      <w:u w:val="none"/>
                      <w:lang w:val="en-US" w:eastAsia="zh-CN" w:bidi="ar"/>
                    </w:rPr>
                  </w:pPr>
                  <w:r>
                    <w:rPr>
                      <w:rFonts w:hint="eastAsia"/>
                      <w:color w:val="auto"/>
                      <w:highlight w:val="none"/>
                      <w:lang w:val="en-US"/>
                    </w:rPr>
                    <w:t>烘干线+固化线（一体线）</w:t>
                  </w:r>
                </w:p>
              </w:tc>
              <w:tc>
                <w:tcPr>
                  <w:tcW w:w="696" w:type="dxa"/>
                  <w:tcBorders>
                    <w:top w:val="single" w:color="auto" w:sz="4" w:space="0"/>
                    <w:left w:val="single" w:color="auto" w:sz="4" w:space="0"/>
                    <w:right w:val="single" w:color="auto" w:sz="4" w:space="0"/>
                  </w:tcBorders>
                  <w:noWrap w:val="0"/>
                  <w:vAlign w:val="center"/>
                </w:tcPr>
                <w:p w14:paraId="2C40D679">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leftChars="0"/>
                    <w:jc w:val="left"/>
                    <w:textAlignment w:val="auto"/>
                    <w:rPr>
                      <w:rFonts w:hint="default" w:ascii="Times New Roman" w:hAnsi="Times New Roman" w:eastAsia="宋体" w:cs="Times New Roman"/>
                      <w:strike w:val="0"/>
                      <w:dstrike w:val="0"/>
                      <w:color w:val="auto"/>
                      <w:sz w:val="21"/>
                      <w:szCs w:val="21"/>
                      <w:highlight w:val="none"/>
                      <w:lang w:val="en-US" w:eastAsia="zh-CN"/>
                    </w:rPr>
                  </w:pPr>
                  <w:r>
                    <w:rPr>
                      <w:rFonts w:hint="eastAsia" w:ascii="Times New Roman" w:hAnsi="Times New Roman" w:cs="Times New Roman"/>
                      <w:i w:val="0"/>
                      <w:iCs w:val="0"/>
                      <w:color w:val="auto"/>
                      <w:kern w:val="0"/>
                      <w:sz w:val="21"/>
                      <w:szCs w:val="24"/>
                      <w:highlight w:val="none"/>
                      <w:u w:val="none"/>
                      <w:lang w:val="en-US" w:eastAsia="zh-CN" w:bidi="ar"/>
                    </w:rPr>
                    <w:t>1条</w:t>
                  </w:r>
                </w:p>
              </w:tc>
              <w:tc>
                <w:tcPr>
                  <w:tcW w:w="737" w:type="dxa"/>
                  <w:gridSpan w:val="2"/>
                  <w:tcBorders>
                    <w:top w:val="single" w:color="auto" w:sz="4" w:space="0"/>
                    <w:left w:val="single" w:color="auto" w:sz="4" w:space="0"/>
                    <w:right w:val="single" w:color="auto" w:sz="4" w:space="0"/>
                  </w:tcBorders>
                  <w:noWrap w:val="0"/>
                  <w:vAlign w:val="center"/>
                </w:tcPr>
                <w:p w14:paraId="540E705C">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leftChars="0"/>
                    <w:jc w:val="left"/>
                    <w:textAlignment w:val="auto"/>
                    <w:rPr>
                      <w:rFonts w:hint="default" w:ascii="Times New Roman" w:hAnsi="Times New Roman" w:eastAsia="宋体" w:cs="Times New Roman"/>
                      <w:strike w:val="0"/>
                      <w:dstrike w:val="0"/>
                      <w:color w:val="auto"/>
                      <w:sz w:val="21"/>
                      <w:szCs w:val="21"/>
                      <w:highlight w:val="none"/>
                      <w:lang w:val="en-US" w:eastAsia="zh-CN"/>
                    </w:rPr>
                  </w:pPr>
                  <w:r>
                    <w:rPr>
                      <w:rFonts w:hint="eastAsia" w:ascii="Times New Roman" w:hAnsi="Times New Roman" w:cs="Times New Roman"/>
                      <w:i w:val="0"/>
                      <w:iCs w:val="0"/>
                      <w:color w:val="auto"/>
                      <w:kern w:val="0"/>
                      <w:sz w:val="21"/>
                      <w:szCs w:val="24"/>
                      <w:highlight w:val="none"/>
                      <w:u w:val="none"/>
                      <w:lang w:val="en-US" w:eastAsia="zh-CN" w:bidi="ar"/>
                    </w:rPr>
                    <w:t>11</w:t>
                  </w:r>
                </w:p>
              </w:tc>
              <w:tc>
                <w:tcPr>
                  <w:tcW w:w="761" w:type="dxa"/>
                  <w:gridSpan w:val="2"/>
                  <w:tcBorders>
                    <w:top w:val="single" w:color="auto" w:sz="4" w:space="0"/>
                    <w:left w:val="single" w:color="auto" w:sz="4" w:space="0"/>
                    <w:right w:val="single" w:color="auto" w:sz="4" w:space="0"/>
                  </w:tcBorders>
                  <w:noWrap w:val="0"/>
                  <w:vAlign w:val="center"/>
                </w:tcPr>
                <w:p w14:paraId="4A66C8F2">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leftChars="0"/>
                    <w:jc w:val="left"/>
                    <w:textAlignment w:val="auto"/>
                    <w:rPr>
                      <w:rFonts w:hint="default" w:ascii="Times New Roman" w:hAnsi="Times New Roman" w:eastAsia="宋体" w:cs="Times New Roman"/>
                      <w:strike w:val="0"/>
                      <w:dstrike w:val="0"/>
                      <w:color w:val="auto"/>
                      <w:sz w:val="21"/>
                      <w:szCs w:val="21"/>
                      <w:highlight w:val="none"/>
                      <w:lang w:val="en-US" w:eastAsia="zh-CN"/>
                    </w:rPr>
                  </w:pPr>
                  <w:r>
                    <w:rPr>
                      <w:rFonts w:hint="eastAsia" w:ascii="Times New Roman" w:hAnsi="Times New Roman" w:cs="Times New Roman"/>
                      <w:i w:val="0"/>
                      <w:iCs w:val="0"/>
                      <w:color w:val="auto"/>
                      <w:kern w:val="0"/>
                      <w:sz w:val="21"/>
                      <w:szCs w:val="24"/>
                      <w:highlight w:val="none"/>
                      <w:u w:val="none"/>
                      <w:lang w:val="en-US" w:eastAsia="zh-CN" w:bidi="ar"/>
                    </w:rPr>
                    <w:t>0.3</w:t>
                  </w:r>
                </w:p>
              </w:tc>
              <w:tc>
                <w:tcPr>
                  <w:tcW w:w="763" w:type="dxa"/>
                  <w:tcBorders>
                    <w:top w:val="single" w:color="auto" w:sz="4" w:space="0"/>
                    <w:left w:val="single" w:color="auto" w:sz="4" w:space="0"/>
                    <w:right w:val="single" w:color="auto" w:sz="4" w:space="0"/>
                  </w:tcBorders>
                  <w:noWrap w:val="0"/>
                  <w:vAlign w:val="center"/>
                </w:tcPr>
                <w:p w14:paraId="4341F7F1">
                  <w:pPr>
                    <w:pStyle w:val="191"/>
                    <w:keepNext w:val="0"/>
                    <w:keepLines w:val="0"/>
                    <w:pageBreakBefore w:val="0"/>
                    <w:widowControl w:val="0"/>
                    <w:kinsoku w:val="0"/>
                    <w:wordWrap w:val="0"/>
                    <w:overflowPunct/>
                    <w:topLinePunct w:val="0"/>
                    <w:autoSpaceDE/>
                    <w:autoSpaceDN/>
                    <w:bidi w:val="0"/>
                    <w:adjustRightInd/>
                    <w:snapToGrid/>
                    <w:spacing w:before="40" w:line="288" w:lineRule="auto"/>
                    <w:ind w:left="108" w:leftChars="0"/>
                    <w:jc w:val="left"/>
                    <w:textAlignment w:val="auto"/>
                    <w:rPr>
                      <w:rFonts w:hint="default" w:ascii="Times New Roman" w:hAnsi="Times New Roman" w:eastAsia="宋体" w:cs="Times New Roman"/>
                      <w:strike w:val="0"/>
                      <w:dstrike w:val="0"/>
                      <w:color w:val="auto"/>
                      <w:sz w:val="21"/>
                      <w:szCs w:val="21"/>
                      <w:highlight w:val="none"/>
                      <w:lang w:val="en-US" w:eastAsia="zh-CN"/>
                    </w:rPr>
                  </w:pPr>
                  <w:r>
                    <w:rPr>
                      <w:rFonts w:hint="eastAsia" w:ascii="Times New Roman" w:hAnsi="Times New Roman" w:cs="Times New Roman"/>
                      <w:i w:val="0"/>
                      <w:iCs w:val="0"/>
                      <w:color w:val="auto"/>
                      <w:kern w:val="0"/>
                      <w:sz w:val="21"/>
                      <w:szCs w:val="24"/>
                      <w:highlight w:val="none"/>
                      <w:u w:val="none"/>
                      <w:lang w:val="en-US" w:eastAsia="zh-CN" w:bidi="ar"/>
                    </w:rPr>
                    <w:t>1</w:t>
                  </w:r>
                </w:p>
              </w:tc>
              <w:tc>
                <w:tcPr>
                  <w:tcW w:w="873" w:type="dxa"/>
                  <w:tcBorders>
                    <w:top w:val="single" w:color="auto" w:sz="4" w:space="0"/>
                    <w:left w:val="single" w:color="auto" w:sz="4" w:space="0"/>
                    <w:bottom w:val="single" w:color="auto" w:sz="4" w:space="0"/>
                    <w:right w:val="single" w:color="auto" w:sz="4" w:space="0"/>
                  </w:tcBorders>
                  <w:noWrap w:val="0"/>
                  <w:vAlign w:val="center"/>
                </w:tcPr>
                <w:p w14:paraId="38A6D4C1">
                  <w:pPr>
                    <w:pStyle w:val="191"/>
                    <w:keepNext w:val="0"/>
                    <w:keepLines w:val="0"/>
                    <w:pageBreakBefore w:val="0"/>
                    <w:widowControl w:val="0"/>
                    <w:kinsoku w:val="0"/>
                    <w:wordWrap w:val="0"/>
                    <w:overflowPunct/>
                    <w:topLinePunct w:val="0"/>
                    <w:autoSpaceDE/>
                    <w:autoSpaceDN/>
                    <w:bidi w:val="0"/>
                    <w:adjustRightInd/>
                    <w:snapToGrid/>
                    <w:spacing w:before="40" w:line="288" w:lineRule="auto"/>
                    <w:jc w:val="center"/>
                    <w:textAlignment w:val="auto"/>
                    <w:rPr>
                      <w:rFonts w:hint="default" w:ascii="Times New Roman" w:hAnsi="Times New Roman" w:eastAsia="宋体" w:cs="Times New Roman"/>
                      <w:color w:val="auto"/>
                      <w:sz w:val="21"/>
                      <w:szCs w:val="24"/>
                      <w:highlight w:val="none"/>
                      <w:lang w:val="en-US" w:eastAsia="zh-CN"/>
                    </w:rPr>
                  </w:pPr>
                  <w:r>
                    <w:rPr>
                      <w:rFonts w:hint="default" w:ascii="Times New Roman" w:hAnsi="Times New Roman" w:eastAsia="宋体" w:cs="Times New Roman"/>
                      <w:color w:val="auto"/>
                      <w:sz w:val="21"/>
                      <w:szCs w:val="24"/>
                      <w:highlight w:val="none"/>
                      <w:lang w:val="en-US" w:eastAsia="zh-CN"/>
                    </w:rPr>
                    <w:t>2797.74</w:t>
                  </w:r>
                </w:p>
              </w:tc>
              <w:tc>
                <w:tcPr>
                  <w:tcW w:w="792" w:type="dxa"/>
                  <w:vMerge w:val="continue"/>
                  <w:tcBorders>
                    <w:left w:val="single" w:color="auto" w:sz="4" w:space="0"/>
                    <w:right w:val="single" w:color="auto" w:sz="4" w:space="0"/>
                  </w:tcBorders>
                  <w:noWrap w:val="0"/>
                  <w:vAlign w:val="center"/>
                </w:tcPr>
                <w:p w14:paraId="39BE61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4"/>
                      <w:highlight w:val="none"/>
                      <w:u w:val="none"/>
                      <w:lang w:val="en-US" w:eastAsia="zh-CN"/>
                    </w:rPr>
                  </w:pPr>
                </w:p>
              </w:tc>
              <w:tc>
                <w:tcPr>
                  <w:tcW w:w="575" w:type="dxa"/>
                  <w:vMerge w:val="continue"/>
                  <w:tcBorders>
                    <w:top w:val="single" w:color="auto" w:sz="4" w:space="0"/>
                    <w:left w:val="single" w:color="auto" w:sz="4" w:space="0"/>
                    <w:bottom w:val="single" w:color="auto" w:sz="4" w:space="0"/>
                    <w:right w:val="single" w:color="auto" w:sz="4" w:space="0"/>
                  </w:tcBorders>
                  <w:noWrap w:val="0"/>
                  <w:vAlign w:val="center"/>
                </w:tcPr>
                <w:p w14:paraId="7F4C16D8">
                  <w:pPr>
                    <w:keepNext w:val="0"/>
                    <w:keepLines w:val="0"/>
                    <w:widowControl/>
                    <w:suppressLineNumbers w:val="0"/>
                    <w:jc w:val="center"/>
                    <w:textAlignment w:val="center"/>
                    <w:rPr>
                      <w:rFonts w:hint="eastAsia" w:ascii="Times New Roman" w:hAnsi="Times New Roman" w:eastAsia="宋体" w:cs="宋体"/>
                      <w:i w:val="0"/>
                      <w:iCs w:val="0"/>
                      <w:color w:val="auto"/>
                      <w:sz w:val="21"/>
                      <w:szCs w:val="24"/>
                      <w:highlight w:val="none"/>
                      <w:u w:val="none"/>
                      <w:lang w:val="en-US" w:eastAsia="zh-CN"/>
                    </w:rPr>
                  </w:pPr>
                </w:p>
              </w:tc>
            </w:tr>
            <w:tr w14:paraId="0F4AA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7" w:hRule="atLeast"/>
                <w:jc w:val="center"/>
              </w:trPr>
              <w:tc>
                <w:tcPr>
                  <w:tcW w:w="726" w:type="dxa"/>
                  <w:vMerge w:val="continue"/>
                  <w:tcBorders>
                    <w:top w:val="single" w:color="auto" w:sz="4" w:space="0"/>
                    <w:left w:val="single" w:color="auto" w:sz="4" w:space="0"/>
                    <w:bottom w:val="single" w:color="auto" w:sz="4" w:space="0"/>
                    <w:right w:val="single" w:color="auto" w:sz="4" w:space="0"/>
                  </w:tcBorders>
                  <w:noWrap w:val="0"/>
                  <w:vAlign w:val="center"/>
                </w:tcPr>
                <w:p w14:paraId="6DF14B68">
                  <w:pPr>
                    <w:keepNext w:val="0"/>
                    <w:keepLines w:val="0"/>
                    <w:widowControl/>
                    <w:suppressLineNumbers w:val="0"/>
                    <w:jc w:val="center"/>
                    <w:textAlignment w:val="center"/>
                    <w:rPr>
                      <w:rFonts w:ascii="Times New Roman" w:hAnsi="Times New Roman" w:eastAsia="宋体"/>
                      <w:color w:val="auto"/>
                      <w:sz w:val="21"/>
                      <w:szCs w:val="24"/>
                    </w:rPr>
                  </w:pPr>
                </w:p>
              </w:tc>
              <w:tc>
                <w:tcPr>
                  <w:tcW w:w="6063" w:type="dxa"/>
                  <w:gridSpan w:val="10"/>
                  <w:tcBorders>
                    <w:top w:val="single" w:color="auto" w:sz="4" w:space="0"/>
                    <w:left w:val="single" w:color="auto" w:sz="4" w:space="0"/>
                    <w:bottom w:val="single" w:color="auto" w:sz="4" w:space="0"/>
                    <w:right w:val="single" w:color="auto" w:sz="4" w:space="0"/>
                  </w:tcBorders>
                  <w:noWrap w:val="0"/>
                  <w:vAlign w:val="center"/>
                </w:tcPr>
                <w:p w14:paraId="19B526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4"/>
                      <w:u w:val="none"/>
                      <w:lang w:val="en-US" w:eastAsia="zh-CN" w:bidi="ar"/>
                    </w:rPr>
                  </w:pPr>
                  <w:r>
                    <w:rPr>
                      <w:rFonts w:hint="eastAsia" w:ascii="Times New Roman" w:hAnsi="Times New Roman" w:eastAsia="宋体" w:cs="Times New Roman"/>
                      <w:b/>
                      <w:bCs/>
                      <w:i w:val="0"/>
                      <w:iCs w:val="0"/>
                      <w:color w:val="auto"/>
                      <w:kern w:val="0"/>
                      <w:sz w:val="21"/>
                      <w:szCs w:val="24"/>
                      <w:u w:val="none"/>
                      <w:lang w:val="en-US" w:eastAsia="zh-CN" w:bidi="ar"/>
                    </w:rPr>
                    <w:t>设计总风量</w:t>
                  </w:r>
                  <w:r>
                    <w:rPr>
                      <w:rFonts w:hint="default" w:ascii="Times New Roman" w:hAnsi="Times New Roman" w:eastAsia="宋体" w:cs="Times New Roman"/>
                      <w:b/>
                      <w:bCs/>
                      <w:i w:val="0"/>
                      <w:iCs w:val="0"/>
                      <w:color w:val="auto"/>
                      <w:kern w:val="0"/>
                      <w:sz w:val="21"/>
                      <w:szCs w:val="24"/>
                      <w:highlight w:val="none"/>
                      <w:u w:val="none"/>
                      <w:lang w:val="en-US" w:eastAsia="zh-CN" w:bidi="ar"/>
                    </w:rPr>
                    <w:t>m³/h</w:t>
                  </w:r>
                </w:p>
              </w:tc>
              <w:tc>
                <w:tcPr>
                  <w:tcW w:w="792" w:type="dxa"/>
                  <w:tcBorders>
                    <w:top w:val="single" w:color="auto" w:sz="4" w:space="0"/>
                    <w:left w:val="single" w:color="auto" w:sz="4" w:space="0"/>
                    <w:bottom w:val="single" w:color="auto" w:sz="4" w:space="0"/>
                    <w:right w:val="single" w:color="auto" w:sz="4" w:space="0"/>
                  </w:tcBorders>
                  <w:noWrap w:val="0"/>
                  <w:vAlign w:val="center"/>
                </w:tcPr>
                <w:p w14:paraId="59B8C9D5">
                  <w:pPr>
                    <w:jc w:val="center"/>
                    <w:rPr>
                      <w:rFonts w:hint="default" w:ascii="Times New Roman" w:hAnsi="Times New Roman" w:eastAsia="宋体" w:cs="Times New Roman"/>
                      <w:i w:val="0"/>
                      <w:iCs w:val="0"/>
                      <w:color w:val="auto"/>
                      <w:sz w:val="21"/>
                      <w:szCs w:val="24"/>
                      <w:highlight w:val="none"/>
                      <w:u w:val="none"/>
                      <w:lang w:val="en-US" w:eastAsia="zh-CN"/>
                    </w:rPr>
                  </w:pPr>
                  <w:r>
                    <w:rPr>
                      <w:rFonts w:hint="eastAsia" w:cs="Times New Roman"/>
                      <w:b/>
                      <w:bCs/>
                      <w:i w:val="0"/>
                      <w:iCs w:val="0"/>
                      <w:color w:val="auto"/>
                      <w:sz w:val="21"/>
                      <w:szCs w:val="24"/>
                      <w:highlight w:val="none"/>
                      <w:u w:val="none"/>
                      <w:lang w:val="en-US" w:eastAsia="zh-CN"/>
                    </w:rPr>
                    <w:t>6</w:t>
                  </w:r>
                  <w:r>
                    <w:rPr>
                      <w:rFonts w:hint="eastAsia" w:ascii="Times New Roman" w:hAnsi="Times New Roman" w:eastAsia="宋体" w:cs="Times New Roman"/>
                      <w:b/>
                      <w:bCs/>
                      <w:i w:val="0"/>
                      <w:iCs w:val="0"/>
                      <w:color w:val="auto"/>
                      <w:sz w:val="21"/>
                      <w:szCs w:val="24"/>
                      <w:highlight w:val="none"/>
                      <w:u w:val="none"/>
                      <w:lang w:val="en-US" w:eastAsia="zh-CN"/>
                    </w:rPr>
                    <w:t>000</w:t>
                  </w:r>
                </w:p>
              </w:tc>
              <w:tc>
                <w:tcPr>
                  <w:tcW w:w="575" w:type="dxa"/>
                  <w:vMerge w:val="continue"/>
                  <w:tcBorders>
                    <w:top w:val="single" w:color="auto" w:sz="4" w:space="0"/>
                    <w:left w:val="single" w:color="auto" w:sz="4" w:space="0"/>
                    <w:bottom w:val="single" w:color="auto" w:sz="4" w:space="0"/>
                    <w:right w:val="single" w:color="auto" w:sz="4" w:space="0"/>
                  </w:tcBorders>
                  <w:noWrap w:val="0"/>
                  <w:vAlign w:val="center"/>
                </w:tcPr>
                <w:p w14:paraId="33197D23">
                  <w:pPr>
                    <w:keepNext w:val="0"/>
                    <w:keepLines w:val="0"/>
                    <w:widowControl/>
                    <w:suppressLineNumbers w:val="0"/>
                    <w:jc w:val="center"/>
                    <w:textAlignment w:val="center"/>
                    <w:rPr>
                      <w:rFonts w:hint="eastAsia" w:ascii="Times New Roman" w:hAnsi="Times New Roman" w:eastAsia="宋体" w:cs="宋体"/>
                      <w:i w:val="0"/>
                      <w:iCs w:val="0"/>
                      <w:color w:val="auto"/>
                      <w:sz w:val="21"/>
                      <w:szCs w:val="24"/>
                      <w:highlight w:val="none"/>
                      <w:u w:val="none"/>
                      <w:lang w:val="en-US" w:eastAsia="zh-CN"/>
                    </w:rPr>
                  </w:pPr>
                </w:p>
              </w:tc>
            </w:tr>
          </w:tbl>
          <w:p w14:paraId="04E0170A">
            <w:pPr>
              <w:spacing w:line="360" w:lineRule="auto"/>
              <w:rPr>
                <w:rFonts w:hint="eastAsia"/>
                <w:b/>
                <w:color w:val="auto"/>
                <w:szCs w:val="21"/>
              </w:rPr>
            </w:pPr>
            <w:r>
              <w:rPr>
                <w:rFonts w:hint="eastAsia"/>
                <w:b w:val="0"/>
                <w:bCs/>
                <w:color w:val="auto"/>
                <w:szCs w:val="21"/>
                <w:lang w:val="en-US" w:eastAsia="zh-CN"/>
              </w:rPr>
              <w:t>注：理论风量=</w:t>
            </w:r>
            <w:r>
              <w:rPr>
                <w:rFonts w:hint="default" w:ascii="Times New Roman" w:hAnsi="Times New Roman" w:eastAsia="宋体" w:cs="Times New Roman"/>
                <w:b w:val="0"/>
                <w:bCs/>
                <w:i w:val="0"/>
                <w:iCs w:val="0"/>
                <w:color w:val="auto"/>
                <w:kern w:val="0"/>
                <w:sz w:val="21"/>
                <w:szCs w:val="24"/>
                <w:u w:val="none"/>
                <w:lang w:val="en-US" w:eastAsia="zh-CN" w:bidi="ar"/>
              </w:rPr>
              <w:t>3.14×</w:t>
            </w:r>
            <w:r>
              <w:rPr>
                <w:rFonts w:hint="eastAsia" w:ascii="Times New Roman" w:hAnsi="Times New Roman" w:eastAsia="宋体" w:cs="Times New Roman"/>
                <w:b w:val="0"/>
                <w:bCs/>
                <w:i w:val="0"/>
                <w:iCs w:val="0"/>
                <w:color w:val="auto"/>
                <w:kern w:val="0"/>
                <w:sz w:val="21"/>
                <w:szCs w:val="24"/>
                <w:u w:val="none"/>
                <w:lang w:val="en-US" w:eastAsia="zh-CN" w:bidi="ar"/>
              </w:rPr>
              <w:t>（</w:t>
            </w:r>
            <w:r>
              <w:rPr>
                <w:rFonts w:hint="eastAsia" w:cs="宋体"/>
                <w:b w:val="0"/>
                <w:bCs/>
                <w:i w:val="0"/>
                <w:iCs w:val="0"/>
                <w:color w:val="auto"/>
                <w:sz w:val="21"/>
                <w:szCs w:val="24"/>
                <w:highlight w:val="none"/>
                <w:u w:val="none"/>
                <w:lang w:val="en-US" w:eastAsia="zh-CN"/>
              </w:rPr>
              <w:t>集气风管内径/2</w:t>
            </w:r>
            <w:r>
              <w:rPr>
                <w:rFonts w:hint="eastAsia" w:ascii="Times New Roman" w:hAnsi="Times New Roman" w:eastAsia="宋体" w:cs="Times New Roman"/>
                <w:b w:val="0"/>
                <w:bCs/>
                <w:i w:val="0"/>
                <w:iCs w:val="0"/>
                <w:color w:val="auto"/>
                <w:kern w:val="0"/>
                <w:sz w:val="21"/>
                <w:szCs w:val="24"/>
                <w:u w:val="none"/>
                <w:lang w:val="en-US" w:eastAsia="zh-CN" w:bidi="ar"/>
              </w:rPr>
              <w:t>）</w:t>
            </w:r>
            <w:r>
              <w:rPr>
                <w:rFonts w:hint="default" w:ascii="Times New Roman" w:hAnsi="Times New Roman" w:eastAsia="宋体" w:cs="Times New Roman"/>
                <w:b w:val="0"/>
                <w:bCs/>
                <w:i w:val="0"/>
                <w:iCs w:val="0"/>
                <w:color w:val="auto"/>
                <w:kern w:val="0"/>
                <w:sz w:val="21"/>
                <w:szCs w:val="24"/>
                <w:u w:val="none"/>
                <w:vertAlign w:val="superscript"/>
                <w:lang w:val="en-US" w:eastAsia="zh-CN" w:bidi="ar"/>
              </w:rPr>
              <w:t>2</w:t>
            </w:r>
            <w:r>
              <w:rPr>
                <w:rFonts w:hint="default" w:ascii="Times New Roman" w:hAnsi="Times New Roman" w:eastAsia="宋体" w:cs="Times New Roman"/>
                <w:b w:val="0"/>
                <w:bCs/>
                <w:i w:val="0"/>
                <w:iCs w:val="0"/>
                <w:color w:val="auto"/>
                <w:kern w:val="0"/>
                <w:sz w:val="21"/>
                <w:szCs w:val="24"/>
                <w:u w:val="none"/>
                <w:lang w:val="en-US" w:eastAsia="zh-CN" w:bidi="ar"/>
              </w:rPr>
              <w:t>×</w:t>
            </w:r>
            <w:r>
              <w:rPr>
                <w:rFonts w:hint="eastAsia" w:cs="宋体"/>
                <w:b w:val="0"/>
                <w:bCs/>
                <w:i w:val="0"/>
                <w:iCs w:val="0"/>
                <w:color w:val="auto"/>
                <w:kern w:val="0"/>
                <w:sz w:val="21"/>
                <w:szCs w:val="24"/>
                <w:highlight w:val="none"/>
                <w:u w:val="none"/>
                <w:lang w:val="en-US" w:eastAsia="zh-CN" w:bidi="ar"/>
              </w:rPr>
              <w:t>设计风速</w:t>
            </w:r>
            <w:r>
              <w:rPr>
                <w:rFonts w:hint="default" w:ascii="Times New Roman" w:hAnsi="Times New Roman" w:eastAsia="宋体" w:cs="Times New Roman"/>
                <w:b w:val="0"/>
                <w:bCs/>
                <w:i w:val="0"/>
                <w:iCs w:val="0"/>
                <w:color w:val="auto"/>
                <w:kern w:val="0"/>
                <w:sz w:val="21"/>
                <w:szCs w:val="24"/>
                <w:u w:val="none"/>
                <w:lang w:val="en-US" w:eastAsia="zh-CN" w:bidi="ar"/>
              </w:rPr>
              <w:t>×3600×集气风管数量</w:t>
            </w:r>
          </w:p>
          <w:p w14:paraId="5CAA84C6">
            <w:pPr>
              <w:spacing w:line="360" w:lineRule="auto"/>
              <w:ind w:firstLine="422" w:firstLineChars="200"/>
              <w:rPr>
                <w:b/>
                <w:color w:val="auto"/>
                <w:szCs w:val="21"/>
              </w:rPr>
            </w:pPr>
            <w:r>
              <w:rPr>
                <w:rFonts w:hint="eastAsia"/>
                <w:b/>
                <w:color w:val="auto"/>
                <w:szCs w:val="21"/>
              </w:rPr>
              <w:t>（</w:t>
            </w:r>
            <w:r>
              <w:rPr>
                <w:rFonts w:hint="eastAsia"/>
                <w:b/>
                <w:color w:val="auto"/>
                <w:szCs w:val="21"/>
                <w:lang w:val="en-US" w:eastAsia="zh-CN"/>
              </w:rPr>
              <w:t>3</w:t>
            </w:r>
            <w:r>
              <w:rPr>
                <w:rFonts w:hint="eastAsia"/>
                <w:b/>
                <w:color w:val="auto"/>
                <w:szCs w:val="21"/>
              </w:rPr>
              <w:t>）液化石油气燃烧过程废气</w:t>
            </w:r>
          </w:p>
          <w:p w14:paraId="682B0787">
            <w:pPr>
              <w:spacing w:line="360" w:lineRule="auto"/>
              <w:ind w:firstLine="420" w:firstLineChars="200"/>
              <w:rPr>
                <w:color w:val="auto"/>
                <w:szCs w:val="21"/>
              </w:rPr>
            </w:pPr>
            <w:r>
              <w:rPr>
                <w:rFonts w:hint="eastAsia"/>
                <w:color w:val="auto"/>
                <w:szCs w:val="21"/>
                <w:lang w:val="en-US" w:eastAsia="zh-CN"/>
              </w:rPr>
              <w:t>项目</w:t>
            </w:r>
            <w:r>
              <w:rPr>
                <w:rFonts w:hint="eastAsia"/>
                <w:color w:val="auto"/>
              </w:rPr>
              <w:t>烘干线+固化线</w:t>
            </w:r>
            <w:r>
              <w:rPr>
                <w:rFonts w:hint="eastAsia" w:ascii="Times New Roman" w:hAnsi="Times New Roman"/>
                <w:color w:val="auto"/>
                <w:sz w:val="21"/>
                <w:szCs w:val="21"/>
                <w:lang w:val="en-US" w:eastAsia="zh-CN"/>
              </w:rPr>
              <w:t>采用液化石油气加热，产生液化石油气燃烧废气，主要以</w:t>
            </w:r>
            <w:r>
              <w:rPr>
                <w:rFonts w:hint="eastAsia"/>
                <w:color w:val="auto"/>
                <w:szCs w:val="21"/>
                <w:lang w:val="en-US" w:eastAsia="zh-CN"/>
              </w:rPr>
              <w:t>氮氧化物、二氧化硫、林格曼黑度、颗粒物为表征。</w:t>
            </w:r>
            <w:r>
              <w:rPr>
                <w:rFonts w:hint="eastAsia"/>
                <w:color w:val="auto"/>
                <w:szCs w:val="21"/>
              </w:rPr>
              <w:t>项目设一条</w:t>
            </w:r>
            <w:r>
              <w:rPr>
                <w:rFonts w:hint="eastAsia"/>
                <w:color w:val="auto"/>
              </w:rPr>
              <w:t>烘干线+固化线（一体线，内含燃烧机一台）</w:t>
            </w:r>
            <w:r>
              <w:rPr>
                <w:rFonts w:hint="eastAsia"/>
                <w:color w:val="auto"/>
                <w:szCs w:val="21"/>
              </w:rPr>
              <w:t>，液化石油气用量为</w:t>
            </w:r>
            <w:r>
              <w:rPr>
                <w:rFonts w:hint="eastAsia"/>
                <w:color w:val="auto"/>
                <w:szCs w:val="21"/>
                <w:lang w:val="en-US" w:eastAsia="zh-CN"/>
              </w:rPr>
              <w:t>111.1</w:t>
            </w:r>
            <w:r>
              <w:rPr>
                <w:color w:val="auto"/>
                <w:szCs w:val="21"/>
              </w:rPr>
              <w:t>t/a</w:t>
            </w:r>
            <w:r>
              <w:rPr>
                <w:rFonts w:hint="eastAsia"/>
                <w:color w:val="auto"/>
                <w:szCs w:val="21"/>
              </w:rPr>
              <w:t>，液化石油气密度为2.35kg/m</w:t>
            </w:r>
            <w:r>
              <w:rPr>
                <w:color w:val="auto"/>
                <w:szCs w:val="21"/>
                <w:vertAlign w:val="superscript"/>
              </w:rPr>
              <w:t>3</w:t>
            </w:r>
            <w:r>
              <w:rPr>
                <w:rFonts w:hint="eastAsia"/>
                <w:color w:val="auto"/>
                <w:szCs w:val="21"/>
              </w:rPr>
              <w:t>，则</w:t>
            </w:r>
            <w:r>
              <w:rPr>
                <w:rFonts w:hint="eastAsia"/>
                <w:color w:val="auto"/>
                <w:szCs w:val="21"/>
                <w:lang w:val="en-US" w:eastAsia="zh-CN"/>
              </w:rPr>
              <w:t>47281.3</w:t>
            </w:r>
            <w:r>
              <w:rPr>
                <w:rFonts w:hint="eastAsia"/>
                <w:color w:val="auto"/>
                <w:szCs w:val="21"/>
              </w:rPr>
              <w:t>m</w:t>
            </w:r>
            <w:r>
              <w:rPr>
                <w:color w:val="auto"/>
                <w:szCs w:val="21"/>
                <w:vertAlign w:val="superscript"/>
              </w:rPr>
              <w:t>3</w:t>
            </w:r>
            <w:r>
              <w:rPr>
                <w:rFonts w:hint="eastAsia"/>
                <w:color w:val="auto"/>
                <w:szCs w:val="21"/>
              </w:rPr>
              <w:t>/a，液化石油气燃烧污染物排放系数参考《排放源统计调查产排污核算方法和系数手册》</w:t>
            </w:r>
            <w:r>
              <w:rPr>
                <w:rFonts w:hint="eastAsia"/>
                <w:color w:val="auto"/>
                <w:sz w:val="21"/>
                <w:szCs w:val="21"/>
                <w:lang w:val="en-US" w:eastAsia="zh-CN"/>
              </w:rPr>
              <w:t>C33-C37 行业-14涂装-液化石油气</w:t>
            </w:r>
            <w:r>
              <w:rPr>
                <w:rFonts w:hint="eastAsia"/>
                <w:color w:val="auto"/>
                <w:szCs w:val="21"/>
              </w:rPr>
              <w:t>，液化石油气燃烧废气产污系数见下表。</w:t>
            </w:r>
          </w:p>
          <w:p w14:paraId="3F71626E">
            <w:pPr>
              <w:pStyle w:val="9"/>
              <w:spacing w:line="360" w:lineRule="auto"/>
              <w:ind w:left="630" w:leftChars="0" w:firstLineChars="0"/>
              <w:rPr>
                <w:color w:val="auto"/>
                <w:szCs w:val="21"/>
                <w:lang w:val="en-US"/>
              </w:rPr>
            </w:pPr>
            <w:r>
              <w:rPr>
                <w:rFonts w:hint="eastAsia"/>
                <w:color w:val="auto"/>
                <w:szCs w:val="21"/>
                <w:lang w:val="en-US"/>
              </w:rPr>
              <w:t>液化石油气</w:t>
            </w:r>
            <w:r>
              <w:rPr>
                <w:color w:val="auto"/>
                <w:szCs w:val="21"/>
                <w:lang w:val="en-US"/>
              </w:rPr>
              <w:t>污染物系数</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4"/>
              <w:gridCol w:w="1613"/>
              <w:gridCol w:w="2116"/>
              <w:gridCol w:w="1603"/>
              <w:gridCol w:w="1607"/>
            </w:tblGrid>
            <w:tr w14:paraId="059EF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Align w:val="center"/>
                </w:tcPr>
                <w:p w14:paraId="37F874FB">
                  <w:pPr>
                    <w:spacing w:line="360" w:lineRule="auto"/>
                    <w:jc w:val="center"/>
                    <w:rPr>
                      <w:b/>
                      <w:bCs/>
                      <w:color w:val="auto"/>
                      <w:szCs w:val="21"/>
                    </w:rPr>
                  </w:pPr>
                  <w:r>
                    <w:rPr>
                      <w:b/>
                      <w:bCs/>
                      <w:color w:val="auto"/>
                      <w:szCs w:val="21"/>
                    </w:rPr>
                    <w:t>原料名称</w:t>
                  </w:r>
                </w:p>
              </w:tc>
              <w:tc>
                <w:tcPr>
                  <w:tcW w:w="959" w:type="pct"/>
                  <w:vAlign w:val="center"/>
                </w:tcPr>
                <w:p w14:paraId="7DF17630">
                  <w:pPr>
                    <w:spacing w:line="360" w:lineRule="auto"/>
                    <w:jc w:val="center"/>
                    <w:rPr>
                      <w:b/>
                      <w:bCs/>
                      <w:color w:val="auto"/>
                      <w:szCs w:val="21"/>
                    </w:rPr>
                  </w:pPr>
                  <w:r>
                    <w:rPr>
                      <w:b/>
                      <w:bCs/>
                      <w:color w:val="auto"/>
                      <w:szCs w:val="21"/>
                    </w:rPr>
                    <w:t>污染物指标</w:t>
                  </w:r>
                </w:p>
              </w:tc>
              <w:tc>
                <w:tcPr>
                  <w:tcW w:w="1259" w:type="pct"/>
                  <w:vAlign w:val="center"/>
                </w:tcPr>
                <w:p w14:paraId="5F20C07A">
                  <w:pPr>
                    <w:spacing w:line="360" w:lineRule="auto"/>
                    <w:jc w:val="center"/>
                    <w:rPr>
                      <w:b/>
                      <w:bCs/>
                      <w:color w:val="auto"/>
                      <w:szCs w:val="21"/>
                    </w:rPr>
                  </w:pPr>
                  <w:r>
                    <w:rPr>
                      <w:b/>
                      <w:bCs/>
                      <w:color w:val="auto"/>
                      <w:szCs w:val="21"/>
                    </w:rPr>
                    <w:t>单位</w:t>
                  </w:r>
                </w:p>
              </w:tc>
              <w:tc>
                <w:tcPr>
                  <w:tcW w:w="953" w:type="pct"/>
                  <w:vAlign w:val="center"/>
                </w:tcPr>
                <w:p w14:paraId="48EE4B0A">
                  <w:pPr>
                    <w:spacing w:line="360" w:lineRule="auto"/>
                    <w:jc w:val="center"/>
                    <w:rPr>
                      <w:b/>
                      <w:bCs/>
                      <w:color w:val="auto"/>
                      <w:szCs w:val="21"/>
                    </w:rPr>
                  </w:pPr>
                  <w:r>
                    <w:rPr>
                      <w:b/>
                      <w:bCs/>
                      <w:color w:val="auto"/>
                      <w:szCs w:val="21"/>
                    </w:rPr>
                    <w:t>产污系数</w:t>
                  </w:r>
                </w:p>
              </w:tc>
              <w:tc>
                <w:tcPr>
                  <w:tcW w:w="956" w:type="pct"/>
                  <w:vAlign w:val="center"/>
                </w:tcPr>
                <w:p w14:paraId="54B2647B">
                  <w:pPr>
                    <w:spacing w:line="360" w:lineRule="auto"/>
                    <w:jc w:val="center"/>
                    <w:rPr>
                      <w:b/>
                      <w:bCs/>
                      <w:color w:val="auto"/>
                      <w:szCs w:val="21"/>
                    </w:rPr>
                  </w:pPr>
                  <w:r>
                    <w:rPr>
                      <w:b/>
                      <w:bCs/>
                      <w:color w:val="auto"/>
                      <w:szCs w:val="21"/>
                    </w:rPr>
                    <w:t>产生量</w:t>
                  </w:r>
                </w:p>
              </w:tc>
            </w:tr>
            <w:tr w14:paraId="39E08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Merge w:val="restart"/>
                  <w:vAlign w:val="center"/>
                </w:tcPr>
                <w:p w14:paraId="1F975B60">
                  <w:pPr>
                    <w:widowControl/>
                    <w:spacing w:line="360" w:lineRule="auto"/>
                    <w:jc w:val="center"/>
                    <w:textAlignment w:val="bottom"/>
                    <w:rPr>
                      <w:color w:val="auto"/>
                      <w:szCs w:val="21"/>
                    </w:rPr>
                  </w:pPr>
                  <w:r>
                    <w:rPr>
                      <w:rFonts w:hint="eastAsia"/>
                      <w:color w:val="auto"/>
                      <w:szCs w:val="21"/>
                    </w:rPr>
                    <w:t>液化石油气</w:t>
                  </w:r>
                </w:p>
              </w:tc>
              <w:tc>
                <w:tcPr>
                  <w:tcW w:w="959" w:type="pct"/>
                  <w:vAlign w:val="center"/>
                </w:tcPr>
                <w:p w14:paraId="42091D07">
                  <w:pPr>
                    <w:widowControl/>
                    <w:spacing w:line="360" w:lineRule="auto"/>
                    <w:jc w:val="center"/>
                    <w:textAlignment w:val="bottom"/>
                    <w:rPr>
                      <w:rFonts w:hint="default" w:eastAsia="宋体"/>
                      <w:color w:val="auto"/>
                      <w:szCs w:val="21"/>
                      <w:lang w:val="en-US" w:eastAsia="zh-CN"/>
                    </w:rPr>
                  </w:pPr>
                  <w:r>
                    <w:rPr>
                      <w:rFonts w:hint="eastAsia"/>
                      <w:color w:val="auto"/>
                      <w:szCs w:val="21"/>
                      <w:lang w:val="en-US" w:eastAsia="zh-CN"/>
                    </w:rPr>
                    <w:t>工业废气量</w:t>
                  </w:r>
                </w:p>
              </w:tc>
              <w:tc>
                <w:tcPr>
                  <w:tcW w:w="1259" w:type="pct"/>
                  <w:vAlign w:val="center"/>
                </w:tcPr>
                <w:p w14:paraId="3FD61F67">
                  <w:pPr>
                    <w:widowControl/>
                    <w:spacing w:line="360" w:lineRule="auto"/>
                    <w:jc w:val="center"/>
                    <w:textAlignment w:val="bottom"/>
                    <w:rPr>
                      <w:color w:val="auto"/>
                      <w:szCs w:val="21"/>
                    </w:rPr>
                  </w:pPr>
                  <w:r>
                    <w:rPr>
                      <w:rFonts w:hint="eastAsia"/>
                      <w:color w:val="auto"/>
                      <w:szCs w:val="21"/>
                    </w:rPr>
                    <w:t>立方米</w:t>
                  </w:r>
                  <w:r>
                    <w:rPr>
                      <w:color w:val="auto"/>
                      <w:szCs w:val="21"/>
                    </w:rPr>
                    <w:t>/</w:t>
                  </w:r>
                  <w:r>
                    <w:rPr>
                      <w:rFonts w:hint="eastAsia"/>
                      <w:color w:val="auto"/>
                      <w:szCs w:val="21"/>
                    </w:rPr>
                    <w:t>立方米</w:t>
                  </w:r>
                  <w:r>
                    <w:rPr>
                      <w:color w:val="auto"/>
                      <w:szCs w:val="21"/>
                    </w:rPr>
                    <w:t>-原料</w:t>
                  </w:r>
                </w:p>
              </w:tc>
              <w:tc>
                <w:tcPr>
                  <w:tcW w:w="953" w:type="pct"/>
                  <w:vAlign w:val="center"/>
                </w:tcPr>
                <w:p w14:paraId="42FDCC74">
                  <w:pPr>
                    <w:widowControl/>
                    <w:spacing w:line="360" w:lineRule="auto"/>
                    <w:jc w:val="center"/>
                    <w:textAlignment w:val="bottom"/>
                    <w:rPr>
                      <w:rFonts w:hint="default" w:eastAsia="宋体"/>
                      <w:color w:val="auto"/>
                      <w:szCs w:val="21"/>
                      <w:lang w:val="en-US" w:eastAsia="zh-CN"/>
                    </w:rPr>
                  </w:pPr>
                  <w:r>
                    <w:rPr>
                      <w:rFonts w:hint="eastAsia"/>
                      <w:color w:val="auto"/>
                      <w:szCs w:val="21"/>
                      <w:lang w:val="en-US" w:eastAsia="zh-CN"/>
                    </w:rPr>
                    <w:t>33.4</w:t>
                  </w:r>
                </w:p>
              </w:tc>
              <w:tc>
                <w:tcPr>
                  <w:tcW w:w="956" w:type="pct"/>
                  <w:vAlign w:val="center"/>
                </w:tcPr>
                <w:p w14:paraId="7C4BEA5A">
                  <w:pPr>
                    <w:widowControl/>
                    <w:spacing w:line="360" w:lineRule="auto"/>
                    <w:jc w:val="center"/>
                    <w:textAlignment w:val="bottom"/>
                    <w:rPr>
                      <w:rFonts w:hint="default" w:eastAsia="宋体"/>
                      <w:color w:val="auto"/>
                      <w:szCs w:val="21"/>
                      <w:lang w:val="en-US" w:eastAsia="zh-CN"/>
                    </w:rPr>
                  </w:pPr>
                  <w:r>
                    <w:rPr>
                      <w:rFonts w:hint="eastAsia"/>
                      <w:color w:val="auto"/>
                      <w:szCs w:val="21"/>
                      <w:lang w:val="en-US" w:eastAsia="zh-CN"/>
                    </w:rPr>
                    <w:t>157.92万m³</w:t>
                  </w:r>
                </w:p>
              </w:tc>
            </w:tr>
            <w:tr w14:paraId="07742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Merge w:val="continue"/>
                  <w:vAlign w:val="center"/>
                </w:tcPr>
                <w:p w14:paraId="3DC527D3">
                  <w:pPr>
                    <w:widowControl/>
                    <w:spacing w:line="360" w:lineRule="auto"/>
                    <w:jc w:val="center"/>
                    <w:textAlignment w:val="bottom"/>
                    <w:rPr>
                      <w:color w:val="auto"/>
                      <w:szCs w:val="21"/>
                    </w:rPr>
                  </w:pPr>
                </w:p>
              </w:tc>
              <w:tc>
                <w:tcPr>
                  <w:tcW w:w="959" w:type="pct"/>
                  <w:vAlign w:val="center"/>
                </w:tcPr>
                <w:p w14:paraId="08794DF8">
                  <w:pPr>
                    <w:widowControl/>
                    <w:spacing w:line="360" w:lineRule="auto"/>
                    <w:jc w:val="center"/>
                    <w:textAlignment w:val="bottom"/>
                    <w:rPr>
                      <w:color w:val="auto"/>
                      <w:szCs w:val="21"/>
                    </w:rPr>
                  </w:pPr>
                  <w:r>
                    <w:rPr>
                      <w:color w:val="auto"/>
                      <w:szCs w:val="21"/>
                    </w:rPr>
                    <w:t>二氧化硫</w:t>
                  </w:r>
                </w:p>
              </w:tc>
              <w:tc>
                <w:tcPr>
                  <w:tcW w:w="1259" w:type="pct"/>
                  <w:vAlign w:val="center"/>
                </w:tcPr>
                <w:p w14:paraId="32A53568">
                  <w:pPr>
                    <w:widowControl/>
                    <w:spacing w:line="360" w:lineRule="auto"/>
                    <w:jc w:val="center"/>
                    <w:textAlignment w:val="bottom"/>
                    <w:rPr>
                      <w:color w:val="auto"/>
                      <w:szCs w:val="21"/>
                    </w:rPr>
                  </w:pPr>
                  <w:r>
                    <w:rPr>
                      <w:color w:val="auto"/>
                      <w:szCs w:val="21"/>
                    </w:rPr>
                    <w:t>千克/</w:t>
                  </w:r>
                  <w:r>
                    <w:rPr>
                      <w:rFonts w:hint="eastAsia"/>
                      <w:color w:val="auto"/>
                      <w:szCs w:val="21"/>
                    </w:rPr>
                    <w:t>立方米</w:t>
                  </w:r>
                  <w:r>
                    <w:rPr>
                      <w:color w:val="auto"/>
                      <w:szCs w:val="21"/>
                    </w:rPr>
                    <w:t>-原料</w:t>
                  </w:r>
                </w:p>
              </w:tc>
              <w:tc>
                <w:tcPr>
                  <w:tcW w:w="953" w:type="pct"/>
                  <w:vAlign w:val="center"/>
                </w:tcPr>
                <w:p w14:paraId="6C6BCD59">
                  <w:pPr>
                    <w:widowControl/>
                    <w:spacing w:line="360" w:lineRule="auto"/>
                    <w:jc w:val="center"/>
                    <w:textAlignment w:val="bottom"/>
                    <w:rPr>
                      <w:color w:val="auto"/>
                      <w:szCs w:val="21"/>
                    </w:rPr>
                  </w:pPr>
                  <w:r>
                    <w:rPr>
                      <w:color w:val="auto"/>
                      <w:szCs w:val="21"/>
                    </w:rPr>
                    <w:t>0.0</w:t>
                  </w:r>
                  <w:r>
                    <w:rPr>
                      <w:rFonts w:hint="eastAsia"/>
                      <w:color w:val="auto"/>
                      <w:szCs w:val="21"/>
                      <w:lang w:val="en-US" w:eastAsia="zh-CN"/>
                    </w:rPr>
                    <w:t>0000</w:t>
                  </w:r>
                  <w:r>
                    <w:rPr>
                      <w:color w:val="auto"/>
                      <w:szCs w:val="21"/>
                    </w:rPr>
                    <w:t>2S</w:t>
                  </w:r>
                  <w:r>
                    <w:rPr>
                      <w:rFonts w:hint="eastAsia"/>
                      <w:color w:val="auto"/>
                      <w:szCs w:val="21"/>
                    </w:rPr>
                    <w:t>（S=</w:t>
                  </w:r>
                  <w:r>
                    <w:rPr>
                      <w:color w:val="auto"/>
                      <w:szCs w:val="21"/>
                    </w:rPr>
                    <w:t>343</w:t>
                  </w:r>
                  <w:r>
                    <w:rPr>
                      <w:rFonts w:hint="eastAsia"/>
                      <w:color w:val="auto"/>
                      <w:szCs w:val="21"/>
                    </w:rPr>
                    <w:t>）</w:t>
                  </w:r>
                </w:p>
              </w:tc>
              <w:tc>
                <w:tcPr>
                  <w:tcW w:w="956" w:type="pct"/>
                  <w:vAlign w:val="center"/>
                </w:tcPr>
                <w:p w14:paraId="1925381C">
                  <w:pPr>
                    <w:widowControl/>
                    <w:spacing w:line="360" w:lineRule="auto"/>
                    <w:jc w:val="center"/>
                    <w:textAlignment w:val="bottom"/>
                    <w:rPr>
                      <w:color w:val="auto"/>
                      <w:szCs w:val="21"/>
                    </w:rPr>
                  </w:pPr>
                  <w:r>
                    <w:rPr>
                      <w:rFonts w:hint="eastAsia"/>
                      <w:color w:val="auto"/>
                      <w:szCs w:val="21"/>
                      <w:lang w:val="en-US" w:eastAsia="zh-CN"/>
                    </w:rPr>
                    <w:t>0.0324</w:t>
                  </w:r>
                  <w:r>
                    <w:rPr>
                      <w:color w:val="auto"/>
                      <w:szCs w:val="21"/>
                    </w:rPr>
                    <w:t>t/a</w:t>
                  </w:r>
                </w:p>
              </w:tc>
            </w:tr>
            <w:tr w14:paraId="2AECE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Merge w:val="continue"/>
                  <w:vAlign w:val="center"/>
                </w:tcPr>
                <w:p w14:paraId="305EF433">
                  <w:pPr>
                    <w:widowControl/>
                    <w:spacing w:line="360" w:lineRule="auto"/>
                    <w:jc w:val="center"/>
                    <w:textAlignment w:val="bottom"/>
                    <w:rPr>
                      <w:color w:val="auto"/>
                      <w:szCs w:val="21"/>
                    </w:rPr>
                  </w:pPr>
                </w:p>
              </w:tc>
              <w:tc>
                <w:tcPr>
                  <w:tcW w:w="959" w:type="pct"/>
                  <w:vAlign w:val="center"/>
                </w:tcPr>
                <w:p w14:paraId="276672A0">
                  <w:pPr>
                    <w:widowControl/>
                    <w:spacing w:line="360" w:lineRule="auto"/>
                    <w:jc w:val="center"/>
                    <w:textAlignment w:val="bottom"/>
                    <w:rPr>
                      <w:color w:val="auto"/>
                      <w:szCs w:val="21"/>
                    </w:rPr>
                  </w:pPr>
                  <w:r>
                    <w:rPr>
                      <w:color w:val="auto"/>
                      <w:szCs w:val="21"/>
                    </w:rPr>
                    <w:t>氮氧化物</w:t>
                  </w:r>
                </w:p>
              </w:tc>
              <w:tc>
                <w:tcPr>
                  <w:tcW w:w="1259" w:type="pct"/>
                  <w:vAlign w:val="center"/>
                </w:tcPr>
                <w:p w14:paraId="15D4C0F9">
                  <w:pPr>
                    <w:widowControl/>
                    <w:spacing w:line="360" w:lineRule="auto"/>
                    <w:jc w:val="center"/>
                    <w:textAlignment w:val="bottom"/>
                    <w:rPr>
                      <w:color w:val="auto"/>
                      <w:szCs w:val="21"/>
                    </w:rPr>
                  </w:pPr>
                  <w:r>
                    <w:rPr>
                      <w:color w:val="auto"/>
                      <w:szCs w:val="21"/>
                    </w:rPr>
                    <w:t>千克/</w:t>
                  </w:r>
                  <w:r>
                    <w:rPr>
                      <w:rFonts w:hint="eastAsia"/>
                      <w:color w:val="auto"/>
                      <w:szCs w:val="21"/>
                    </w:rPr>
                    <w:t>立方米</w:t>
                  </w:r>
                  <w:r>
                    <w:rPr>
                      <w:color w:val="auto"/>
                      <w:szCs w:val="21"/>
                    </w:rPr>
                    <w:t>-原料</w:t>
                  </w:r>
                </w:p>
              </w:tc>
              <w:tc>
                <w:tcPr>
                  <w:tcW w:w="953" w:type="pct"/>
                  <w:vAlign w:val="center"/>
                </w:tcPr>
                <w:p w14:paraId="3023F709">
                  <w:pPr>
                    <w:widowControl/>
                    <w:spacing w:line="360" w:lineRule="auto"/>
                    <w:jc w:val="center"/>
                    <w:textAlignment w:val="bottom"/>
                    <w:rPr>
                      <w:color w:val="auto"/>
                      <w:szCs w:val="21"/>
                    </w:rPr>
                  </w:pPr>
                  <w:r>
                    <w:rPr>
                      <w:rFonts w:hint="eastAsia"/>
                      <w:color w:val="auto"/>
                      <w:szCs w:val="21"/>
                      <w:lang w:val="en-US" w:eastAsia="zh-CN"/>
                    </w:rPr>
                    <w:t>0.00</w:t>
                  </w:r>
                  <w:r>
                    <w:rPr>
                      <w:rFonts w:hint="eastAsia"/>
                      <w:color w:val="auto"/>
                      <w:szCs w:val="21"/>
                    </w:rPr>
                    <w:t>596</w:t>
                  </w:r>
                </w:p>
              </w:tc>
              <w:tc>
                <w:tcPr>
                  <w:tcW w:w="956" w:type="pct"/>
                  <w:vAlign w:val="center"/>
                </w:tcPr>
                <w:p w14:paraId="071C76F8">
                  <w:pPr>
                    <w:widowControl/>
                    <w:spacing w:line="360" w:lineRule="auto"/>
                    <w:jc w:val="center"/>
                    <w:textAlignment w:val="bottom"/>
                    <w:rPr>
                      <w:color w:val="auto"/>
                      <w:szCs w:val="21"/>
                    </w:rPr>
                  </w:pPr>
                  <w:r>
                    <w:rPr>
                      <w:rFonts w:hint="eastAsia"/>
                      <w:color w:val="auto"/>
                      <w:szCs w:val="21"/>
                      <w:lang w:val="en-US" w:eastAsia="zh-CN"/>
                    </w:rPr>
                    <w:t>0.2818</w:t>
                  </w:r>
                  <w:r>
                    <w:rPr>
                      <w:color w:val="auto"/>
                      <w:szCs w:val="21"/>
                    </w:rPr>
                    <w:t>t/a</w:t>
                  </w:r>
                </w:p>
              </w:tc>
            </w:tr>
            <w:tr w14:paraId="5A21E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Merge w:val="continue"/>
                  <w:vAlign w:val="center"/>
                </w:tcPr>
                <w:p w14:paraId="4D979D48">
                  <w:pPr>
                    <w:widowControl/>
                    <w:spacing w:line="360" w:lineRule="auto"/>
                    <w:jc w:val="center"/>
                    <w:textAlignment w:val="bottom"/>
                    <w:rPr>
                      <w:color w:val="auto"/>
                      <w:szCs w:val="21"/>
                    </w:rPr>
                  </w:pPr>
                </w:p>
              </w:tc>
              <w:tc>
                <w:tcPr>
                  <w:tcW w:w="959" w:type="pct"/>
                  <w:vAlign w:val="center"/>
                </w:tcPr>
                <w:p w14:paraId="080EFE9B">
                  <w:pPr>
                    <w:widowControl/>
                    <w:spacing w:line="360" w:lineRule="auto"/>
                    <w:jc w:val="center"/>
                    <w:textAlignment w:val="bottom"/>
                    <w:rPr>
                      <w:color w:val="auto"/>
                      <w:szCs w:val="21"/>
                    </w:rPr>
                  </w:pPr>
                  <w:r>
                    <w:rPr>
                      <w:rFonts w:hint="eastAsia"/>
                      <w:color w:val="auto"/>
                      <w:szCs w:val="21"/>
                    </w:rPr>
                    <w:t>颗粒物</w:t>
                  </w:r>
                </w:p>
              </w:tc>
              <w:tc>
                <w:tcPr>
                  <w:tcW w:w="1259" w:type="pct"/>
                  <w:vAlign w:val="center"/>
                </w:tcPr>
                <w:p w14:paraId="0E70C052">
                  <w:pPr>
                    <w:widowControl/>
                    <w:spacing w:line="360" w:lineRule="auto"/>
                    <w:jc w:val="center"/>
                    <w:textAlignment w:val="bottom"/>
                    <w:rPr>
                      <w:color w:val="auto"/>
                      <w:szCs w:val="21"/>
                    </w:rPr>
                  </w:pPr>
                  <w:r>
                    <w:rPr>
                      <w:color w:val="auto"/>
                      <w:szCs w:val="21"/>
                    </w:rPr>
                    <w:t>千克/立方</w:t>
                  </w:r>
                  <w:r>
                    <w:rPr>
                      <w:rFonts w:hint="eastAsia"/>
                      <w:color w:val="auto"/>
                      <w:szCs w:val="21"/>
                    </w:rPr>
                    <w:t>米</w:t>
                  </w:r>
                  <w:r>
                    <w:rPr>
                      <w:color w:val="auto"/>
                      <w:szCs w:val="21"/>
                    </w:rPr>
                    <w:t>-原料</w:t>
                  </w:r>
                </w:p>
              </w:tc>
              <w:tc>
                <w:tcPr>
                  <w:tcW w:w="953" w:type="pct"/>
                  <w:vAlign w:val="center"/>
                </w:tcPr>
                <w:p w14:paraId="61CC2AC0">
                  <w:pPr>
                    <w:widowControl/>
                    <w:spacing w:line="360" w:lineRule="auto"/>
                    <w:jc w:val="center"/>
                    <w:textAlignment w:val="bottom"/>
                    <w:rPr>
                      <w:color w:val="auto"/>
                      <w:szCs w:val="21"/>
                    </w:rPr>
                  </w:pPr>
                  <w:r>
                    <w:rPr>
                      <w:rFonts w:hint="eastAsia"/>
                      <w:color w:val="auto"/>
                      <w:szCs w:val="21"/>
                      <w:lang w:val="en-US" w:eastAsia="zh-CN"/>
                    </w:rPr>
                    <w:t>0.000</w:t>
                  </w:r>
                  <w:r>
                    <w:rPr>
                      <w:rFonts w:hint="eastAsia"/>
                      <w:color w:val="auto"/>
                      <w:szCs w:val="21"/>
                    </w:rPr>
                    <w:t>22</w:t>
                  </w:r>
                </w:p>
              </w:tc>
              <w:tc>
                <w:tcPr>
                  <w:tcW w:w="956" w:type="pct"/>
                  <w:vAlign w:val="center"/>
                </w:tcPr>
                <w:p w14:paraId="72895F96">
                  <w:pPr>
                    <w:widowControl/>
                    <w:spacing w:line="360" w:lineRule="auto"/>
                    <w:jc w:val="center"/>
                    <w:textAlignment w:val="bottom"/>
                    <w:rPr>
                      <w:color w:val="auto"/>
                      <w:szCs w:val="21"/>
                    </w:rPr>
                  </w:pPr>
                  <w:r>
                    <w:rPr>
                      <w:rFonts w:hint="eastAsia"/>
                      <w:color w:val="auto"/>
                      <w:szCs w:val="21"/>
                      <w:lang w:val="en-US" w:eastAsia="zh-CN"/>
                    </w:rPr>
                    <w:t>0.0104</w:t>
                  </w:r>
                  <w:r>
                    <w:rPr>
                      <w:color w:val="auto"/>
                      <w:szCs w:val="21"/>
                    </w:rPr>
                    <w:t>t/a</w:t>
                  </w:r>
                </w:p>
              </w:tc>
            </w:tr>
            <w:tr w14:paraId="5EA8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1" w:type="pct"/>
                  <w:vMerge w:val="continue"/>
                  <w:vAlign w:val="center"/>
                </w:tcPr>
                <w:p w14:paraId="68F7DE66">
                  <w:pPr>
                    <w:widowControl/>
                    <w:spacing w:line="360" w:lineRule="auto"/>
                    <w:jc w:val="center"/>
                    <w:textAlignment w:val="bottom"/>
                    <w:rPr>
                      <w:color w:val="auto"/>
                      <w:szCs w:val="21"/>
                    </w:rPr>
                  </w:pPr>
                </w:p>
              </w:tc>
              <w:tc>
                <w:tcPr>
                  <w:tcW w:w="959" w:type="pct"/>
                  <w:vAlign w:val="center"/>
                </w:tcPr>
                <w:p w14:paraId="50774041">
                  <w:pPr>
                    <w:widowControl/>
                    <w:spacing w:line="360" w:lineRule="auto"/>
                    <w:jc w:val="center"/>
                    <w:textAlignment w:val="bottom"/>
                    <w:rPr>
                      <w:color w:val="auto"/>
                      <w:szCs w:val="21"/>
                    </w:rPr>
                  </w:pPr>
                  <w:r>
                    <w:rPr>
                      <w:rFonts w:hint="eastAsia"/>
                      <w:color w:val="auto"/>
                      <w:szCs w:val="21"/>
                      <w:lang w:val="en-US" w:eastAsia="zh-CN"/>
                    </w:rPr>
                    <w:t>林格曼</w:t>
                  </w:r>
                  <w:r>
                    <w:rPr>
                      <w:color w:val="auto"/>
                      <w:szCs w:val="21"/>
                    </w:rPr>
                    <w:t>黑度</w:t>
                  </w:r>
                </w:p>
              </w:tc>
              <w:tc>
                <w:tcPr>
                  <w:tcW w:w="3169" w:type="pct"/>
                  <w:gridSpan w:val="3"/>
                  <w:vAlign w:val="center"/>
                </w:tcPr>
                <w:p w14:paraId="5F65CAE7">
                  <w:pPr>
                    <w:widowControl/>
                    <w:spacing w:line="360" w:lineRule="auto"/>
                    <w:jc w:val="center"/>
                    <w:textAlignment w:val="bottom"/>
                    <w:rPr>
                      <w:color w:val="auto"/>
                      <w:szCs w:val="21"/>
                    </w:rPr>
                  </w:pPr>
                  <w:r>
                    <w:rPr>
                      <w:color w:val="auto"/>
                      <w:szCs w:val="21"/>
                    </w:rPr>
                    <w:t>＜1度</w:t>
                  </w:r>
                </w:p>
              </w:tc>
            </w:tr>
          </w:tbl>
          <w:p w14:paraId="6AA89FB8">
            <w:pPr>
              <w:spacing w:line="360" w:lineRule="auto"/>
              <w:rPr>
                <w:rFonts w:hint="default" w:eastAsia="宋体"/>
                <w:color w:val="auto"/>
                <w:szCs w:val="21"/>
                <w:lang w:val="en-US" w:eastAsia="zh-CN"/>
              </w:rPr>
            </w:pPr>
            <w:r>
              <w:rPr>
                <w:rFonts w:hint="eastAsia"/>
                <w:color w:val="auto"/>
                <w:szCs w:val="21"/>
                <w:lang w:val="en-US" w:eastAsia="zh-CN"/>
              </w:rPr>
              <w:t>注：</w:t>
            </w:r>
            <w:r>
              <w:rPr>
                <w:rFonts w:hint="eastAsia" w:ascii="Times New Roman" w:hAnsi="Times New Roman" w:eastAsia="宋体"/>
                <w:b w:val="0"/>
                <w:bCs w:val="0"/>
                <w:color w:val="auto"/>
                <w:spacing w:val="0"/>
                <w:sz w:val="21"/>
                <w:szCs w:val="21"/>
                <w:highlight w:val="none"/>
                <w:lang w:val="en-US" w:eastAsia="zh-CN"/>
              </w:rPr>
              <w:t>产排污系数表中二氧化硫的产排污系数是以含硫量（S）的形式表示的，其中含硫量（S）是指燃气收到基硫分含量，单位为毫克/立方米，例如燃料中含硫量（S）为200毫克/立方米，则S=200。根据《</w:t>
            </w:r>
            <w:r>
              <w:rPr>
                <w:rFonts w:hint="eastAsia"/>
                <w:b w:val="0"/>
                <w:bCs w:val="0"/>
                <w:color w:val="auto"/>
                <w:spacing w:val="0"/>
                <w:sz w:val="21"/>
                <w:szCs w:val="21"/>
                <w:highlight w:val="none"/>
                <w:lang w:val="en-US" w:eastAsia="zh-CN"/>
              </w:rPr>
              <w:t>液化石油</w:t>
            </w:r>
            <w:r>
              <w:rPr>
                <w:rFonts w:hint="eastAsia" w:ascii="Times New Roman" w:hAnsi="Times New Roman" w:eastAsia="宋体"/>
                <w:b w:val="0"/>
                <w:bCs w:val="0"/>
                <w:color w:val="auto"/>
                <w:spacing w:val="0"/>
                <w:sz w:val="21"/>
                <w:szCs w:val="21"/>
                <w:highlight w:val="none"/>
                <w:lang w:val="en-US" w:eastAsia="zh-CN"/>
              </w:rPr>
              <w:t>气》</w:t>
            </w:r>
            <w:r>
              <w:rPr>
                <w:rFonts w:hint="eastAsia" w:ascii="Times New Roman" w:hAnsi="Times New Roman"/>
                <w:b w:val="0"/>
                <w:bCs w:val="0"/>
                <w:color w:val="auto"/>
                <w:spacing w:val="0"/>
                <w:sz w:val="21"/>
                <w:szCs w:val="21"/>
                <w:highlight w:val="none"/>
                <w:lang w:val="en-US" w:eastAsia="zh-CN"/>
              </w:rPr>
              <w:t>（</w:t>
            </w:r>
            <w:r>
              <w:rPr>
                <w:rFonts w:hint="eastAsia" w:ascii="Times New Roman" w:hAnsi="Times New Roman" w:eastAsia="宋体"/>
                <w:b w:val="0"/>
                <w:bCs w:val="0"/>
                <w:color w:val="auto"/>
                <w:spacing w:val="0"/>
                <w:sz w:val="21"/>
                <w:szCs w:val="21"/>
                <w:highlight w:val="none"/>
                <w:lang w:val="en-US" w:eastAsia="zh-CN"/>
              </w:rPr>
              <w:t>GB1</w:t>
            </w:r>
            <w:r>
              <w:rPr>
                <w:rFonts w:hint="eastAsia"/>
                <w:b w:val="0"/>
                <w:bCs w:val="0"/>
                <w:color w:val="auto"/>
                <w:spacing w:val="0"/>
                <w:sz w:val="21"/>
                <w:szCs w:val="21"/>
                <w:highlight w:val="none"/>
                <w:lang w:val="en-US" w:eastAsia="zh-CN"/>
              </w:rPr>
              <w:t>1174-</w:t>
            </w:r>
            <w:r>
              <w:rPr>
                <w:rFonts w:hint="eastAsia" w:ascii="Times New Roman" w:hAnsi="Times New Roman" w:eastAsia="宋体"/>
                <w:b w:val="0"/>
                <w:bCs w:val="0"/>
                <w:color w:val="auto"/>
                <w:spacing w:val="0"/>
                <w:sz w:val="21"/>
                <w:szCs w:val="21"/>
                <w:highlight w:val="none"/>
                <w:lang w:val="en-US" w:eastAsia="zh-CN"/>
              </w:rPr>
              <w:t>201</w:t>
            </w:r>
            <w:r>
              <w:rPr>
                <w:rFonts w:hint="eastAsia"/>
                <w:b w:val="0"/>
                <w:bCs w:val="0"/>
                <w:color w:val="auto"/>
                <w:spacing w:val="0"/>
                <w:sz w:val="21"/>
                <w:szCs w:val="21"/>
                <w:highlight w:val="none"/>
                <w:lang w:val="en-US" w:eastAsia="zh-CN"/>
              </w:rPr>
              <w:t>1</w:t>
            </w:r>
            <w:r>
              <w:rPr>
                <w:rFonts w:hint="eastAsia" w:ascii="Times New Roman" w:hAnsi="Times New Roman"/>
                <w:b w:val="0"/>
                <w:bCs w:val="0"/>
                <w:color w:val="auto"/>
                <w:spacing w:val="0"/>
                <w:sz w:val="21"/>
                <w:szCs w:val="21"/>
                <w:highlight w:val="none"/>
                <w:lang w:val="en-US" w:eastAsia="zh-CN"/>
              </w:rPr>
              <w:t>）</w:t>
            </w:r>
            <w:r>
              <w:rPr>
                <w:rFonts w:hint="eastAsia" w:ascii="Times New Roman" w:hAnsi="Times New Roman" w:eastAsia="宋体"/>
                <w:b w:val="0"/>
                <w:bCs w:val="0"/>
                <w:color w:val="auto"/>
                <w:spacing w:val="0"/>
                <w:sz w:val="21"/>
                <w:szCs w:val="21"/>
                <w:highlight w:val="none"/>
                <w:lang w:val="en-US" w:eastAsia="zh-CN"/>
              </w:rPr>
              <w:t>，</w:t>
            </w:r>
            <w:r>
              <w:rPr>
                <w:rFonts w:hint="eastAsia"/>
                <w:b w:val="0"/>
                <w:bCs w:val="0"/>
                <w:color w:val="auto"/>
                <w:spacing w:val="0"/>
                <w:sz w:val="21"/>
                <w:szCs w:val="21"/>
                <w:highlight w:val="none"/>
                <w:lang w:val="en-US" w:eastAsia="zh-CN"/>
              </w:rPr>
              <w:t>液化石油</w:t>
            </w:r>
            <w:r>
              <w:rPr>
                <w:rFonts w:hint="eastAsia" w:ascii="Times New Roman" w:hAnsi="Times New Roman" w:eastAsia="宋体"/>
                <w:b w:val="0"/>
                <w:bCs w:val="0"/>
                <w:color w:val="auto"/>
                <w:spacing w:val="0"/>
                <w:sz w:val="21"/>
                <w:szCs w:val="21"/>
                <w:highlight w:val="none"/>
                <w:lang w:val="en-US" w:eastAsia="zh-CN"/>
              </w:rPr>
              <w:t>气含硫量（S）</w:t>
            </w:r>
            <w:r>
              <w:rPr>
                <w:rFonts w:hint="eastAsia"/>
                <w:b w:val="0"/>
                <w:bCs w:val="0"/>
                <w:color w:val="auto"/>
                <w:spacing w:val="0"/>
                <w:sz w:val="21"/>
                <w:szCs w:val="21"/>
                <w:highlight w:val="none"/>
                <w:lang w:val="en-US" w:eastAsia="zh-CN"/>
              </w:rPr>
              <w:t>不大于343</w:t>
            </w:r>
            <w:r>
              <w:rPr>
                <w:rFonts w:hint="eastAsia" w:ascii="Times New Roman" w:hAnsi="Times New Roman" w:eastAsia="宋体"/>
                <w:b w:val="0"/>
                <w:bCs w:val="0"/>
                <w:color w:val="auto"/>
                <w:spacing w:val="0"/>
                <w:sz w:val="21"/>
                <w:szCs w:val="21"/>
                <w:highlight w:val="none"/>
                <w:lang w:val="en-US" w:eastAsia="zh-CN"/>
              </w:rPr>
              <w:t>mg/</w:t>
            </w:r>
            <w:r>
              <w:rPr>
                <w:rFonts w:hint="eastAsia" w:ascii="Times New Roman" w:hAnsi="Times New Roman" w:eastAsia="宋体" w:cs="Times New Roman"/>
                <w:snapToGrid w:val="0"/>
                <w:color w:val="auto"/>
                <w:spacing w:val="0"/>
                <w:sz w:val="21"/>
                <w:szCs w:val="21"/>
                <w:highlight w:val="none"/>
                <w:lang w:val="en-US" w:eastAsia="zh-CN"/>
              </w:rPr>
              <w:t>m³</w:t>
            </w:r>
            <w:r>
              <w:rPr>
                <w:rFonts w:hint="eastAsia" w:ascii="Times New Roman" w:hAnsi="Times New Roman" w:eastAsia="宋体"/>
                <w:b w:val="0"/>
                <w:bCs w:val="0"/>
                <w:color w:val="auto"/>
                <w:spacing w:val="0"/>
                <w:sz w:val="21"/>
                <w:szCs w:val="21"/>
                <w:highlight w:val="none"/>
                <w:lang w:val="en-US" w:eastAsia="zh-CN"/>
              </w:rPr>
              <w:t>，</w:t>
            </w:r>
            <w:r>
              <w:rPr>
                <w:rFonts w:hint="eastAsia"/>
                <w:b w:val="0"/>
                <w:bCs w:val="0"/>
                <w:color w:val="auto"/>
                <w:spacing w:val="0"/>
                <w:sz w:val="21"/>
                <w:szCs w:val="21"/>
                <w:highlight w:val="none"/>
                <w:lang w:val="en-US" w:eastAsia="zh-CN"/>
              </w:rPr>
              <w:t>本项目S取值343</w:t>
            </w:r>
            <w:r>
              <w:rPr>
                <w:rFonts w:hint="eastAsia" w:ascii="Times New Roman" w:hAnsi="Times New Roman" w:eastAsia="宋体"/>
                <w:b w:val="0"/>
                <w:bCs w:val="0"/>
                <w:color w:val="auto"/>
                <w:spacing w:val="0"/>
                <w:sz w:val="21"/>
                <w:szCs w:val="21"/>
                <w:highlight w:val="none"/>
                <w:lang w:val="en-US" w:eastAsia="zh-CN"/>
              </w:rPr>
              <w:t>。</w:t>
            </w:r>
          </w:p>
          <w:p w14:paraId="7BE82869">
            <w:pPr>
              <w:spacing w:line="360" w:lineRule="auto"/>
              <w:ind w:firstLine="420" w:firstLineChars="200"/>
              <w:rPr>
                <w:color w:val="auto"/>
                <w:szCs w:val="21"/>
              </w:rPr>
            </w:pPr>
            <w:r>
              <w:rPr>
                <w:rFonts w:hint="eastAsia"/>
                <w:color w:val="auto"/>
                <w:szCs w:val="21"/>
              </w:rPr>
              <w:t>液化石油气燃烧生成的热气（含燃烧废气）通过引风机引入自动线</w:t>
            </w:r>
            <w:r>
              <w:rPr>
                <w:rFonts w:hint="eastAsia"/>
                <w:color w:val="auto"/>
              </w:rPr>
              <w:t>烘干线+固化线（一体线）中</w:t>
            </w:r>
            <w:r>
              <w:rPr>
                <w:rFonts w:hint="eastAsia"/>
                <w:color w:val="auto"/>
                <w:lang w:val="en-US" w:eastAsia="zh-CN"/>
              </w:rPr>
              <w:t>用于</w:t>
            </w:r>
            <w:r>
              <w:rPr>
                <w:rFonts w:hint="eastAsia"/>
                <w:color w:val="auto"/>
              </w:rPr>
              <w:t>烘干、固化半成品</w:t>
            </w:r>
            <w:r>
              <w:rPr>
                <w:rFonts w:hint="eastAsia"/>
                <w:color w:val="auto"/>
                <w:lang w:eastAsia="zh-CN"/>
              </w:rPr>
              <w:t>，</w:t>
            </w:r>
            <w:r>
              <w:rPr>
                <w:rFonts w:hint="eastAsia"/>
                <w:color w:val="auto"/>
              </w:rPr>
              <w:t>自动线固化废气和液化石油气燃烧废气一起收集</w:t>
            </w:r>
            <w:r>
              <w:rPr>
                <w:rFonts w:hint="eastAsia"/>
                <w:color w:val="auto"/>
                <w:lang w:eastAsia="zh-CN"/>
              </w:rPr>
              <w:t>（</w:t>
            </w:r>
            <w:r>
              <w:rPr>
                <w:rFonts w:hint="eastAsia"/>
                <w:color w:val="auto"/>
                <w:lang w:val="en-US" w:eastAsia="zh-CN"/>
              </w:rPr>
              <w:t>收集效率为80%</w:t>
            </w:r>
            <w:r>
              <w:rPr>
                <w:rFonts w:hint="eastAsia"/>
                <w:color w:val="auto"/>
                <w:lang w:eastAsia="zh-CN"/>
              </w:rPr>
              <w:t>）</w:t>
            </w:r>
            <w:r>
              <w:rPr>
                <w:rFonts w:hint="eastAsia"/>
                <w:color w:val="auto"/>
              </w:rPr>
              <w:t>，经过同一套</w:t>
            </w:r>
            <w:r>
              <w:rPr>
                <w:rFonts w:hint="eastAsia"/>
                <w:color w:val="auto"/>
                <w:szCs w:val="21"/>
              </w:rPr>
              <w:t>活性炭吸附</w:t>
            </w:r>
            <w:r>
              <w:rPr>
                <w:rFonts w:hint="eastAsia"/>
                <w:color w:val="auto"/>
                <w:szCs w:val="21"/>
                <w:lang w:val="en-US" w:eastAsia="zh-CN"/>
              </w:rPr>
              <w:t>装置</w:t>
            </w:r>
            <w:r>
              <w:rPr>
                <w:rFonts w:hint="eastAsia"/>
                <w:color w:val="auto"/>
                <w:szCs w:val="21"/>
              </w:rPr>
              <w:t>处理后有组织排放（G</w:t>
            </w:r>
            <w:r>
              <w:rPr>
                <w:rFonts w:hint="eastAsia"/>
                <w:color w:val="auto"/>
                <w:szCs w:val="21"/>
                <w:lang w:val="en-US" w:eastAsia="zh-CN"/>
              </w:rPr>
              <w:t>2</w:t>
            </w:r>
            <w:r>
              <w:rPr>
                <w:rFonts w:hint="eastAsia"/>
                <w:color w:val="auto"/>
                <w:szCs w:val="21"/>
              </w:rPr>
              <w:t>）（</w:t>
            </w:r>
            <w:r>
              <w:rPr>
                <w:rFonts w:hint="eastAsia"/>
                <w:color w:val="auto"/>
                <w:szCs w:val="21"/>
              </w:rPr>
              <w:t>该治理设施</w:t>
            </w:r>
            <w:r>
              <w:rPr>
                <w:color w:val="auto"/>
                <w:szCs w:val="21"/>
              </w:rPr>
              <w:t>对</w:t>
            </w:r>
            <w:r>
              <w:rPr>
                <w:rFonts w:hint="eastAsia"/>
                <w:color w:val="auto"/>
                <w:szCs w:val="21"/>
                <w:lang w:val="en-US" w:eastAsia="zh-CN"/>
              </w:rPr>
              <w:t>颗粒物</w:t>
            </w:r>
            <w:r>
              <w:rPr>
                <w:rFonts w:hint="eastAsia"/>
                <w:color w:val="auto"/>
                <w:szCs w:val="21"/>
                <w:lang w:val="en-US" w:eastAsia="zh-CN"/>
              </w:rPr>
              <w:t>、</w:t>
            </w:r>
            <w:r>
              <w:rPr>
                <w:color w:val="auto"/>
                <w:szCs w:val="21"/>
              </w:rPr>
              <w:t>氮氧化物</w:t>
            </w:r>
            <w:r>
              <w:rPr>
                <w:rFonts w:hint="eastAsia"/>
                <w:color w:val="auto"/>
                <w:szCs w:val="21"/>
              </w:rPr>
              <w:t>、</w:t>
            </w:r>
            <w:r>
              <w:rPr>
                <w:color w:val="auto"/>
                <w:szCs w:val="21"/>
              </w:rPr>
              <w:t>二氧化硫的治理效率忽略不计</w:t>
            </w:r>
            <w:r>
              <w:rPr>
                <w:rFonts w:hint="eastAsia"/>
                <w:color w:val="auto"/>
                <w:szCs w:val="21"/>
              </w:rPr>
              <w:t>，</w:t>
            </w:r>
            <w:r>
              <w:rPr>
                <w:color w:val="auto"/>
                <w:szCs w:val="21"/>
              </w:rPr>
              <w:t>以</w:t>
            </w:r>
            <w:r>
              <w:rPr>
                <w:rFonts w:hint="eastAsia"/>
                <w:color w:val="auto"/>
                <w:szCs w:val="21"/>
              </w:rPr>
              <w:t>0</w:t>
            </w:r>
            <w:r>
              <w:rPr>
                <w:color w:val="auto"/>
                <w:szCs w:val="21"/>
              </w:rPr>
              <w:t>%计</w:t>
            </w:r>
            <w:r>
              <w:rPr>
                <w:rFonts w:hint="eastAsia"/>
                <w:color w:val="auto"/>
                <w:szCs w:val="21"/>
              </w:rPr>
              <w:t>）。</w:t>
            </w:r>
          </w:p>
          <w:p w14:paraId="57BA190A">
            <w:pPr>
              <w:pStyle w:val="9"/>
              <w:spacing w:line="360" w:lineRule="auto"/>
              <w:ind w:left="630" w:leftChars="0" w:firstLineChars="0"/>
              <w:jc w:val="center"/>
              <w:rPr>
                <w:color w:val="auto"/>
                <w:szCs w:val="21"/>
                <w:highlight w:val="none"/>
              </w:rPr>
            </w:pPr>
            <w:r>
              <w:rPr>
                <w:rFonts w:hint="eastAsia"/>
                <w:color w:val="auto"/>
                <w:szCs w:val="21"/>
                <w:highlight w:val="none"/>
                <w:lang w:val="en-US"/>
              </w:rPr>
              <w:t>自动线</w:t>
            </w:r>
            <w:r>
              <w:rPr>
                <w:rFonts w:hint="eastAsia"/>
                <w:color w:val="auto"/>
                <w:szCs w:val="21"/>
                <w:highlight w:val="none"/>
              </w:rPr>
              <w:t>固化工序和液化石油气燃烧过程废气产排情况一览表（</w:t>
            </w:r>
            <w:r>
              <w:rPr>
                <w:color w:val="auto"/>
                <w:szCs w:val="21"/>
                <w:highlight w:val="none"/>
              </w:rPr>
              <w:t>G</w:t>
            </w:r>
            <w:r>
              <w:rPr>
                <w:rFonts w:hint="eastAsia"/>
                <w:color w:val="auto"/>
                <w:szCs w:val="21"/>
                <w:highlight w:val="none"/>
                <w:lang w:val="en-US" w:eastAsia="zh-CN"/>
              </w:rPr>
              <w:t>2</w:t>
            </w:r>
            <w:r>
              <w:rPr>
                <w:rFonts w:hint="eastAsia"/>
                <w:color w:val="auto"/>
                <w:szCs w:val="21"/>
                <w:highlight w:val="none"/>
              </w:rPr>
              <w:t>）</w:t>
            </w:r>
          </w:p>
          <w:tbl>
            <w:tblPr>
              <w:tblStyle w:val="192"/>
              <w:tblW w:w="80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70"/>
              <w:gridCol w:w="1585"/>
              <w:gridCol w:w="681"/>
              <w:gridCol w:w="748"/>
              <w:gridCol w:w="709"/>
              <w:gridCol w:w="1055"/>
              <w:gridCol w:w="930"/>
              <w:gridCol w:w="1078"/>
            </w:tblGrid>
            <w:tr w14:paraId="0FA7D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2855" w:type="dxa"/>
                  <w:gridSpan w:val="2"/>
                  <w:noWrap w:val="0"/>
                  <w:vAlign w:val="center"/>
                </w:tcPr>
                <w:p w14:paraId="72B55A61">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2"/>
                      <w:sz w:val="21"/>
                      <w:szCs w:val="21"/>
                      <w:highlight w:val="none"/>
                    </w:rPr>
                    <w:t>产排污环节</w:t>
                  </w:r>
                </w:p>
              </w:tc>
              <w:tc>
                <w:tcPr>
                  <w:tcW w:w="5201" w:type="dxa"/>
                  <w:gridSpan w:val="6"/>
                  <w:noWrap w:val="0"/>
                  <w:vAlign w:val="center"/>
                </w:tcPr>
                <w:p w14:paraId="019FB7D4">
                  <w:pPr>
                    <w:pStyle w:val="191"/>
                    <w:keepLines/>
                    <w:pageBreakBefore w:val="0"/>
                    <w:widowControl/>
                    <w:bidi w:val="0"/>
                    <w:spacing w:before="73" w:line="219" w:lineRule="auto"/>
                    <w:jc w:val="center"/>
                    <w:rPr>
                      <w:rFonts w:hint="eastAsia" w:ascii="Times New Roman" w:hAnsi="Times New Roman" w:eastAsia="宋体"/>
                      <w:color w:val="auto"/>
                      <w:spacing w:val="3"/>
                      <w:sz w:val="21"/>
                      <w:szCs w:val="21"/>
                      <w:highlight w:val="none"/>
                      <w:lang w:val="en-US" w:eastAsia="zh-CN"/>
                    </w:rPr>
                  </w:pPr>
                  <w:r>
                    <w:rPr>
                      <w:rFonts w:hint="eastAsia" w:ascii="Times New Roman" w:hAnsi="Times New Roman" w:eastAsia="宋体"/>
                      <w:color w:val="auto"/>
                      <w:spacing w:val="3"/>
                      <w:sz w:val="21"/>
                      <w:szCs w:val="21"/>
                      <w:highlight w:val="none"/>
                      <w:lang w:val="en-US" w:eastAsia="zh-CN"/>
                    </w:rPr>
                    <w:t>固化</w:t>
                  </w:r>
                  <w:r>
                    <w:rPr>
                      <w:rFonts w:ascii="Times New Roman" w:hAnsi="Times New Roman" w:eastAsia="宋体"/>
                      <w:color w:val="auto"/>
                      <w:spacing w:val="3"/>
                      <w:sz w:val="21"/>
                      <w:szCs w:val="21"/>
                      <w:highlight w:val="none"/>
                    </w:rPr>
                    <w:t>工序</w:t>
                  </w:r>
                </w:p>
              </w:tc>
            </w:tr>
            <w:tr w14:paraId="4A4EA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0" w:hRule="atLeast"/>
                <w:jc w:val="center"/>
              </w:trPr>
              <w:tc>
                <w:tcPr>
                  <w:tcW w:w="2855" w:type="dxa"/>
                  <w:gridSpan w:val="2"/>
                  <w:noWrap w:val="0"/>
                  <w:vAlign w:val="center"/>
                </w:tcPr>
                <w:p w14:paraId="2E46C538">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olor w:val="auto"/>
                      <w:spacing w:val="10"/>
                      <w:sz w:val="21"/>
                      <w:szCs w:val="21"/>
                      <w:highlight w:val="none"/>
                      <w:lang w:val="en-US" w:eastAsia="zh-CN"/>
                    </w:rPr>
                  </w:pPr>
                  <w:r>
                    <w:rPr>
                      <w:rFonts w:hint="eastAsia" w:ascii="Times New Roman" w:hAnsi="Times New Roman"/>
                      <w:color w:val="auto"/>
                      <w:spacing w:val="10"/>
                      <w:sz w:val="21"/>
                      <w:szCs w:val="21"/>
                      <w:highlight w:val="none"/>
                      <w:lang w:val="en-US" w:eastAsia="zh-CN"/>
                    </w:rPr>
                    <w:t>废气种类</w:t>
                  </w:r>
                </w:p>
              </w:tc>
              <w:tc>
                <w:tcPr>
                  <w:tcW w:w="2138" w:type="dxa"/>
                  <w:gridSpan w:val="3"/>
                  <w:noWrap w:val="0"/>
                  <w:vAlign w:val="center"/>
                </w:tcPr>
                <w:p w14:paraId="479CC65D">
                  <w:pPr>
                    <w:pStyle w:val="191"/>
                    <w:keepLines/>
                    <w:pageBreakBefore w:val="0"/>
                    <w:widowControl/>
                    <w:bidi w:val="0"/>
                    <w:spacing w:before="79" w:line="219" w:lineRule="auto"/>
                    <w:jc w:val="center"/>
                    <w:rPr>
                      <w:rFonts w:hint="default" w:ascii="Times New Roman" w:hAnsi="Times New Roman"/>
                      <w:color w:val="auto"/>
                      <w:spacing w:val="5"/>
                      <w:sz w:val="21"/>
                      <w:szCs w:val="21"/>
                      <w:highlight w:val="none"/>
                      <w:lang w:val="en-US" w:eastAsia="zh-CN"/>
                    </w:rPr>
                  </w:pPr>
                  <w:r>
                    <w:rPr>
                      <w:rFonts w:hint="eastAsia" w:ascii="Times New Roman" w:hAnsi="Times New Roman"/>
                      <w:color w:val="auto"/>
                      <w:spacing w:val="5"/>
                      <w:sz w:val="21"/>
                      <w:szCs w:val="21"/>
                      <w:highlight w:val="none"/>
                      <w:lang w:val="en-US" w:eastAsia="zh-CN"/>
                    </w:rPr>
                    <w:t>液化石油气燃烧</w:t>
                  </w:r>
                </w:p>
              </w:tc>
              <w:tc>
                <w:tcPr>
                  <w:tcW w:w="1055" w:type="dxa"/>
                  <w:noWrap w:val="0"/>
                  <w:vAlign w:val="center"/>
                </w:tcPr>
                <w:p w14:paraId="00BD2D86">
                  <w:pPr>
                    <w:pStyle w:val="191"/>
                    <w:keepLines/>
                    <w:pageBreakBefore w:val="0"/>
                    <w:widowControl/>
                    <w:bidi w:val="0"/>
                    <w:spacing w:before="79" w:line="219" w:lineRule="auto"/>
                    <w:jc w:val="center"/>
                    <w:rPr>
                      <w:rFonts w:hint="default" w:ascii="Times New Roman" w:hAnsi="Times New Roman"/>
                      <w:color w:val="auto"/>
                      <w:spacing w:val="5"/>
                      <w:sz w:val="21"/>
                      <w:szCs w:val="21"/>
                      <w:highlight w:val="none"/>
                      <w:lang w:val="en-US" w:eastAsia="zh-CN"/>
                    </w:rPr>
                  </w:pPr>
                  <w:r>
                    <w:rPr>
                      <w:rFonts w:hint="default" w:ascii="Times New Roman" w:hAnsi="Times New Roman" w:eastAsia="宋体"/>
                      <w:color w:val="auto"/>
                      <w:spacing w:val="5"/>
                      <w:sz w:val="21"/>
                      <w:szCs w:val="21"/>
                      <w:highlight w:val="none"/>
                      <w:lang w:val="en-US" w:eastAsia="zh-CN"/>
                    </w:rPr>
                    <w:t>自动线</w:t>
                  </w:r>
                  <w:r>
                    <w:rPr>
                      <w:rFonts w:hint="eastAsia" w:ascii="Times New Roman" w:hAnsi="Times New Roman" w:eastAsia="宋体"/>
                      <w:color w:val="auto"/>
                      <w:spacing w:val="5"/>
                      <w:sz w:val="21"/>
                      <w:szCs w:val="21"/>
                      <w:highlight w:val="none"/>
                      <w:lang w:val="en-US" w:eastAsia="zh-CN"/>
                    </w:rPr>
                    <w:t>固化废气</w:t>
                  </w:r>
                </w:p>
              </w:tc>
              <w:tc>
                <w:tcPr>
                  <w:tcW w:w="930" w:type="dxa"/>
                  <w:noWrap w:val="0"/>
                  <w:vAlign w:val="center"/>
                </w:tcPr>
                <w:p w14:paraId="63E3BEF2">
                  <w:pPr>
                    <w:pStyle w:val="191"/>
                    <w:keepLines/>
                    <w:pageBreakBefore w:val="0"/>
                    <w:widowControl/>
                    <w:bidi w:val="0"/>
                    <w:spacing w:before="79" w:line="219" w:lineRule="auto"/>
                    <w:jc w:val="center"/>
                    <w:rPr>
                      <w:rFonts w:hint="eastAsia" w:ascii="Times New Roman" w:hAnsi="Times New Roman"/>
                      <w:color w:val="auto"/>
                      <w:spacing w:val="5"/>
                      <w:sz w:val="21"/>
                      <w:szCs w:val="21"/>
                      <w:highlight w:val="none"/>
                      <w:lang w:val="en-US" w:eastAsia="zh-CN"/>
                    </w:rPr>
                  </w:pPr>
                  <w:r>
                    <w:rPr>
                      <w:rFonts w:hint="eastAsia" w:ascii="Times New Roman" w:hAnsi="Times New Roman" w:eastAsia="宋体"/>
                      <w:color w:val="auto"/>
                      <w:spacing w:val="5"/>
                      <w:sz w:val="21"/>
                      <w:szCs w:val="21"/>
                      <w:highlight w:val="none"/>
                      <w:lang w:val="en-US" w:eastAsia="zh-CN"/>
                    </w:rPr>
                    <w:t>手</w:t>
                  </w:r>
                  <w:r>
                    <w:rPr>
                      <w:rFonts w:hint="default" w:ascii="Times New Roman" w:hAnsi="Times New Roman" w:eastAsia="宋体"/>
                      <w:color w:val="auto"/>
                      <w:spacing w:val="5"/>
                      <w:sz w:val="21"/>
                      <w:szCs w:val="21"/>
                      <w:highlight w:val="none"/>
                      <w:lang w:val="en-US" w:eastAsia="zh-CN"/>
                    </w:rPr>
                    <w:t>动线</w:t>
                  </w:r>
                  <w:r>
                    <w:rPr>
                      <w:rFonts w:hint="eastAsia" w:ascii="Times New Roman" w:hAnsi="Times New Roman" w:eastAsia="宋体"/>
                      <w:color w:val="auto"/>
                      <w:spacing w:val="5"/>
                      <w:sz w:val="21"/>
                      <w:szCs w:val="21"/>
                      <w:highlight w:val="none"/>
                      <w:lang w:val="en-US" w:eastAsia="zh-CN"/>
                    </w:rPr>
                    <w:t>固化废气</w:t>
                  </w:r>
                </w:p>
              </w:tc>
              <w:tc>
                <w:tcPr>
                  <w:tcW w:w="1078" w:type="dxa"/>
                  <w:noWrap w:val="0"/>
                  <w:vAlign w:val="center"/>
                </w:tcPr>
                <w:p w14:paraId="2EBC9E3B">
                  <w:pPr>
                    <w:pStyle w:val="191"/>
                    <w:keepLines/>
                    <w:pageBreakBefore w:val="0"/>
                    <w:widowControl/>
                    <w:bidi w:val="0"/>
                    <w:spacing w:before="79" w:line="219" w:lineRule="auto"/>
                    <w:jc w:val="center"/>
                    <w:rPr>
                      <w:rFonts w:hint="default" w:ascii="Times New Roman" w:hAnsi="Times New Roman" w:eastAsia="宋体"/>
                      <w:color w:val="auto"/>
                      <w:spacing w:val="5"/>
                      <w:sz w:val="21"/>
                      <w:szCs w:val="21"/>
                      <w:highlight w:val="none"/>
                      <w:lang w:val="en-US" w:eastAsia="zh-CN"/>
                    </w:rPr>
                  </w:pPr>
                  <w:r>
                    <w:rPr>
                      <w:rFonts w:hint="eastAsia" w:ascii="Times New Roman" w:hAnsi="Times New Roman" w:eastAsia="宋体"/>
                      <w:color w:val="auto"/>
                      <w:spacing w:val="5"/>
                      <w:sz w:val="21"/>
                      <w:szCs w:val="21"/>
                      <w:highlight w:val="none"/>
                      <w:lang w:val="en-US" w:eastAsia="zh-CN"/>
                    </w:rPr>
                    <w:t>/</w:t>
                  </w:r>
                </w:p>
              </w:tc>
            </w:tr>
            <w:tr w14:paraId="1B184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2855" w:type="dxa"/>
                  <w:gridSpan w:val="2"/>
                  <w:noWrap w:val="0"/>
                  <w:vAlign w:val="center"/>
                </w:tcPr>
                <w:p w14:paraId="4D33EE8F">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2"/>
                      <w:sz w:val="21"/>
                      <w:szCs w:val="21"/>
                      <w:highlight w:val="none"/>
                    </w:rPr>
                    <w:t>排气筒编号</w:t>
                  </w:r>
                </w:p>
              </w:tc>
              <w:tc>
                <w:tcPr>
                  <w:tcW w:w="5201" w:type="dxa"/>
                  <w:gridSpan w:val="6"/>
                  <w:noWrap w:val="0"/>
                  <w:vAlign w:val="center"/>
                </w:tcPr>
                <w:p w14:paraId="08F34AE2">
                  <w:pPr>
                    <w:pStyle w:val="191"/>
                    <w:keepLines/>
                    <w:pageBreakBefore w:val="0"/>
                    <w:widowControl/>
                    <w:bidi w:val="0"/>
                    <w:spacing w:before="124" w:line="183" w:lineRule="auto"/>
                    <w:jc w:val="center"/>
                    <w:rPr>
                      <w:rFonts w:hint="default" w:ascii="Times New Roman" w:hAnsi="Times New Roman"/>
                      <w:color w:val="auto"/>
                      <w:spacing w:val="-2"/>
                      <w:sz w:val="21"/>
                      <w:szCs w:val="21"/>
                      <w:highlight w:val="none"/>
                      <w:lang w:val="en-US" w:eastAsia="zh-CN"/>
                    </w:rPr>
                  </w:pPr>
                  <w:r>
                    <w:rPr>
                      <w:rFonts w:hint="eastAsia" w:ascii="Times New Roman" w:hAnsi="Times New Roman"/>
                      <w:color w:val="auto"/>
                      <w:spacing w:val="-2"/>
                      <w:sz w:val="21"/>
                      <w:szCs w:val="21"/>
                      <w:highlight w:val="none"/>
                      <w:lang w:val="en-US" w:eastAsia="zh-CN"/>
                    </w:rPr>
                    <w:t>G2</w:t>
                  </w:r>
                </w:p>
              </w:tc>
            </w:tr>
            <w:tr w14:paraId="36CE1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jc w:val="center"/>
              </w:trPr>
              <w:tc>
                <w:tcPr>
                  <w:tcW w:w="2855" w:type="dxa"/>
                  <w:gridSpan w:val="2"/>
                  <w:noWrap w:val="0"/>
                  <w:vAlign w:val="center"/>
                </w:tcPr>
                <w:p w14:paraId="1DC4D269">
                  <w:pPr>
                    <w:pStyle w:val="191"/>
                    <w:keepNext w:val="0"/>
                    <w:keepLines/>
                    <w:pageBreakBefore w:val="0"/>
                    <w:widowControl/>
                    <w:kinsoku/>
                    <w:wordWrap/>
                    <w:overflowPunct/>
                    <w:topLinePunct w:val="0"/>
                    <w:autoSpaceDE/>
                    <w:autoSpaceDN/>
                    <w:bidi w:val="0"/>
                    <w:adjustRightInd/>
                    <w:snapToGrid/>
                    <w:spacing w:line="220" w:lineRule="auto"/>
                    <w:ind w:left="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2"/>
                      <w:sz w:val="21"/>
                      <w:szCs w:val="21"/>
                      <w:highlight w:val="none"/>
                    </w:rPr>
                    <w:t>污染物名称</w:t>
                  </w:r>
                </w:p>
              </w:tc>
              <w:tc>
                <w:tcPr>
                  <w:tcW w:w="681" w:type="dxa"/>
                  <w:noWrap w:val="0"/>
                  <w:vAlign w:val="center"/>
                </w:tcPr>
                <w:p w14:paraId="1506C3C3">
                  <w:pPr>
                    <w:pStyle w:val="191"/>
                    <w:keepLines/>
                    <w:pageBreakBefore w:val="0"/>
                    <w:widowControl/>
                    <w:bidi w:val="0"/>
                    <w:spacing w:before="124" w:line="183" w:lineRule="auto"/>
                    <w:jc w:val="center"/>
                    <w:rPr>
                      <w:rFonts w:hint="eastAsia" w:ascii="Times New Roman" w:hAnsi="Times New Roman" w:eastAsia="宋体"/>
                      <w:color w:val="auto"/>
                      <w:spacing w:val="-2"/>
                      <w:sz w:val="21"/>
                      <w:szCs w:val="21"/>
                      <w:highlight w:val="none"/>
                      <w:lang w:val="en-US" w:eastAsia="zh-CN"/>
                    </w:rPr>
                  </w:pPr>
                  <w:r>
                    <w:rPr>
                      <w:rFonts w:hint="eastAsia" w:ascii="Times New Roman" w:hAnsi="Times New Roman"/>
                      <w:color w:val="auto"/>
                      <w:spacing w:val="-2"/>
                      <w:sz w:val="21"/>
                      <w:szCs w:val="21"/>
                      <w:highlight w:val="none"/>
                      <w:lang w:val="en-US" w:eastAsia="zh-CN"/>
                    </w:rPr>
                    <w:t>SO</w:t>
                  </w:r>
                  <w:r>
                    <w:rPr>
                      <w:rFonts w:hint="eastAsia" w:ascii="Times New Roman" w:hAnsi="Times New Roman"/>
                      <w:color w:val="auto"/>
                      <w:spacing w:val="-2"/>
                      <w:sz w:val="21"/>
                      <w:szCs w:val="21"/>
                      <w:highlight w:val="none"/>
                      <w:vertAlign w:val="subscript"/>
                      <w:lang w:val="en-US" w:eastAsia="zh-CN"/>
                    </w:rPr>
                    <w:t>2</w:t>
                  </w:r>
                </w:p>
              </w:tc>
              <w:tc>
                <w:tcPr>
                  <w:tcW w:w="748" w:type="dxa"/>
                  <w:noWrap w:val="0"/>
                  <w:vAlign w:val="center"/>
                </w:tcPr>
                <w:p w14:paraId="4F719D16">
                  <w:pPr>
                    <w:pStyle w:val="191"/>
                    <w:keepLines/>
                    <w:pageBreakBefore w:val="0"/>
                    <w:widowControl/>
                    <w:bidi w:val="0"/>
                    <w:spacing w:before="124" w:line="183" w:lineRule="auto"/>
                    <w:jc w:val="center"/>
                    <w:rPr>
                      <w:rFonts w:hint="eastAsia" w:ascii="Times New Roman" w:hAnsi="Times New Roman" w:eastAsia="宋体"/>
                      <w:color w:val="auto"/>
                      <w:spacing w:val="-2"/>
                      <w:sz w:val="21"/>
                      <w:szCs w:val="21"/>
                      <w:highlight w:val="none"/>
                      <w:lang w:val="en-US" w:eastAsia="zh-CN"/>
                    </w:rPr>
                  </w:pPr>
                  <w:r>
                    <w:rPr>
                      <w:rFonts w:hint="eastAsia" w:ascii="Times New Roman" w:hAnsi="Times New Roman"/>
                      <w:color w:val="auto"/>
                      <w:spacing w:val="-2"/>
                      <w:sz w:val="21"/>
                      <w:szCs w:val="21"/>
                      <w:highlight w:val="none"/>
                      <w:lang w:val="en-US" w:eastAsia="zh-CN"/>
                    </w:rPr>
                    <w:t>NO</w:t>
                  </w:r>
                  <w:r>
                    <w:rPr>
                      <w:rFonts w:hint="eastAsia" w:ascii="Times New Roman" w:hAnsi="Times New Roman"/>
                      <w:color w:val="auto"/>
                      <w:spacing w:val="-2"/>
                      <w:sz w:val="21"/>
                      <w:szCs w:val="21"/>
                      <w:highlight w:val="none"/>
                      <w:vertAlign w:val="subscript"/>
                      <w:lang w:val="en-US" w:eastAsia="zh-CN"/>
                    </w:rPr>
                    <w:t>X</w:t>
                  </w:r>
                </w:p>
              </w:tc>
              <w:tc>
                <w:tcPr>
                  <w:tcW w:w="709" w:type="dxa"/>
                  <w:noWrap w:val="0"/>
                  <w:vAlign w:val="center"/>
                </w:tcPr>
                <w:p w14:paraId="47926E65">
                  <w:pPr>
                    <w:pStyle w:val="191"/>
                    <w:keepLines/>
                    <w:pageBreakBefore w:val="0"/>
                    <w:widowControl/>
                    <w:bidi w:val="0"/>
                    <w:spacing w:before="124" w:line="183" w:lineRule="auto"/>
                    <w:jc w:val="center"/>
                    <w:rPr>
                      <w:rFonts w:hint="default" w:ascii="Times New Roman" w:hAnsi="Times New Roman" w:eastAsia="宋体"/>
                      <w:color w:val="auto"/>
                      <w:spacing w:val="-2"/>
                      <w:sz w:val="21"/>
                      <w:szCs w:val="21"/>
                      <w:highlight w:val="none"/>
                      <w:lang w:val="en-US" w:eastAsia="zh-CN"/>
                    </w:rPr>
                  </w:pPr>
                  <w:r>
                    <w:rPr>
                      <w:rFonts w:hint="eastAsia" w:ascii="Times New Roman" w:hAnsi="Times New Roman" w:eastAsia="宋体"/>
                      <w:color w:val="auto"/>
                      <w:spacing w:val="-2"/>
                      <w:sz w:val="21"/>
                      <w:szCs w:val="21"/>
                      <w:highlight w:val="none"/>
                      <w:lang w:val="en-US" w:eastAsia="zh-CN"/>
                    </w:rPr>
                    <w:t>颗粒物</w:t>
                  </w:r>
                </w:p>
              </w:tc>
              <w:tc>
                <w:tcPr>
                  <w:tcW w:w="1055" w:type="dxa"/>
                  <w:noWrap w:val="0"/>
                  <w:vAlign w:val="center"/>
                </w:tcPr>
                <w:p w14:paraId="2FD97CD8">
                  <w:pPr>
                    <w:pStyle w:val="191"/>
                    <w:keepLines/>
                    <w:pageBreakBefore w:val="0"/>
                    <w:widowControl/>
                    <w:bidi w:val="0"/>
                    <w:spacing w:before="124" w:line="183" w:lineRule="auto"/>
                    <w:jc w:val="center"/>
                    <w:rPr>
                      <w:rFonts w:hint="default" w:ascii="Times New Roman" w:hAnsi="Times New Roman" w:eastAsia="宋体"/>
                      <w:color w:val="auto"/>
                      <w:spacing w:val="-2"/>
                      <w:sz w:val="21"/>
                      <w:szCs w:val="21"/>
                      <w:highlight w:val="none"/>
                      <w:lang w:val="en-US" w:eastAsia="zh-CN"/>
                    </w:rPr>
                  </w:pPr>
                  <w:r>
                    <w:rPr>
                      <w:rFonts w:hint="eastAsia" w:ascii="Times New Roman" w:hAnsi="Times New Roman"/>
                      <w:color w:val="auto"/>
                      <w:lang w:val="en-US" w:eastAsia="zh-CN"/>
                    </w:rPr>
                    <w:t>TVOC、</w:t>
                  </w:r>
                  <w:r>
                    <w:rPr>
                      <w:rFonts w:hint="eastAsia" w:ascii="Times New Roman" w:hAnsi="Times New Roman" w:eastAsia="宋体"/>
                      <w:color w:val="auto"/>
                      <w:spacing w:val="-2"/>
                      <w:sz w:val="21"/>
                      <w:szCs w:val="21"/>
                      <w:highlight w:val="none"/>
                      <w:lang w:val="en-US" w:eastAsia="zh-CN"/>
                    </w:rPr>
                    <w:t>非甲烷总烃</w:t>
                  </w:r>
                </w:p>
              </w:tc>
              <w:tc>
                <w:tcPr>
                  <w:tcW w:w="930" w:type="dxa"/>
                  <w:noWrap w:val="0"/>
                  <w:vAlign w:val="center"/>
                </w:tcPr>
                <w:p w14:paraId="7D1F8B8A">
                  <w:pPr>
                    <w:pStyle w:val="191"/>
                    <w:keepLines/>
                    <w:pageBreakBefore w:val="0"/>
                    <w:widowControl/>
                    <w:bidi w:val="0"/>
                    <w:spacing w:before="81" w:line="220" w:lineRule="auto"/>
                    <w:jc w:val="center"/>
                    <w:rPr>
                      <w:rFonts w:hint="eastAsia" w:ascii="Times New Roman" w:hAnsi="Times New Roman" w:eastAsia="宋体"/>
                      <w:color w:val="auto"/>
                      <w:spacing w:val="-2"/>
                      <w:sz w:val="21"/>
                      <w:szCs w:val="21"/>
                      <w:highlight w:val="none"/>
                      <w:lang w:val="en-US" w:eastAsia="zh-CN"/>
                    </w:rPr>
                  </w:pPr>
                  <w:r>
                    <w:rPr>
                      <w:rFonts w:hint="eastAsia" w:ascii="Times New Roman" w:hAnsi="Times New Roman"/>
                      <w:color w:val="auto"/>
                      <w:lang w:val="en-US" w:eastAsia="zh-CN"/>
                    </w:rPr>
                    <w:t>TVOC、</w:t>
                  </w:r>
                  <w:r>
                    <w:rPr>
                      <w:rFonts w:hint="eastAsia" w:ascii="Times New Roman" w:hAnsi="Times New Roman" w:eastAsia="宋体"/>
                      <w:color w:val="auto"/>
                      <w:spacing w:val="-2"/>
                      <w:sz w:val="21"/>
                      <w:szCs w:val="21"/>
                      <w:highlight w:val="none"/>
                      <w:lang w:val="en-US" w:eastAsia="zh-CN"/>
                    </w:rPr>
                    <w:t>非甲烷总烃</w:t>
                  </w:r>
                </w:p>
              </w:tc>
              <w:tc>
                <w:tcPr>
                  <w:tcW w:w="1078" w:type="dxa"/>
                  <w:noWrap w:val="0"/>
                  <w:vAlign w:val="center"/>
                </w:tcPr>
                <w:p w14:paraId="7610CBD8">
                  <w:pPr>
                    <w:pStyle w:val="191"/>
                    <w:keepLines/>
                    <w:pageBreakBefore w:val="0"/>
                    <w:widowControl/>
                    <w:bidi w:val="0"/>
                    <w:spacing w:before="81" w:line="220" w:lineRule="auto"/>
                    <w:jc w:val="center"/>
                    <w:rPr>
                      <w:rFonts w:hint="default" w:ascii="Times New Roman" w:hAnsi="Times New Roman" w:eastAsia="宋体"/>
                      <w:color w:val="auto"/>
                      <w:spacing w:val="-2"/>
                      <w:sz w:val="21"/>
                      <w:szCs w:val="21"/>
                      <w:highlight w:val="none"/>
                      <w:lang w:val="en-US" w:eastAsia="zh-CN"/>
                    </w:rPr>
                  </w:pPr>
                  <w:r>
                    <w:rPr>
                      <w:rFonts w:hint="eastAsia" w:ascii="Times New Roman" w:hAnsi="Times New Roman"/>
                      <w:color w:val="auto"/>
                      <w:lang w:val="en-US" w:eastAsia="zh-CN"/>
                    </w:rPr>
                    <w:t>TVOC、</w:t>
                  </w:r>
                  <w:r>
                    <w:rPr>
                      <w:rFonts w:hint="eastAsia" w:ascii="Times New Roman" w:hAnsi="Times New Roman" w:eastAsia="宋体"/>
                      <w:color w:val="auto"/>
                      <w:spacing w:val="-2"/>
                      <w:sz w:val="21"/>
                      <w:szCs w:val="21"/>
                      <w:highlight w:val="none"/>
                      <w:lang w:val="en-US" w:eastAsia="zh-CN"/>
                    </w:rPr>
                    <w:t>非甲烷总烃合计</w:t>
                  </w:r>
                </w:p>
              </w:tc>
            </w:tr>
            <w:tr w14:paraId="4A7BD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2855" w:type="dxa"/>
                  <w:gridSpan w:val="2"/>
                  <w:noWrap w:val="0"/>
                  <w:vAlign w:val="center"/>
                </w:tcPr>
                <w:p w14:paraId="587505E3">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2"/>
                      <w:sz w:val="21"/>
                      <w:szCs w:val="21"/>
                      <w:highlight w:val="none"/>
                    </w:rPr>
                    <w:t>产生量t/a</w:t>
                  </w:r>
                </w:p>
              </w:tc>
              <w:tc>
                <w:tcPr>
                  <w:tcW w:w="681" w:type="dxa"/>
                  <w:noWrap w:val="0"/>
                  <w:vAlign w:val="center"/>
                </w:tcPr>
                <w:p w14:paraId="27725AE8">
                  <w:pPr>
                    <w:pStyle w:val="191"/>
                    <w:keepLines/>
                    <w:pageBreakBefore w:val="0"/>
                    <w:widowControl/>
                    <w:bidi w:val="0"/>
                    <w:spacing w:before="124" w:line="183" w:lineRule="auto"/>
                    <w:jc w:val="center"/>
                    <w:rPr>
                      <w:rFonts w:hint="default" w:ascii="Times New Roman" w:hAnsi="Times New Roman" w:eastAsia="宋体"/>
                      <w:color w:val="auto"/>
                      <w:spacing w:val="0"/>
                      <w:sz w:val="21"/>
                      <w:szCs w:val="21"/>
                      <w:highlight w:val="none"/>
                      <w:lang w:val="en-US" w:eastAsia="zh-CN"/>
                    </w:rPr>
                  </w:pPr>
                  <w:r>
                    <w:rPr>
                      <w:rFonts w:hint="eastAsia" w:ascii="Times New Roman" w:hAnsi="Times New Roman" w:eastAsia="宋体"/>
                      <w:color w:val="auto"/>
                      <w:spacing w:val="0"/>
                      <w:sz w:val="21"/>
                      <w:szCs w:val="21"/>
                      <w:highlight w:val="none"/>
                      <w:lang w:val="en-US" w:eastAsia="zh-CN"/>
                    </w:rPr>
                    <w:t>0.0</w:t>
                  </w:r>
                  <w:r>
                    <w:rPr>
                      <w:rFonts w:hint="eastAsia" w:ascii="Times New Roman" w:hAnsi="Times New Roman"/>
                      <w:color w:val="auto"/>
                      <w:spacing w:val="0"/>
                      <w:sz w:val="21"/>
                      <w:szCs w:val="21"/>
                      <w:highlight w:val="none"/>
                      <w:lang w:val="en-US" w:eastAsia="zh-CN"/>
                    </w:rPr>
                    <w:t>324</w:t>
                  </w:r>
                </w:p>
              </w:tc>
              <w:tc>
                <w:tcPr>
                  <w:tcW w:w="748" w:type="dxa"/>
                  <w:noWrap w:val="0"/>
                  <w:vAlign w:val="center"/>
                </w:tcPr>
                <w:p w14:paraId="6D246533">
                  <w:pPr>
                    <w:pStyle w:val="191"/>
                    <w:keepLines/>
                    <w:pageBreakBefore w:val="0"/>
                    <w:widowControl/>
                    <w:bidi w:val="0"/>
                    <w:spacing w:before="124" w:line="183" w:lineRule="auto"/>
                    <w:jc w:val="center"/>
                    <w:rPr>
                      <w:rFonts w:hint="default" w:ascii="Times New Roman" w:hAnsi="Times New Roman" w:eastAsia="宋体"/>
                      <w:color w:val="auto"/>
                      <w:spacing w:val="0"/>
                      <w:sz w:val="21"/>
                      <w:szCs w:val="21"/>
                      <w:highlight w:val="none"/>
                      <w:lang w:val="en-US" w:eastAsia="zh-CN"/>
                    </w:rPr>
                  </w:pPr>
                  <w:r>
                    <w:rPr>
                      <w:rFonts w:hint="eastAsia" w:ascii="Times New Roman" w:hAnsi="Times New Roman" w:eastAsia="宋体"/>
                      <w:color w:val="auto"/>
                      <w:spacing w:val="0"/>
                      <w:sz w:val="21"/>
                      <w:szCs w:val="21"/>
                      <w:highlight w:val="none"/>
                      <w:lang w:val="en-US" w:eastAsia="zh-CN"/>
                    </w:rPr>
                    <w:t>0.2</w:t>
                  </w:r>
                  <w:r>
                    <w:rPr>
                      <w:rFonts w:hint="eastAsia" w:ascii="Times New Roman" w:hAnsi="Times New Roman"/>
                      <w:color w:val="auto"/>
                      <w:spacing w:val="0"/>
                      <w:sz w:val="21"/>
                      <w:szCs w:val="21"/>
                      <w:highlight w:val="none"/>
                      <w:lang w:val="en-US" w:eastAsia="zh-CN"/>
                    </w:rPr>
                    <w:t>818</w:t>
                  </w:r>
                </w:p>
              </w:tc>
              <w:tc>
                <w:tcPr>
                  <w:tcW w:w="709" w:type="dxa"/>
                  <w:noWrap w:val="0"/>
                  <w:vAlign w:val="center"/>
                </w:tcPr>
                <w:p w14:paraId="02FD9C74">
                  <w:pPr>
                    <w:pStyle w:val="191"/>
                    <w:keepLines/>
                    <w:pageBreakBefore w:val="0"/>
                    <w:widowControl/>
                    <w:bidi w:val="0"/>
                    <w:spacing w:before="124" w:line="183" w:lineRule="auto"/>
                    <w:jc w:val="center"/>
                    <w:rPr>
                      <w:rFonts w:hint="default" w:ascii="Times New Roman" w:hAnsi="Times New Roman" w:eastAsia="宋体" w:cs="Times New Roman"/>
                      <w:bCs/>
                      <w:color w:val="auto"/>
                      <w:spacing w:val="-10"/>
                      <w:sz w:val="21"/>
                      <w:szCs w:val="21"/>
                      <w:lang w:val="en-US" w:eastAsia="zh-CN"/>
                    </w:rPr>
                  </w:pPr>
                  <w:r>
                    <w:rPr>
                      <w:rFonts w:hint="eastAsia" w:ascii="Times New Roman" w:hAnsi="Times New Roman" w:eastAsia="宋体" w:cs="Times New Roman"/>
                      <w:bCs/>
                      <w:color w:val="auto"/>
                      <w:spacing w:val="-10"/>
                      <w:sz w:val="21"/>
                      <w:szCs w:val="21"/>
                      <w:lang w:val="en-US" w:eastAsia="zh-CN"/>
                    </w:rPr>
                    <w:t>0.0</w:t>
                  </w:r>
                  <w:r>
                    <w:rPr>
                      <w:rFonts w:hint="eastAsia" w:ascii="Times New Roman" w:hAnsi="Times New Roman" w:cs="Times New Roman"/>
                      <w:bCs/>
                      <w:color w:val="auto"/>
                      <w:spacing w:val="-10"/>
                      <w:sz w:val="21"/>
                      <w:szCs w:val="21"/>
                      <w:lang w:val="en-US" w:eastAsia="zh-CN"/>
                    </w:rPr>
                    <w:t>104</w:t>
                  </w:r>
                </w:p>
              </w:tc>
              <w:tc>
                <w:tcPr>
                  <w:tcW w:w="1055" w:type="dxa"/>
                  <w:noWrap w:val="0"/>
                  <w:vAlign w:val="center"/>
                </w:tcPr>
                <w:p w14:paraId="3F3CDC90">
                  <w:pPr>
                    <w:pStyle w:val="191"/>
                    <w:keepLines/>
                    <w:pageBreakBefore w:val="0"/>
                    <w:widowControl/>
                    <w:bidi w:val="0"/>
                    <w:spacing w:before="81" w:line="220" w:lineRule="auto"/>
                    <w:jc w:val="center"/>
                    <w:rPr>
                      <w:rFonts w:hint="default" w:ascii="Times New Roman" w:hAnsi="Times New Roman" w:eastAsia="宋体" w:cs="Times New Roman"/>
                      <w:bCs/>
                      <w:color w:val="auto"/>
                      <w:spacing w:val="-10"/>
                      <w:sz w:val="21"/>
                      <w:szCs w:val="21"/>
                      <w:lang w:val="en-US" w:eastAsia="zh-CN"/>
                    </w:rPr>
                  </w:pPr>
                  <w:r>
                    <w:rPr>
                      <w:rFonts w:hint="eastAsia" w:ascii="Times New Roman" w:hAnsi="Times New Roman" w:eastAsia="宋体" w:cs="Times New Roman"/>
                      <w:bCs/>
                      <w:color w:val="auto"/>
                      <w:spacing w:val="-10"/>
                      <w:sz w:val="21"/>
                      <w:szCs w:val="21"/>
                      <w:lang w:val="en-US" w:eastAsia="zh-CN"/>
                    </w:rPr>
                    <w:t>0.0</w:t>
                  </w:r>
                  <w:r>
                    <w:rPr>
                      <w:rFonts w:hint="eastAsia" w:ascii="Times New Roman" w:hAnsi="Times New Roman" w:cs="Times New Roman"/>
                      <w:bCs/>
                      <w:color w:val="auto"/>
                      <w:spacing w:val="-10"/>
                      <w:sz w:val="21"/>
                      <w:szCs w:val="21"/>
                      <w:lang w:val="en-US" w:eastAsia="zh-CN"/>
                    </w:rPr>
                    <w:t>858</w:t>
                  </w:r>
                </w:p>
              </w:tc>
              <w:tc>
                <w:tcPr>
                  <w:tcW w:w="930" w:type="dxa"/>
                  <w:noWrap w:val="0"/>
                  <w:vAlign w:val="center"/>
                </w:tcPr>
                <w:p w14:paraId="6741D316">
                  <w:pPr>
                    <w:keepNext w:val="0"/>
                    <w:keepLines w:val="0"/>
                    <w:widowControl/>
                    <w:suppressLineNumbers w:val="0"/>
                    <w:jc w:val="center"/>
                    <w:textAlignment w:val="center"/>
                    <w:rPr>
                      <w:rFonts w:hint="default" w:ascii="Times New Roman" w:hAnsi="Times New Roman" w:eastAsia="宋体" w:cs="Times New Roman"/>
                      <w:bCs/>
                      <w:color w:val="auto"/>
                      <w:spacing w:val="-10"/>
                      <w:sz w:val="21"/>
                      <w:szCs w:val="21"/>
                      <w:lang w:val="en-US" w:eastAsia="zh-CN"/>
                    </w:rPr>
                  </w:pPr>
                  <w:r>
                    <w:rPr>
                      <w:color w:val="auto"/>
                      <w:szCs w:val="21"/>
                    </w:rPr>
                    <w:t>0.0</w:t>
                  </w:r>
                  <w:r>
                    <w:rPr>
                      <w:rFonts w:hint="eastAsia"/>
                      <w:color w:val="auto"/>
                      <w:szCs w:val="21"/>
                      <w:lang w:val="en-US" w:eastAsia="zh-CN"/>
                    </w:rPr>
                    <w:t>102</w:t>
                  </w:r>
                </w:p>
              </w:tc>
              <w:tc>
                <w:tcPr>
                  <w:tcW w:w="1078" w:type="dxa"/>
                  <w:noWrap w:val="0"/>
                  <w:vAlign w:val="center"/>
                </w:tcPr>
                <w:p w14:paraId="7C2AFC68">
                  <w:pPr>
                    <w:keepNext w:val="0"/>
                    <w:keepLines w:val="0"/>
                    <w:widowControl/>
                    <w:suppressLineNumbers w:val="0"/>
                    <w:jc w:val="center"/>
                    <w:textAlignment w:val="center"/>
                    <w:rPr>
                      <w:rFonts w:hint="default" w:ascii="Times New Roman" w:hAnsi="Times New Roman" w:eastAsia="宋体" w:cs="Times New Roman"/>
                      <w:bCs/>
                      <w:color w:val="auto"/>
                      <w:spacing w:val="-10"/>
                      <w:sz w:val="21"/>
                      <w:szCs w:val="21"/>
                      <w:lang w:val="en-US" w:eastAsia="zh-CN"/>
                    </w:rPr>
                  </w:pPr>
                  <w:r>
                    <w:rPr>
                      <w:rFonts w:hint="eastAsia" w:ascii="Times New Roman" w:hAnsi="Times New Roman" w:eastAsia="宋体" w:cs="Times New Roman"/>
                      <w:bCs/>
                      <w:color w:val="auto"/>
                      <w:spacing w:val="-10"/>
                      <w:sz w:val="21"/>
                      <w:szCs w:val="21"/>
                      <w:lang w:val="en-US" w:eastAsia="zh-CN"/>
                    </w:rPr>
                    <w:t>0.09</w:t>
                  </w:r>
                  <w:r>
                    <w:rPr>
                      <w:rFonts w:hint="eastAsia" w:cs="Times New Roman"/>
                      <w:bCs/>
                      <w:color w:val="auto"/>
                      <w:spacing w:val="-10"/>
                      <w:sz w:val="21"/>
                      <w:szCs w:val="21"/>
                      <w:lang w:val="en-US" w:eastAsia="zh-CN"/>
                    </w:rPr>
                    <w:t>6</w:t>
                  </w:r>
                </w:p>
              </w:tc>
            </w:tr>
            <w:tr w14:paraId="32501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2855" w:type="dxa"/>
                  <w:gridSpan w:val="2"/>
                  <w:noWrap w:val="0"/>
                  <w:vAlign w:val="center"/>
                </w:tcPr>
                <w:p w14:paraId="3A0C57CE">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olor w:val="auto"/>
                      <w:spacing w:val="-2"/>
                      <w:sz w:val="21"/>
                      <w:szCs w:val="21"/>
                      <w:highlight w:val="none"/>
                      <w:lang w:val="en-US" w:eastAsia="zh-CN"/>
                    </w:rPr>
                  </w:pPr>
                  <w:r>
                    <w:rPr>
                      <w:rFonts w:hint="eastAsia" w:ascii="Times New Roman" w:hAnsi="Times New Roman" w:eastAsia="宋体"/>
                      <w:color w:val="auto"/>
                      <w:spacing w:val="-2"/>
                      <w:sz w:val="21"/>
                      <w:szCs w:val="21"/>
                      <w:highlight w:val="none"/>
                      <w:lang w:val="en-US" w:eastAsia="zh-CN"/>
                    </w:rPr>
                    <w:t>收集效率</w:t>
                  </w:r>
                </w:p>
              </w:tc>
              <w:tc>
                <w:tcPr>
                  <w:tcW w:w="681" w:type="dxa"/>
                  <w:noWrap w:val="0"/>
                  <w:vAlign w:val="center"/>
                </w:tcPr>
                <w:p w14:paraId="413305D2">
                  <w:pPr>
                    <w:keepNext w:val="0"/>
                    <w:keepLines w:val="0"/>
                    <w:widowControl/>
                    <w:suppressLineNumbers w:val="0"/>
                    <w:jc w:val="center"/>
                    <w:textAlignment w:val="center"/>
                    <w:rPr>
                      <w:rFonts w:hint="default" w:ascii="Times New Roman" w:hAnsi="Times New Roman" w:eastAsia="宋体"/>
                      <w:b/>
                      <w:bCs/>
                      <w:color w:val="auto"/>
                      <w:spacing w:val="0"/>
                      <w:sz w:val="21"/>
                      <w:szCs w:val="21"/>
                      <w:highlight w:val="none"/>
                      <w:lang w:val="en-US" w:eastAsia="zh-CN"/>
                    </w:rPr>
                  </w:pPr>
                  <w:r>
                    <w:rPr>
                      <w:rFonts w:hint="eastAsia" w:cs="Times New Roman"/>
                      <w:b/>
                      <w:bCs/>
                      <w:i w:val="0"/>
                      <w:iCs w:val="0"/>
                      <w:color w:val="auto"/>
                      <w:kern w:val="0"/>
                      <w:sz w:val="21"/>
                      <w:szCs w:val="21"/>
                      <w:u w:val="none"/>
                      <w:lang w:val="en-US" w:eastAsia="zh-CN" w:bidi="ar"/>
                    </w:rPr>
                    <w:t>8</w:t>
                  </w:r>
                  <w:r>
                    <w:rPr>
                      <w:rFonts w:hint="default" w:ascii="Times New Roman" w:hAnsi="Times New Roman" w:eastAsia="宋体" w:cs="Times New Roman"/>
                      <w:b/>
                      <w:bCs/>
                      <w:i w:val="0"/>
                      <w:iCs w:val="0"/>
                      <w:color w:val="auto"/>
                      <w:kern w:val="0"/>
                      <w:sz w:val="21"/>
                      <w:szCs w:val="21"/>
                      <w:u w:val="none"/>
                      <w:lang w:val="en-US" w:eastAsia="zh-CN" w:bidi="ar"/>
                    </w:rPr>
                    <w:t>0%</w:t>
                  </w:r>
                </w:p>
              </w:tc>
              <w:tc>
                <w:tcPr>
                  <w:tcW w:w="748" w:type="dxa"/>
                  <w:noWrap w:val="0"/>
                  <w:vAlign w:val="center"/>
                </w:tcPr>
                <w:p w14:paraId="2AAF19E7">
                  <w:pPr>
                    <w:keepNext w:val="0"/>
                    <w:keepLines w:val="0"/>
                    <w:widowControl/>
                    <w:suppressLineNumbers w:val="0"/>
                    <w:jc w:val="center"/>
                    <w:textAlignment w:val="center"/>
                    <w:rPr>
                      <w:rFonts w:hint="eastAsia" w:ascii="Times New Roman" w:hAnsi="Times New Roman" w:eastAsia="宋体"/>
                      <w:b/>
                      <w:bCs/>
                      <w:color w:val="auto"/>
                      <w:spacing w:val="0"/>
                      <w:sz w:val="21"/>
                      <w:szCs w:val="21"/>
                      <w:highlight w:val="none"/>
                      <w:lang w:val="en-US" w:eastAsia="zh-CN"/>
                    </w:rPr>
                  </w:pPr>
                  <w:r>
                    <w:rPr>
                      <w:rFonts w:hint="eastAsia" w:cs="Times New Roman"/>
                      <w:b/>
                      <w:bCs/>
                      <w:i w:val="0"/>
                      <w:iCs w:val="0"/>
                      <w:color w:val="auto"/>
                      <w:kern w:val="0"/>
                      <w:sz w:val="21"/>
                      <w:szCs w:val="21"/>
                      <w:u w:val="none"/>
                      <w:lang w:val="en-US" w:eastAsia="zh-CN" w:bidi="ar"/>
                    </w:rPr>
                    <w:t>8</w:t>
                  </w:r>
                  <w:r>
                    <w:rPr>
                      <w:rFonts w:hint="default" w:ascii="Times New Roman" w:hAnsi="Times New Roman" w:eastAsia="宋体" w:cs="Times New Roman"/>
                      <w:b/>
                      <w:bCs/>
                      <w:i w:val="0"/>
                      <w:iCs w:val="0"/>
                      <w:color w:val="auto"/>
                      <w:kern w:val="0"/>
                      <w:sz w:val="21"/>
                      <w:szCs w:val="21"/>
                      <w:u w:val="none"/>
                      <w:lang w:val="en-US" w:eastAsia="zh-CN" w:bidi="ar"/>
                    </w:rPr>
                    <w:t>0%</w:t>
                  </w:r>
                </w:p>
              </w:tc>
              <w:tc>
                <w:tcPr>
                  <w:tcW w:w="709" w:type="dxa"/>
                  <w:noWrap w:val="0"/>
                  <w:vAlign w:val="center"/>
                </w:tcPr>
                <w:p w14:paraId="37A173F9">
                  <w:pPr>
                    <w:keepNext w:val="0"/>
                    <w:keepLines w:val="0"/>
                    <w:widowControl/>
                    <w:suppressLineNumbers w:val="0"/>
                    <w:jc w:val="center"/>
                    <w:textAlignment w:val="center"/>
                    <w:rPr>
                      <w:rFonts w:hint="default" w:ascii="Times New Roman" w:hAnsi="Times New Roman" w:eastAsia="宋体"/>
                      <w:b/>
                      <w:bCs/>
                      <w:color w:val="auto"/>
                      <w:spacing w:val="0"/>
                      <w:sz w:val="21"/>
                      <w:szCs w:val="21"/>
                      <w:highlight w:val="none"/>
                      <w:lang w:val="en-US" w:eastAsia="zh-CN"/>
                    </w:rPr>
                  </w:pPr>
                  <w:r>
                    <w:rPr>
                      <w:rFonts w:hint="eastAsia" w:cs="Times New Roman"/>
                      <w:b/>
                      <w:bCs/>
                      <w:i w:val="0"/>
                      <w:iCs w:val="0"/>
                      <w:color w:val="auto"/>
                      <w:kern w:val="0"/>
                      <w:sz w:val="21"/>
                      <w:szCs w:val="21"/>
                      <w:u w:val="none"/>
                      <w:lang w:val="en-US" w:eastAsia="zh-CN" w:bidi="ar"/>
                    </w:rPr>
                    <w:t>8</w:t>
                  </w:r>
                  <w:r>
                    <w:rPr>
                      <w:rFonts w:hint="default" w:ascii="Times New Roman" w:hAnsi="Times New Roman" w:eastAsia="宋体" w:cs="Times New Roman"/>
                      <w:b/>
                      <w:bCs/>
                      <w:i w:val="0"/>
                      <w:iCs w:val="0"/>
                      <w:color w:val="auto"/>
                      <w:kern w:val="0"/>
                      <w:sz w:val="21"/>
                      <w:szCs w:val="21"/>
                      <w:u w:val="none"/>
                      <w:lang w:val="en-US" w:eastAsia="zh-CN" w:bidi="ar"/>
                    </w:rPr>
                    <w:t>0%</w:t>
                  </w:r>
                </w:p>
              </w:tc>
              <w:tc>
                <w:tcPr>
                  <w:tcW w:w="1055" w:type="dxa"/>
                  <w:noWrap w:val="0"/>
                  <w:vAlign w:val="center"/>
                </w:tcPr>
                <w:p w14:paraId="5E8E4164">
                  <w:pPr>
                    <w:keepNext w:val="0"/>
                    <w:keepLines w:val="0"/>
                    <w:widowControl/>
                    <w:suppressLineNumbers w:val="0"/>
                    <w:jc w:val="center"/>
                    <w:textAlignment w:val="center"/>
                    <w:rPr>
                      <w:rFonts w:hint="default" w:ascii="Times New Roman" w:hAnsi="Times New Roman" w:eastAsia="宋体"/>
                      <w:color w:val="auto"/>
                      <w:spacing w:val="0"/>
                      <w:sz w:val="21"/>
                      <w:szCs w:val="21"/>
                      <w:highlight w:val="none"/>
                      <w:lang w:val="en-US" w:eastAsia="zh-CN"/>
                    </w:rPr>
                  </w:pPr>
                  <w:r>
                    <w:rPr>
                      <w:rFonts w:hint="eastAsia" w:cs="Times New Roman"/>
                      <w:b/>
                      <w:bCs/>
                      <w:i w:val="0"/>
                      <w:iCs w:val="0"/>
                      <w:color w:val="auto"/>
                      <w:kern w:val="0"/>
                      <w:sz w:val="21"/>
                      <w:szCs w:val="21"/>
                      <w:u w:val="none"/>
                      <w:lang w:val="en-US" w:eastAsia="zh-CN" w:bidi="ar"/>
                    </w:rPr>
                    <w:t>8</w:t>
                  </w:r>
                  <w:r>
                    <w:rPr>
                      <w:rFonts w:hint="default" w:ascii="Times New Roman" w:hAnsi="Times New Roman" w:eastAsia="宋体" w:cs="Times New Roman"/>
                      <w:b/>
                      <w:bCs/>
                      <w:i w:val="0"/>
                      <w:iCs w:val="0"/>
                      <w:color w:val="auto"/>
                      <w:kern w:val="0"/>
                      <w:sz w:val="21"/>
                      <w:szCs w:val="21"/>
                      <w:u w:val="none"/>
                      <w:lang w:val="en-US" w:eastAsia="zh-CN" w:bidi="ar"/>
                    </w:rPr>
                    <w:t>0%</w:t>
                  </w:r>
                </w:p>
              </w:tc>
              <w:tc>
                <w:tcPr>
                  <w:tcW w:w="930" w:type="dxa"/>
                  <w:noWrap w:val="0"/>
                  <w:vAlign w:val="center"/>
                </w:tcPr>
                <w:p w14:paraId="7248882D">
                  <w:pPr>
                    <w:keepNext w:val="0"/>
                    <w:keepLines w:val="0"/>
                    <w:widowControl/>
                    <w:suppressLineNumbers w:val="0"/>
                    <w:jc w:val="center"/>
                    <w:textAlignment w:val="center"/>
                    <w:rPr>
                      <w:rFonts w:hint="default" w:ascii="Times New Roman" w:hAnsi="Times New Roman" w:eastAsia="宋体"/>
                      <w:color w:val="auto"/>
                      <w:spacing w:val="0"/>
                      <w:sz w:val="21"/>
                      <w:szCs w:val="21"/>
                      <w:highlight w:val="none"/>
                      <w:lang w:val="en-US" w:eastAsia="zh-CN"/>
                    </w:rPr>
                  </w:pPr>
                  <w:r>
                    <w:rPr>
                      <w:rFonts w:hint="eastAsia"/>
                      <w:color w:val="auto"/>
                      <w:spacing w:val="0"/>
                      <w:sz w:val="21"/>
                      <w:szCs w:val="21"/>
                      <w:highlight w:val="none"/>
                      <w:lang w:val="en-US" w:eastAsia="zh-CN"/>
                    </w:rPr>
                    <w:t>90</w:t>
                  </w:r>
                  <w:r>
                    <w:rPr>
                      <w:rFonts w:hint="eastAsia" w:ascii="Times New Roman" w:hAnsi="Times New Roman" w:eastAsia="宋体"/>
                      <w:color w:val="auto"/>
                      <w:spacing w:val="0"/>
                      <w:sz w:val="21"/>
                      <w:szCs w:val="21"/>
                      <w:highlight w:val="none"/>
                      <w:lang w:val="en-US" w:eastAsia="zh-CN"/>
                    </w:rPr>
                    <w:t>%</w:t>
                  </w:r>
                </w:p>
              </w:tc>
              <w:tc>
                <w:tcPr>
                  <w:tcW w:w="1078" w:type="dxa"/>
                  <w:noWrap w:val="0"/>
                  <w:vAlign w:val="center"/>
                </w:tcPr>
                <w:p w14:paraId="149954CB">
                  <w:pPr>
                    <w:keepNext w:val="0"/>
                    <w:keepLines w:val="0"/>
                    <w:widowControl/>
                    <w:suppressLineNumbers w:val="0"/>
                    <w:jc w:val="center"/>
                    <w:textAlignment w:val="center"/>
                    <w:rPr>
                      <w:rFonts w:hint="default" w:ascii="Times New Roman" w:hAnsi="Times New Roman" w:eastAsia="宋体"/>
                      <w:color w:val="auto"/>
                      <w:spacing w:val="0"/>
                      <w:sz w:val="21"/>
                      <w:szCs w:val="21"/>
                      <w:highlight w:val="none"/>
                      <w:lang w:val="en-US" w:eastAsia="zh-CN"/>
                    </w:rPr>
                  </w:pPr>
                  <w:r>
                    <w:rPr>
                      <w:rFonts w:hint="eastAsia" w:ascii="Times New Roman" w:hAnsi="Times New Roman" w:eastAsia="宋体"/>
                      <w:color w:val="auto"/>
                      <w:spacing w:val="0"/>
                      <w:sz w:val="21"/>
                      <w:szCs w:val="21"/>
                      <w:highlight w:val="none"/>
                      <w:lang w:val="en-US" w:eastAsia="zh-CN"/>
                    </w:rPr>
                    <w:t>/</w:t>
                  </w:r>
                </w:p>
              </w:tc>
            </w:tr>
            <w:tr w14:paraId="7D0A4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2855" w:type="dxa"/>
                  <w:gridSpan w:val="2"/>
                  <w:noWrap w:val="0"/>
                  <w:vAlign w:val="center"/>
                </w:tcPr>
                <w:p w14:paraId="3E8AED2D">
                  <w:pPr>
                    <w:pStyle w:val="191"/>
                    <w:keepNext w:val="0"/>
                    <w:keepLines/>
                    <w:pageBreakBefore w:val="0"/>
                    <w:widowControl/>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olor w:val="auto"/>
                      <w:spacing w:val="-2"/>
                      <w:sz w:val="21"/>
                      <w:szCs w:val="21"/>
                      <w:highlight w:val="none"/>
                      <w:lang w:val="en-US" w:eastAsia="zh-CN"/>
                    </w:rPr>
                  </w:pPr>
                  <w:r>
                    <w:rPr>
                      <w:rFonts w:hint="eastAsia" w:ascii="Times New Roman" w:hAnsi="Times New Roman" w:eastAsia="宋体"/>
                      <w:color w:val="auto"/>
                      <w:spacing w:val="-2"/>
                      <w:sz w:val="21"/>
                      <w:szCs w:val="21"/>
                      <w:highlight w:val="none"/>
                      <w:lang w:val="en-US" w:eastAsia="zh-CN"/>
                    </w:rPr>
                    <w:t>去除率</w:t>
                  </w:r>
                </w:p>
              </w:tc>
              <w:tc>
                <w:tcPr>
                  <w:tcW w:w="2138" w:type="dxa"/>
                  <w:gridSpan w:val="3"/>
                  <w:noWrap w:val="0"/>
                  <w:vAlign w:val="center"/>
                </w:tcPr>
                <w:p w14:paraId="5236672A">
                  <w:pPr>
                    <w:pStyle w:val="191"/>
                    <w:keepLines/>
                    <w:pageBreakBefore w:val="0"/>
                    <w:widowControl/>
                    <w:bidi w:val="0"/>
                    <w:spacing w:before="124" w:line="183" w:lineRule="auto"/>
                    <w:jc w:val="center"/>
                    <w:rPr>
                      <w:rFonts w:hint="default" w:ascii="Times New Roman" w:hAnsi="Times New Roman" w:eastAsia="宋体"/>
                      <w:color w:val="auto"/>
                      <w:spacing w:val="0"/>
                      <w:sz w:val="21"/>
                      <w:szCs w:val="21"/>
                      <w:highlight w:val="none"/>
                      <w:lang w:val="en-US" w:eastAsia="zh-CN"/>
                    </w:rPr>
                  </w:pPr>
                  <w:r>
                    <w:rPr>
                      <w:rFonts w:hint="eastAsia" w:ascii="Times New Roman" w:hAnsi="Times New Roman" w:eastAsia="宋体"/>
                      <w:color w:val="auto"/>
                      <w:spacing w:val="0"/>
                      <w:sz w:val="21"/>
                      <w:szCs w:val="21"/>
                      <w:highlight w:val="none"/>
                      <w:lang w:val="en-US" w:eastAsia="zh-CN"/>
                    </w:rPr>
                    <w:t>0</w:t>
                  </w:r>
                </w:p>
              </w:tc>
              <w:tc>
                <w:tcPr>
                  <w:tcW w:w="3063" w:type="dxa"/>
                  <w:gridSpan w:val="3"/>
                  <w:noWrap w:val="0"/>
                  <w:vAlign w:val="center"/>
                </w:tcPr>
                <w:p w14:paraId="7080B0E0">
                  <w:pPr>
                    <w:keepNext w:val="0"/>
                    <w:keepLines w:val="0"/>
                    <w:widowControl/>
                    <w:suppressLineNumbers w:val="0"/>
                    <w:jc w:val="center"/>
                    <w:textAlignment w:val="center"/>
                    <w:rPr>
                      <w:rFonts w:hint="default" w:ascii="Times New Roman" w:hAnsi="Times New Roman" w:eastAsia="宋体"/>
                      <w:color w:val="auto"/>
                      <w:spacing w:val="0"/>
                      <w:sz w:val="21"/>
                      <w:szCs w:val="21"/>
                      <w:highlight w:val="none"/>
                      <w:lang w:val="en-US" w:eastAsia="zh-CN"/>
                    </w:rPr>
                  </w:pPr>
                  <w:r>
                    <w:rPr>
                      <w:rFonts w:hint="eastAsia"/>
                      <w:color w:val="auto"/>
                      <w:spacing w:val="0"/>
                      <w:sz w:val="21"/>
                      <w:szCs w:val="21"/>
                      <w:highlight w:val="none"/>
                      <w:lang w:val="en-US" w:eastAsia="zh-CN"/>
                    </w:rPr>
                    <w:t>6</w:t>
                  </w:r>
                  <w:r>
                    <w:rPr>
                      <w:rFonts w:hint="eastAsia" w:ascii="Times New Roman" w:hAnsi="Times New Roman" w:eastAsia="宋体"/>
                      <w:color w:val="auto"/>
                      <w:spacing w:val="0"/>
                      <w:sz w:val="21"/>
                      <w:szCs w:val="21"/>
                      <w:highlight w:val="none"/>
                      <w:lang w:val="en-US" w:eastAsia="zh-CN"/>
                    </w:rPr>
                    <w:t>0%</w:t>
                  </w:r>
                </w:p>
              </w:tc>
            </w:tr>
            <w:tr w14:paraId="07B39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restart"/>
                  <w:noWrap w:val="0"/>
                  <w:vAlign w:val="center"/>
                </w:tcPr>
                <w:p w14:paraId="54E68D6D">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p w14:paraId="399D1462">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p w14:paraId="16ABAA25">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p w14:paraId="357E65F4">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有组织</w:t>
                  </w:r>
                </w:p>
              </w:tc>
              <w:tc>
                <w:tcPr>
                  <w:tcW w:w="1585" w:type="dxa"/>
                  <w:noWrap w:val="0"/>
                  <w:vAlign w:val="center"/>
                </w:tcPr>
                <w:p w14:paraId="5D92BDBC">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产生量t/a</w:t>
                  </w:r>
                </w:p>
              </w:tc>
              <w:tc>
                <w:tcPr>
                  <w:tcW w:w="681" w:type="dxa"/>
                  <w:noWrap w:val="0"/>
                  <w:vAlign w:val="center"/>
                </w:tcPr>
                <w:p w14:paraId="66ECE8FC">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0.0259 </w:t>
                  </w:r>
                </w:p>
              </w:tc>
              <w:tc>
                <w:tcPr>
                  <w:tcW w:w="748" w:type="dxa"/>
                  <w:noWrap w:val="0"/>
                  <w:vAlign w:val="center"/>
                </w:tcPr>
                <w:p w14:paraId="6B44F5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0.2254 </w:t>
                  </w:r>
                </w:p>
              </w:tc>
              <w:tc>
                <w:tcPr>
                  <w:tcW w:w="709" w:type="dxa"/>
                  <w:noWrap w:val="0"/>
                  <w:vAlign w:val="center"/>
                </w:tcPr>
                <w:p w14:paraId="1223B6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0.0083 </w:t>
                  </w:r>
                </w:p>
              </w:tc>
              <w:tc>
                <w:tcPr>
                  <w:tcW w:w="1055" w:type="dxa"/>
                  <w:noWrap w:val="0"/>
                  <w:vAlign w:val="center"/>
                </w:tcPr>
                <w:p w14:paraId="60F9EC47">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0.0686 </w:t>
                  </w:r>
                </w:p>
              </w:tc>
              <w:tc>
                <w:tcPr>
                  <w:tcW w:w="930" w:type="dxa"/>
                  <w:noWrap w:val="0"/>
                  <w:vAlign w:val="center"/>
                </w:tcPr>
                <w:p w14:paraId="0234C1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0.0092 </w:t>
                  </w:r>
                </w:p>
              </w:tc>
              <w:tc>
                <w:tcPr>
                  <w:tcW w:w="1078" w:type="dxa"/>
                  <w:noWrap w:val="0"/>
                  <w:vAlign w:val="center"/>
                </w:tcPr>
                <w:p w14:paraId="5900973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0.0778 </w:t>
                  </w:r>
                </w:p>
              </w:tc>
            </w:tr>
            <w:tr w14:paraId="635AA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7" w:hRule="atLeast"/>
                <w:jc w:val="center"/>
              </w:trPr>
              <w:tc>
                <w:tcPr>
                  <w:tcW w:w="1270" w:type="dxa"/>
                  <w:vMerge w:val="continue"/>
                  <w:noWrap w:val="0"/>
                  <w:vAlign w:val="center"/>
                </w:tcPr>
                <w:p w14:paraId="65A89A60">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41EC7348">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产生浓度mg/m³</w:t>
                  </w:r>
                </w:p>
              </w:tc>
              <w:tc>
                <w:tcPr>
                  <w:tcW w:w="681" w:type="dxa"/>
                  <w:noWrap w:val="0"/>
                  <w:vAlign w:val="center"/>
                </w:tcPr>
                <w:p w14:paraId="274AB36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1.6221 </w:t>
                  </w:r>
                </w:p>
              </w:tc>
              <w:tc>
                <w:tcPr>
                  <w:tcW w:w="748" w:type="dxa"/>
                  <w:noWrap w:val="0"/>
                  <w:vAlign w:val="center"/>
                </w:tcPr>
                <w:p w14:paraId="51E636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14.1083 </w:t>
                  </w:r>
                </w:p>
              </w:tc>
              <w:tc>
                <w:tcPr>
                  <w:tcW w:w="709" w:type="dxa"/>
                  <w:noWrap w:val="0"/>
                  <w:vAlign w:val="center"/>
                </w:tcPr>
                <w:p w14:paraId="74656F3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0.5207 </w:t>
                  </w:r>
                </w:p>
              </w:tc>
              <w:tc>
                <w:tcPr>
                  <w:tcW w:w="1055" w:type="dxa"/>
                  <w:noWrap w:val="0"/>
                  <w:vAlign w:val="center"/>
                </w:tcPr>
                <w:p w14:paraId="2F0B8FF8">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4.2956 </w:t>
                  </w:r>
                </w:p>
              </w:tc>
              <w:tc>
                <w:tcPr>
                  <w:tcW w:w="930" w:type="dxa"/>
                  <w:noWrap w:val="0"/>
                  <w:vAlign w:val="center"/>
                </w:tcPr>
                <w:p w14:paraId="3D2EFD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4.5960 </w:t>
                  </w:r>
                </w:p>
              </w:tc>
              <w:tc>
                <w:tcPr>
                  <w:tcW w:w="1078" w:type="dxa"/>
                  <w:noWrap w:val="0"/>
                  <w:vAlign w:val="center"/>
                </w:tcPr>
                <w:p w14:paraId="7C0B8A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8.8916 </w:t>
                  </w:r>
                </w:p>
              </w:tc>
            </w:tr>
            <w:tr w14:paraId="723E0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continue"/>
                  <w:noWrap w:val="0"/>
                  <w:vAlign w:val="center"/>
                </w:tcPr>
                <w:p w14:paraId="73CCAE38">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79E0FDD0">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hint="eastAsia" w:ascii="Times New Roman" w:hAnsi="Times New Roman" w:eastAsia="宋体"/>
                      <w:color w:val="auto"/>
                      <w:spacing w:val="0"/>
                      <w:sz w:val="21"/>
                      <w:szCs w:val="21"/>
                      <w:highlight w:val="none"/>
                      <w:lang w:val="en-US" w:eastAsia="zh-CN"/>
                    </w:rPr>
                    <w:t>产生</w:t>
                  </w:r>
                  <w:r>
                    <w:rPr>
                      <w:rFonts w:ascii="Times New Roman" w:hAnsi="Times New Roman" w:eastAsia="宋体"/>
                      <w:color w:val="auto"/>
                      <w:spacing w:val="0"/>
                      <w:sz w:val="21"/>
                      <w:szCs w:val="21"/>
                      <w:highlight w:val="none"/>
                    </w:rPr>
                    <w:t>速率kg/h</w:t>
                  </w:r>
                </w:p>
              </w:tc>
              <w:tc>
                <w:tcPr>
                  <w:tcW w:w="681" w:type="dxa"/>
                  <w:noWrap w:val="0"/>
                  <w:vAlign w:val="center"/>
                </w:tcPr>
                <w:p w14:paraId="3687D343">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0.0108 </w:t>
                  </w:r>
                </w:p>
              </w:tc>
              <w:tc>
                <w:tcPr>
                  <w:tcW w:w="748" w:type="dxa"/>
                  <w:noWrap w:val="0"/>
                  <w:vAlign w:val="center"/>
                </w:tcPr>
                <w:p w14:paraId="15E11B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0.0939 </w:t>
                  </w:r>
                </w:p>
              </w:tc>
              <w:tc>
                <w:tcPr>
                  <w:tcW w:w="709" w:type="dxa"/>
                  <w:noWrap w:val="0"/>
                  <w:vAlign w:val="center"/>
                </w:tcPr>
                <w:p w14:paraId="211163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0.0035 </w:t>
                  </w:r>
                </w:p>
              </w:tc>
              <w:tc>
                <w:tcPr>
                  <w:tcW w:w="1055" w:type="dxa"/>
                  <w:noWrap w:val="0"/>
                  <w:vAlign w:val="center"/>
                </w:tcPr>
                <w:p w14:paraId="69452A4E">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0.0286 </w:t>
                  </w:r>
                </w:p>
              </w:tc>
              <w:tc>
                <w:tcPr>
                  <w:tcW w:w="930" w:type="dxa"/>
                  <w:noWrap w:val="0"/>
                  <w:vAlign w:val="center"/>
                </w:tcPr>
                <w:p w14:paraId="7E3FD3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6</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078" w:type="dxa"/>
                  <w:noWrap w:val="0"/>
                  <w:vAlign w:val="center"/>
                </w:tcPr>
                <w:p w14:paraId="77D62E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0.0592 </w:t>
                  </w:r>
                </w:p>
              </w:tc>
            </w:tr>
            <w:tr w14:paraId="21072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continue"/>
                  <w:noWrap w:val="0"/>
                  <w:vAlign w:val="center"/>
                </w:tcPr>
                <w:p w14:paraId="05F84F7D">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5A5805B6">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排放量t/a</w:t>
                  </w:r>
                </w:p>
              </w:tc>
              <w:tc>
                <w:tcPr>
                  <w:tcW w:w="681" w:type="dxa"/>
                  <w:noWrap w:val="0"/>
                  <w:vAlign w:val="center"/>
                </w:tcPr>
                <w:p w14:paraId="08888265">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0.0259 </w:t>
                  </w:r>
                </w:p>
              </w:tc>
              <w:tc>
                <w:tcPr>
                  <w:tcW w:w="748" w:type="dxa"/>
                  <w:noWrap w:val="0"/>
                  <w:vAlign w:val="center"/>
                </w:tcPr>
                <w:p w14:paraId="3D3C88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0.2254 </w:t>
                  </w:r>
                </w:p>
              </w:tc>
              <w:tc>
                <w:tcPr>
                  <w:tcW w:w="709" w:type="dxa"/>
                  <w:noWrap w:val="0"/>
                  <w:vAlign w:val="center"/>
                </w:tcPr>
                <w:p w14:paraId="76B659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0.0083 </w:t>
                  </w:r>
                </w:p>
              </w:tc>
              <w:tc>
                <w:tcPr>
                  <w:tcW w:w="1055" w:type="dxa"/>
                  <w:noWrap w:val="0"/>
                  <w:vAlign w:val="center"/>
                </w:tcPr>
                <w:p w14:paraId="30F9522A">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0.0275 </w:t>
                  </w:r>
                </w:p>
              </w:tc>
              <w:tc>
                <w:tcPr>
                  <w:tcW w:w="930" w:type="dxa"/>
                  <w:noWrap w:val="0"/>
                  <w:vAlign w:val="center"/>
                </w:tcPr>
                <w:p w14:paraId="0F2CCE5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0.0037 </w:t>
                  </w:r>
                </w:p>
              </w:tc>
              <w:tc>
                <w:tcPr>
                  <w:tcW w:w="1078" w:type="dxa"/>
                  <w:noWrap w:val="0"/>
                  <w:vAlign w:val="center"/>
                </w:tcPr>
                <w:p w14:paraId="0944CF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0.031</w:t>
                  </w: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61E37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7" w:hRule="atLeast"/>
                <w:jc w:val="center"/>
              </w:trPr>
              <w:tc>
                <w:tcPr>
                  <w:tcW w:w="1270" w:type="dxa"/>
                  <w:vMerge w:val="continue"/>
                  <w:noWrap w:val="0"/>
                  <w:vAlign w:val="center"/>
                </w:tcPr>
                <w:p w14:paraId="5DC63DDF">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19DA3F4B">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排放浓度mg/m³</w:t>
                  </w:r>
                </w:p>
              </w:tc>
              <w:tc>
                <w:tcPr>
                  <w:tcW w:w="681" w:type="dxa"/>
                  <w:noWrap w:val="0"/>
                  <w:vAlign w:val="center"/>
                </w:tcPr>
                <w:p w14:paraId="07FD7038">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1.6221 </w:t>
                  </w:r>
                </w:p>
              </w:tc>
              <w:tc>
                <w:tcPr>
                  <w:tcW w:w="748" w:type="dxa"/>
                  <w:noWrap w:val="0"/>
                  <w:vAlign w:val="center"/>
                </w:tcPr>
                <w:p w14:paraId="4A4C8F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14.1083 </w:t>
                  </w:r>
                </w:p>
              </w:tc>
              <w:tc>
                <w:tcPr>
                  <w:tcW w:w="709" w:type="dxa"/>
                  <w:noWrap w:val="0"/>
                  <w:vAlign w:val="center"/>
                </w:tcPr>
                <w:p w14:paraId="28AE42B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0.5207 </w:t>
                  </w:r>
                </w:p>
              </w:tc>
              <w:tc>
                <w:tcPr>
                  <w:tcW w:w="1055" w:type="dxa"/>
                  <w:noWrap w:val="0"/>
                  <w:vAlign w:val="center"/>
                </w:tcPr>
                <w:p w14:paraId="457C98DF">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1.7182 </w:t>
                  </w:r>
                </w:p>
              </w:tc>
              <w:tc>
                <w:tcPr>
                  <w:tcW w:w="930" w:type="dxa"/>
                  <w:noWrap w:val="0"/>
                  <w:vAlign w:val="center"/>
                </w:tcPr>
                <w:p w14:paraId="7AD573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1.8384 </w:t>
                  </w:r>
                </w:p>
              </w:tc>
              <w:tc>
                <w:tcPr>
                  <w:tcW w:w="1078" w:type="dxa"/>
                  <w:noWrap w:val="0"/>
                  <w:vAlign w:val="center"/>
                </w:tcPr>
                <w:p w14:paraId="1137729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3.5566 </w:t>
                  </w:r>
                </w:p>
              </w:tc>
            </w:tr>
            <w:tr w14:paraId="5BA04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continue"/>
                  <w:noWrap w:val="0"/>
                  <w:vAlign w:val="center"/>
                </w:tcPr>
                <w:p w14:paraId="363D66B1">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4F1D9598">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排放速率kg/h</w:t>
                  </w:r>
                </w:p>
              </w:tc>
              <w:tc>
                <w:tcPr>
                  <w:tcW w:w="681" w:type="dxa"/>
                  <w:noWrap w:val="0"/>
                  <w:vAlign w:val="center"/>
                </w:tcPr>
                <w:p w14:paraId="63C5832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0.0108 </w:t>
                  </w:r>
                </w:p>
              </w:tc>
              <w:tc>
                <w:tcPr>
                  <w:tcW w:w="748" w:type="dxa"/>
                  <w:noWrap w:val="0"/>
                  <w:vAlign w:val="center"/>
                </w:tcPr>
                <w:p w14:paraId="6A0546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0.0939 </w:t>
                  </w:r>
                </w:p>
              </w:tc>
              <w:tc>
                <w:tcPr>
                  <w:tcW w:w="709" w:type="dxa"/>
                  <w:noWrap w:val="0"/>
                  <w:vAlign w:val="center"/>
                </w:tcPr>
                <w:p w14:paraId="2958BC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0.0035 </w:t>
                  </w:r>
                </w:p>
              </w:tc>
              <w:tc>
                <w:tcPr>
                  <w:tcW w:w="1055" w:type="dxa"/>
                  <w:noWrap w:val="0"/>
                  <w:vAlign w:val="center"/>
                </w:tcPr>
                <w:p w14:paraId="64A8A2B9">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0.0114 </w:t>
                  </w:r>
                </w:p>
              </w:tc>
              <w:tc>
                <w:tcPr>
                  <w:tcW w:w="930" w:type="dxa"/>
                  <w:noWrap w:val="0"/>
                  <w:vAlign w:val="center"/>
                </w:tcPr>
                <w:p w14:paraId="25FEE3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12</w:t>
                  </w:r>
                  <w:r>
                    <w:rPr>
                      <w:rFonts w:hint="default" w:ascii="Times New Roman" w:hAnsi="Times New Roman" w:eastAsia="宋体" w:cs="Times New Roman"/>
                      <w:i w:val="0"/>
                      <w:iCs w:val="0"/>
                      <w:color w:val="auto"/>
                      <w:kern w:val="0"/>
                      <w:sz w:val="21"/>
                      <w:szCs w:val="21"/>
                      <w:u w:val="none"/>
                      <w:lang w:val="en-US" w:eastAsia="zh-CN" w:bidi="ar"/>
                    </w:rPr>
                    <w:t xml:space="preserve">2 </w:t>
                  </w:r>
                </w:p>
              </w:tc>
              <w:tc>
                <w:tcPr>
                  <w:tcW w:w="1078" w:type="dxa"/>
                  <w:noWrap w:val="0"/>
                  <w:vAlign w:val="center"/>
                </w:tcPr>
                <w:p w14:paraId="338E43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0.023</w:t>
                  </w:r>
                  <w:r>
                    <w:rPr>
                      <w:rFonts w:hint="eastAsia" w:cs="Times New Roman"/>
                      <w:i w:val="0"/>
                      <w:iCs w:val="0"/>
                      <w:color w:val="auto"/>
                      <w:kern w:val="0"/>
                      <w:sz w:val="21"/>
                      <w:szCs w:val="21"/>
                      <w:u w:val="none"/>
                      <w:lang w:val="en-US" w:eastAsia="zh-CN" w:bidi="ar"/>
                    </w:rPr>
                    <w:t>6</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044B3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restart"/>
                  <w:noWrap w:val="0"/>
                  <w:vAlign w:val="center"/>
                </w:tcPr>
                <w:p w14:paraId="3B2FEA09">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无组织</w:t>
                  </w:r>
                </w:p>
              </w:tc>
              <w:tc>
                <w:tcPr>
                  <w:tcW w:w="1585" w:type="dxa"/>
                  <w:noWrap w:val="0"/>
                  <w:vAlign w:val="center"/>
                </w:tcPr>
                <w:p w14:paraId="4D457342">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排放量t</w:t>
                  </w:r>
                  <w:r>
                    <w:rPr>
                      <w:rFonts w:hint="eastAsia" w:ascii="Times New Roman" w:hAnsi="Times New Roman"/>
                      <w:color w:val="auto"/>
                      <w:spacing w:val="0"/>
                      <w:sz w:val="21"/>
                      <w:szCs w:val="21"/>
                      <w:highlight w:val="none"/>
                      <w:lang w:val="en-US" w:eastAsia="zh-CN"/>
                    </w:rPr>
                    <w:t>/</w:t>
                  </w:r>
                  <w:r>
                    <w:rPr>
                      <w:rFonts w:ascii="Times New Roman" w:hAnsi="Times New Roman" w:eastAsia="宋体"/>
                      <w:color w:val="auto"/>
                      <w:spacing w:val="0"/>
                      <w:sz w:val="21"/>
                      <w:szCs w:val="21"/>
                      <w:highlight w:val="none"/>
                    </w:rPr>
                    <w:t>a</w:t>
                  </w:r>
                </w:p>
              </w:tc>
              <w:tc>
                <w:tcPr>
                  <w:tcW w:w="681" w:type="dxa"/>
                  <w:noWrap w:val="0"/>
                  <w:vAlign w:val="center"/>
                </w:tcPr>
                <w:p w14:paraId="09F64C6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0.0065 </w:t>
                  </w:r>
                </w:p>
              </w:tc>
              <w:tc>
                <w:tcPr>
                  <w:tcW w:w="748" w:type="dxa"/>
                  <w:noWrap w:val="0"/>
                  <w:vAlign w:val="center"/>
                </w:tcPr>
                <w:p w14:paraId="489197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0.0564 </w:t>
                  </w:r>
                </w:p>
              </w:tc>
              <w:tc>
                <w:tcPr>
                  <w:tcW w:w="709" w:type="dxa"/>
                  <w:noWrap w:val="0"/>
                  <w:vAlign w:val="center"/>
                </w:tcPr>
                <w:p w14:paraId="0FE5FB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0.0021 </w:t>
                  </w:r>
                </w:p>
              </w:tc>
              <w:tc>
                <w:tcPr>
                  <w:tcW w:w="1055" w:type="dxa"/>
                  <w:noWrap w:val="0"/>
                  <w:vAlign w:val="center"/>
                </w:tcPr>
                <w:p w14:paraId="01450759">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0.0172 </w:t>
                  </w:r>
                </w:p>
              </w:tc>
              <w:tc>
                <w:tcPr>
                  <w:tcW w:w="930" w:type="dxa"/>
                  <w:noWrap w:val="0"/>
                  <w:vAlign w:val="center"/>
                </w:tcPr>
                <w:p w14:paraId="65C8E1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0.0010 </w:t>
                  </w:r>
                </w:p>
              </w:tc>
              <w:tc>
                <w:tcPr>
                  <w:tcW w:w="1078" w:type="dxa"/>
                  <w:noWrap w:val="0"/>
                  <w:vAlign w:val="center"/>
                </w:tcPr>
                <w:p w14:paraId="53FADB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0.0182 </w:t>
                  </w:r>
                </w:p>
              </w:tc>
            </w:tr>
            <w:tr w14:paraId="14D28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1270" w:type="dxa"/>
                  <w:vMerge w:val="continue"/>
                  <w:noWrap w:val="0"/>
                  <w:vAlign w:val="center"/>
                </w:tcPr>
                <w:p w14:paraId="14DD6772">
                  <w:pPr>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p>
              </w:tc>
              <w:tc>
                <w:tcPr>
                  <w:tcW w:w="1585" w:type="dxa"/>
                  <w:noWrap w:val="0"/>
                  <w:vAlign w:val="center"/>
                </w:tcPr>
                <w:p w14:paraId="47EB1778">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排放速率kg/h</w:t>
                  </w:r>
                </w:p>
              </w:tc>
              <w:tc>
                <w:tcPr>
                  <w:tcW w:w="681" w:type="dxa"/>
                  <w:noWrap w:val="0"/>
                  <w:vAlign w:val="center"/>
                </w:tcPr>
                <w:p w14:paraId="79C285C8">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0.0027 </w:t>
                  </w:r>
                </w:p>
              </w:tc>
              <w:tc>
                <w:tcPr>
                  <w:tcW w:w="748" w:type="dxa"/>
                  <w:noWrap w:val="0"/>
                  <w:vAlign w:val="center"/>
                </w:tcPr>
                <w:p w14:paraId="0A512B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0.0235 </w:t>
                  </w:r>
                </w:p>
              </w:tc>
              <w:tc>
                <w:tcPr>
                  <w:tcW w:w="709" w:type="dxa"/>
                  <w:noWrap w:val="0"/>
                  <w:vAlign w:val="center"/>
                </w:tcPr>
                <w:p w14:paraId="5511B2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0.0009 </w:t>
                  </w:r>
                </w:p>
              </w:tc>
              <w:tc>
                <w:tcPr>
                  <w:tcW w:w="1055" w:type="dxa"/>
                  <w:noWrap w:val="0"/>
                  <w:vAlign w:val="center"/>
                </w:tcPr>
                <w:p w14:paraId="75961483">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0.0072 </w:t>
                  </w:r>
                </w:p>
              </w:tc>
              <w:tc>
                <w:tcPr>
                  <w:tcW w:w="930" w:type="dxa"/>
                  <w:noWrap w:val="0"/>
                  <w:vAlign w:val="center"/>
                </w:tcPr>
                <w:p w14:paraId="519F90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cs="Times New Roman"/>
                      <w:i w:val="0"/>
                      <w:iCs w:val="0"/>
                      <w:color w:val="auto"/>
                      <w:kern w:val="0"/>
                      <w:sz w:val="21"/>
                      <w:szCs w:val="21"/>
                      <w:u w:val="none"/>
                      <w:lang w:val="en-US" w:eastAsia="zh-CN" w:bidi="ar"/>
                    </w:rPr>
                    <w:t>34</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078" w:type="dxa"/>
                  <w:noWrap w:val="0"/>
                  <w:vAlign w:val="center"/>
                </w:tcPr>
                <w:p w14:paraId="5D2A83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0.0106 </w:t>
                  </w:r>
                </w:p>
              </w:tc>
            </w:tr>
            <w:tr w14:paraId="67251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2855" w:type="dxa"/>
                  <w:gridSpan w:val="2"/>
                  <w:noWrap w:val="0"/>
                  <w:vAlign w:val="center"/>
                </w:tcPr>
                <w:p w14:paraId="64F39411">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hint="eastAsia" w:ascii="Times New Roman" w:hAnsi="Times New Roman" w:eastAsia="宋体"/>
                      <w:color w:val="auto"/>
                      <w:spacing w:val="0"/>
                      <w:sz w:val="21"/>
                      <w:szCs w:val="21"/>
                      <w:highlight w:val="none"/>
                      <w:lang w:val="en-US" w:eastAsia="zh-CN"/>
                    </w:rPr>
                    <w:t>有组织+无组织排放量</w:t>
                  </w:r>
                  <w:r>
                    <w:rPr>
                      <w:rFonts w:ascii="Times New Roman" w:hAnsi="Times New Roman" w:eastAsia="宋体"/>
                      <w:color w:val="auto"/>
                      <w:spacing w:val="0"/>
                      <w:sz w:val="21"/>
                      <w:szCs w:val="21"/>
                      <w:highlight w:val="none"/>
                    </w:rPr>
                    <w:t>t</w:t>
                  </w:r>
                  <w:r>
                    <w:rPr>
                      <w:rFonts w:hint="eastAsia" w:ascii="Times New Roman" w:hAnsi="Times New Roman"/>
                      <w:color w:val="auto"/>
                      <w:spacing w:val="0"/>
                      <w:sz w:val="21"/>
                      <w:szCs w:val="21"/>
                      <w:highlight w:val="none"/>
                      <w:lang w:val="en-US" w:eastAsia="zh-CN"/>
                    </w:rPr>
                    <w:t>/</w:t>
                  </w:r>
                  <w:r>
                    <w:rPr>
                      <w:rFonts w:ascii="Times New Roman" w:hAnsi="Times New Roman" w:eastAsia="宋体"/>
                      <w:color w:val="auto"/>
                      <w:spacing w:val="0"/>
                      <w:sz w:val="21"/>
                      <w:szCs w:val="21"/>
                      <w:highlight w:val="none"/>
                    </w:rPr>
                    <w:t>a</w:t>
                  </w:r>
                </w:p>
              </w:tc>
              <w:tc>
                <w:tcPr>
                  <w:tcW w:w="681" w:type="dxa"/>
                  <w:noWrap w:val="0"/>
                  <w:vAlign w:val="center"/>
                </w:tcPr>
                <w:p w14:paraId="1DDFA2D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0.0324 </w:t>
                  </w:r>
                </w:p>
              </w:tc>
              <w:tc>
                <w:tcPr>
                  <w:tcW w:w="748" w:type="dxa"/>
                  <w:noWrap w:val="0"/>
                  <w:vAlign w:val="center"/>
                </w:tcPr>
                <w:p w14:paraId="44072BA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0.2818 </w:t>
                  </w:r>
                </w:p>
              </w:tc>
              <w:tc>
                <w:tcPr>
                  <w:tcW w:w="709" w:type="dxa"/>
                  <w:noWrap w:val="0"/>
                  <w:vAlign w:val="center"/>
                </w:tcPr>
                <w:p w14:paraId="52C78E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0.0104 </w:t>
                  </w:r>
                </w:p>
              </w:tc>
              <w:tc>
                <w:tcPr>
                  <w:tcW w:w="1055" w:type="dxa"/>
                  <w:noWrap w:val="0"/>
                  <w:vAlign w:val="center"/>
                </w:tcPr>
                <w:p w14:paraId="1FC8F943">
                  <w:pPr>
                    <w:keepNext w:val="0"/>
                    <w:keepLines w:val="0"/>
                    <w:widowControl/>
                    <w:suppressLineNumbers w:val="0"/>
                    <w:jc w:val="center"/>
                    <w:textAlignment w:val="center"/>
                    <w:rPr>
                      <w:rFonts w:hint="default" w:ascii="Times New Roman" w:hAnsi="Times New Roman" w:eastAsia="宋体" w:cs="Times New Roman"/>
                      <w:i w:val="0"/>
                      <w:iCs w:val="0"/>
                      <w:strike/>
                      <w:dstrike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0.0446 </w:t>
                  </w:r>
                </w:p>
              </w:tc>
              <w:tc>
                <w:tcPr>
                  <w:tcW w:w="930" w:type="dxa"/>
                  <w:noWrap w:val="0"/>
                  <w:vAlign w:val="center"/>
                </w:tcPr>
                <w:p w14:paraId="0E551D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0.0047 </w:t>
                  </w:r>
                </w:p>
              </w:tc>
              <w:tc>
                <w:tcPr>
                  <w:tcW w:w="1078" w:type="dxa"/>
                  <w:noWrap w:val="0"/>
                  <w:vAlign w:val="center"/>
                </w:tcPr>
                <w:p w14:paraId="6A3F67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0.0493 </w:t>
                  </w:r>
                </w:p>
              </w:tc>
            </w:tr>
            <w:tr w14:paraId="31A33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2855" w:type="dxa"/>
                  <w:gridSpan w:val="2"/>
                  <w:noWrap w:val="0"/>
                  <w:vAlign w:val="center"/>
                </w:tcPr>
                <w:p w14:paraId="5AC257CC">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有组织排放高度m</w:t>
                  </w:r>
                </w:p>
              </w:tc>
              <w:tc>
                <w:tcPr>
                  <w:tcW w:w="5201" w:type="dxa"/>
                  <w:gridSpan w:val="6"/>
                  <w:noWrap w:val="0"/>
                  <w:vAlign w:val="center"/>
                </w:tcPr>
                <w:p w14:paraId="6B6A3D87">
                  <w:pPr>
                    <w:keepNext w:val="0"/>
                    <w:keepLines w:val="0"/>
                    <w:pageBreakBefore w:val="0"/>
                    <w:widowControl/>
                    <w:suppressLineNumbers w:val="0"/>
                    <w:kinsoku/>
                    <w:wordWrap/>
                    <w:overflowPunct/>
                    <w:topLinePunct w:val="0"/>
                    <w:autoSpaceDE/>
                    <w:autoSpaceDN/>
                    <w:bidi w:val="0"/>
                    <w:adjustRightInd/>
                    <w:snapToGrid/>
                    <w:jc w:val="center"/>
                    <w:textAlignment w:val="top"/>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ascii="Times New Roman" w:hAnsi="Times New Roman" w:eastAsia="宋体" w:cs="Times New Roman"/>
                      <w:i w:val="0"/>
                      <w:iCs w:val="0"/>
                      <w:color w:val="auto"/>
                      <w:spacing w:val="0"/>
                      <w:kern w:val="0"/>
                      <w:sz w:val="21"/>
                      <w:szCs w:val="21"/>
                      <w:highlight w:val="none"/>
                      <w:u w:val="none"/>
                      <w:lang w:val="en-US" w:eastAsia="zh-CN" w:bidi="ar"/>
                    </w:rPr>
                    <w:t>15m</w:t>
                  </w:r>
                </w:p>
              </w:tc>
            </w:tr>
            <w:tr w14:paraId="5E598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5" w:hRule="atLeast"/>
                <w:jc w:val="center"/>
              </w:trPr>
              <w:tc>
                <w:tcPr>
                  <w:tcW w:w="2855" w:type="dxa"/>
                  <w:gridSpan w:val="2"/>
                  <w:noWrap w:val="0"/>
                  <w:vAlign w:val="center"/>
                </w:tcPr>
                <w:p w14:paraId="16B64A66">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hint="eastAsia" w:ascii="Times New Roman" w:hAnsi="Times New Roman" w:eastAsia="宋体"/>
                      <w:color w:val="auto"/>
                      <w:spacing w:val="0"/>
                      <w:sz w:val="21"/>
                      <w:szCs w:val="21"/>
                      <w:highlight w:val="none"/>
                      <w:lang w:val="en-US" w:eastAsia="zh-CN"/>
                    </w:rPr>
                  </w:pPr>
                  <w:r>
                    <w:rPr>
                      <w:rFonts w:hint="eastAsia" w:ascii="Times New Roman" w:hAnsi="Times New Roman" w:eastAsia="宋体"/>
                      <w:color w:val="auto"/>
                      <w:spacing w:val="0"/>
                      <w:sz w:val="21"/>
                      <w:szCs w:val="21"/>
                      <w:highlight w:val="none"/>
                      <w:lang w:val="en-US" w:eastAsia="zh-CN"/>
                    </w:rPr>
                    <w:t>风量</w:t>
                  </w:r>
                  <w:r>
                    <w:rPr>
                      <w:rFonts w:ascii="Times New Roman" w:hAnsi="Times New Roman" w:eastAsia="宋体"/>
                      <w:color w:val="auto"/>
                      <w:spacing w:val="0"/>
                      <w:sz w:val="21"/>
                      <w:szCs w:val="21"/>
                      <w:highlight w:val="none"/>
                    </w:rPr>
                    <w:t>m³/h</w:t>
                  </w:r>
                </w:p>
              </w:tc>
              <w:tc>
                <w:tcPr>
                  <w:tcW w:w="5201" w:type="dxa"/>
                  <w:gridSpan w:val="6"/>
                  <w:noWrap w:val="0"/>
                  <w:vAlign w:val="center"/>
                </w:tcPr>
                <w:p w14:paraId="1EE8D3D1">
                  <w:pPr>
                    <w:keepNext w:val="0"/>
                    <w:keepLines w:val="0"/>
                    <w:pageBreakBefore w:val="0"/>
                    <w:widowControl/>
                    <w:suppressLineNumbers w:val="0"/>
                    <w:kinsoku/>
                    <w:wordWrap/>
                    <w:overflowPunct/>
                    <w:topLinePunct w:val="0"/>
                    <w:autoSpaceDE/>
                    <w:autoSpaceDN/>
                    <w:bidi w:val="0"/>
                    <w:adjustRightInd/>
                    <w:snapToGrid/>
                    <w:jc w:val="center"/>
                    <w:textAlignment w:val="top"/>
                    <w:rPr>
                      <w:rFonts w:hint="eastAsia" w:ascii="Times New Roman" w:hAnsi="Times New Roman" w:eastAsia="宋体" w:cs="Times New Roman"/>
                      <w:i w:val="0"/>
                      <w:iCs w:val="0"/>
                      <w:color w:val="auto"/>
                      <w:spacing w:val="0"/>
                      <w:kern w:val="0"/>
                      <w:sz w:val="21"/>
                      <w:szCs w:val="21"/>
                      <w:highlight w:val="none"/>
                      <w:u w:val="none"/>
                      <w:lang w:val="en-US" w:eastAsia="zh-CN" w:bidi="ar"/>
                    </w:rPr>
                  </w:pPr>
                  <w:r>
                    <w:rPr>
                      <w:rFonts w:hint="eastAsia"/>
                      <w:color w:val="auto"/>
                      <w:kern w:val="0"/>
                      <w:sz w:val="21"/>
                      <w:szCs w:val="21"/>
                      <w:lang w:val="en-US" w:eastAsia="zh-CN"/>
                    </w:rPr>
                    <w:t>6658</w:t>
                  </w:r>
                </w:p>
              </w:tc>
            </w:tr>
            <w:tr w14:paraId="0DEDC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2855" w:type="dxa"/>
                  <w:gridSpan w:val="2"/>
                  <w:noWrap w:val="0"/>
                  <w:vAlign w:val="center"/>
                </w:tcPr>
                <w:p w14:paraId="4F5BF347">
                  <w:pPr>
                    <w:pStyle w:val="191"/>
                    <w:keepNext w:val="0"/>
                    <w:keepLines/>
                    <w:pageBreakBefore w:val="0"/>
                    <w:widowControl/>
                    <w:kinsoku/>
                    <w:wordWrap/>
                    <w:overflowPunct/>
                    <w:topLinePunct w:val="0"/>
                    <w:autoSpaceDE/>
                    <w:autoSpaceDN/>
                    <w:bidi w:val="0"/>
                    <w:adjustRightInd/>
                    <w:snapToGrid/>
                    <w:spacing w:line="360" w:lineRule="auto"/>
                    <w:ind w:left="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工作时间h</w:t>
                  </w:r>
                </w:p>
              </w:tc>
              <w:tc>
                <w:tcPr>
                  <w:tcW w:w="681" w:type="dxa"/>
                  <w:noWrap w:val="0"/>
                  <w:vAlign w:val="center"/>
                </w:tcPr>
                <w:p w14:paraId="4F95A380">
                  <w:pPr>
                    <w:keepNext w:val="0"/>
                    <w:keepLines w:val="0"/>
                    <w:widowControl/>
                    <w:suppressLineNumbers w:val="0"/>
                    <w:jc w:val="center"/>
                    <w:textAlignment w:val="center"/>
                    <w:rPr>
                      <w:rFonts w:hint="eastAsia" w:ascii="Times New Roman" w:hAnsi="Times New Roman" w:eastAsia="宋体"/>
                      <w:color w:val="auto"/>
                      <w:spacing w:val="0"/>
                      <w:sz w:val="21"/>
                      <w:szCs w:val="21"/>
                      <w:highlight w:val="none"/>
                      <w:lang w:val="en-US" w:eastAsia="zh-CN"/>
                    </w:rPr>
                  </w:pPr>
                  <w:r>
                    <w:rPr>
                      <w:rFonts w:hint="eastAsia" w:cs="Times New Roman"/>
                      <w:i w:val="0"/>
                      <w:iCs w:val="0"/>
                      <w:color w:val="auto"/>
                      <w:spacing w:val="0"/>
                      <w:kern w:val="0"/>
                      <w:sz w:val="21"/>
                      <w:szCs w:val="21"/>
                      <w:highlight w:val="none"/>
                      <w:u w:val="none"/>
                      <w:lang w:val="en-US" w:eastAsia="zh-CN" w:bidi="ar"/>
                    </w:rPr>
                    <w:t>24</w:t>
                  </w:r>
                  <w:r>
                    <w:rPr>
                      <w:rFonts w:hint="default" w:ascii="Times New Roman" w:hAnsi="Times New Roman" w:eastAsia="宋体" w:cs="Times New Roman"/>
                      <w:i w:val="0"/>
                      <w:iCs w:val="0"/>
                      <w:color w:val="auto"/>
                      <w:spacing w:val="0"/>
                      <w:kern w:val="0"/>
                      <w:sz w:val="21"/>
                      <w:szCs w:val="21"/>
                      <w:highlight w:val="none"/>
                      <w:u w:val="none"/>
                      <w:lang w:val="en-US" w:eastAsia="zh-CN" w:bidi="ar"/>
                    </w:rPr>
                    <w:t>00</w:t>
                  </w:r>
                </w:p>
              </w:tc>
              <w:tc>
                <w:tcPr>
                  <w:tcW w:w="748" w:type="dxa"/>
                  <w:noWrap w:val="0"/>
                  <w:vAlign w:val="center"/>
                </w:tcPr>
                <w:p w14:paraId="0440710F">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highlight w:val="none"/>
                      <w:u w:val="none"/>
                      <w:lang w:val="en-US" w:eastAsia="zh-CN" w:bidi="ar"/>
                    </w:rPr>
                  </w:pPr>
                  <w:r>
                    <w:rPr>
                      <w:rFonts w:hint="eastAsia" w:cs="Times New Roman"/>
                      <w:i w:val="0"/>
                      <w:iCs w:val="0"/>
                      <w:color w:val="auto"/>
                      <w:spacing w:val="0"/>
                      <w:kern w:val="0"/>
                      <w:sz w:val="21"/>
                      <w:szCs w:val="21"/>
                      <w:highlight w:val="none"/>
                      <w:u w:val="none"/>
                      <w:lang w:val="en-US" w:eastAsia="zh-CN" w:bidi="ar"/>
                    </w:rPr>
                    <w:t>24</w:t>
                  </w:r>
                  <w:r>
                    <w:rPr>
                      <w:rFonts w:hint="default" w:ascii="Times New Roman" w:hAnsi="Times New Roman" w:eastAsia="宋体" w:cs="Times New Roman"/>
                      <w:i w:val="0"/>
                      <w:iCs w:val="0"/>
                      <w:color w:val="auto"/>
                      <w:spacing w:val="0"/>
                      <w:kern w:val="0"/>
                      <w:sz w:val="21"/>
                      <w:szCs w:val="21"/>
                      <w:highlight w:val="none"/>
                      <w:u w:val="none"/>
                      <w:lang w:val="en-US" w:eastAsia="zh-CN" w:bidi="ar"/>
                    </w:rPr>
                    <w:t>00</w:t>
                  </w:r>
                </w:p>
              </w:tc>
              <w:tc>
                <w:tcPr>
                  <w:tcW w:w="709" w:type="dxa"/>
                  <w:noWrap w:val="0"/>
                  <w:vAlign w:val="center"/>
                </w:tcPr>
                <w:p w14:paraId="518476D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cs="Times New Roman"/>
                      <w:i w:val="0"/>
                      <w:iCs w:val="0"/>
                      <w:color w:val="auto"/>
                      <w:spacing w:val="0"/>
                      <w:kern w:val="0"/>
                      <w:sz w:val="21"/>
                      <w:szCs w:val="21"/>
                      <w:highlight w:val="none"/>
                      <w:u w:val="none"/>
                      <w:lang w:val="en-US" w:eastAsia="zh-CN" w:bidi="ar"/>
                    </w:rPr>
                    <w:t>24</w:t>
                  </w:r>
                  <w:r>
                    <w:rPr>
                      <w:rFonts w:hint="default" w:ascii="Times New Roman" w:hAnsi="Times New Roman" w:eastAsia="宋体" w:cs="Times New Roman"/>
                      <w:i w:val="0"/>
                      <w:iCs w:val="0"/>
                      <w:color w:val="auto"/>
                      <w:spacing w:val="0"/>
                      <w:kern w:val="0"/>
                      <w:sz w:val="21"/>
                      <w:szCs w:val="21"/>
                      <w:highlight w:val="none"/>
                      <w:u w:val="none"/>
                      <w:lang w:val="en-US" w:eastAsia="zh-CN" w:bidi="ar"/>
                    </w:rPr>
                    <w:t>00</w:t>
                  </w:r>
                </w:p>
              </w:tc>
              <w:tc>
                <w:tcPr>
                  <w:tcW w:w="1055" w:type="dxa"/>
                  <w:noWrap w:val="0"/>
                  <w:vAlign w:val="center"/>
                </w:tcPr>
                <w:p w14:paraId="4CF7734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cs="Times New Roman"/>
                      <w:i w:val="0"/>
                      <w:iCs w:val="0"/>
                      <w:color w:val="auto"/>
                      <w:spacing w:val="0"/>
                      <w:kern w:val="0"/>
                      <w:sz w:val="21"/>
                      <w:szCs w:val="21"/>
                      <w:highlight w:val="none"/>
                      <w:u w:val="none"/>
                      <w:lang w:val="en-US" w:eastAsia="zh-CN" w:bidi="ar"/>
                    </w:rPr>
                    <w:t>24</w:t>
                  </w:r>
                  <w:r>
                    <w:rPr>
                      <w:rFonts w:hint="default" w:ascii="Times New Roman" w:hAnsi="Times New Roman" w:eastAsia="宋体" w:cs="Times New Roman"/>
                      <w:i w:val="0"/>
                      <w:iCs w:val="0"/>
                      <w:color w:val="auto"/>
                      <w:spacing w:val="0"/>
                      <w:kern w:val="0"/>
                      <w:sz w:val="21"/>
                      <w:szCs w:val="21"/>
                      <w:highlight w:val="none"/>
                      <w:u w:val="none"/>
                      <w:lang w:val="en-US" w:eastAsia="zh-CN" w:bidi="ar"/>
                    </w:rPr>
                    <w:t>00</w:t>
                  </w:r>
                </w:p>
              </w:tc>
              <w:tc>
                <w:tcPr>
                  <w:tcW w:w="930" w:type="dxa"/>
                  <w:noWrap w:val="0"/>
                  <w:vAlign w:val="center"/>
                </w:tcPr>
                <w:p w14:paraId="68624D5F">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highlight w:val="none"/>
                      <w:u w:val="none"/>
                      <w:lang w:val="en-US" w:eastAsia="zh-CN" w:bidi="ar"/>
                    </w:rPr>
                  </w:pPr>
                  <w:r>
                    <w:rPr>
                      <w:rFonts w:hint="eastAsia" w:cs="Times New Roman"/>
                      <w:i w:val="0"/>
                      <w:iCs w:val="0"/>
                      <w:color w:val="auto"/>
                      <w:spacing w:val="0"/>
                      <w:kern w:val="0"/>
                      <w:sz w:val="21"/>
                      <w:szCs w:val="21"/>
                      <w:highlight w:val="none"/>
                      <w:u w:val="none"/>
                      <w:lang w:val="en-US" w:eastAsia="zh-CN" w:bidi="ar"/>
                    </w:rPr>
                    <w:t>30</w:t>
                  </w:r>
                  <w:r>
                    <w:rPr>
                      <w:rFonts w:hint="eastAsia" w:ascii="Times New Roman" w:hAnsi="Times New Roman" w:eastAsia="宋体" w:cs="Times New Roman"/>
                      <w:i w:val="0"/>
                      <w:iCs w:val="0"/>
                      <w:color w:val="auto"/>
                      <w:spacing w:val="0"/>
                      <w:kern w:val="0"/>
                      <w:sz w:val="21"/>
                      <w:szCs w:val="21"/>
                      <w:highlight w:val="none"/>
                      <w:u w:val="none"/>
                      <w:lang w:val="en-US" w:eastAsia="zh-CN" w:bidi="ar"/>
                    </w:rPr>
                    <w:t>0</w:t>
                  </w:r>
                </w:p>
              </w:tc>
              <w:tc>
                <w:tcPr>
                  <w:tcW w:w="1078" w:type="dxa"/>
                  <w:noWrap w:val="0"/>
                  <w:vAlign w:val="center"/>
                </w:tcPr>
                <w:p w14:paraId="1FF37AD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highlight w:val="none"/>
                      <w:u w:val="none"/>
                      <w:lang w:val="en-US" w:eastAsia="zh-CN" w:bidi="ar"/>
                    </w:rPr>
                  </w:pPr>
                  <w:r>
                    <w:rPr>
                      <w:rFonts w:hint="eastAsia" w:ascii="Times New Roman" w:hAnsi="Times New Roman" w:eastAsia="宋体" w:cs="Times New Roman"/>
                      <w:i w:val="0"/>
                      <w:iCs w:val="0"/>
                      <w:color w:val="auto"/>
                      <w:spacing w:val="0"/>
                      <w:kern w:val="0"/>
                      <w:sz w:val="21"/>
                      <w:szCs w:val="21"/>
                      <w:highlight w:val="none"/>
                      <w:u w:val="none"/>
                      <w:lang w:val="en-US" w:eastAsia="zh-CN" w:bidi="ar"/>
                    </w:rPr>
                    <w:t>/</w:t>
                  </w:r>
                </w:p>
              </w:tc>
            </w:tr>
            <w:tr w14:paraId="50E90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5" w:hRule="atLeast"/>
                <w:jc w:val="center"/>
              </w:trPr>
              <w:tc>
                <w:tcPr>
                  <w:tcW w:w="8056" w:type="dxa"/>
                  <w:gridSpan w:val="8"/>
                  <w:noWrap w:val="0"/>
                  <w:vAlign w:val="center"/>
                </w:tcPr>
                <w:p w14:paraId="4199BF35">
                  <w:pPr>
                    <w:keepNext w:val="0"/>
                    <w:keepLines w:val="0"/>
                    <w:pageBreakBefore w:val="0"/>
                    <w:widowControl/>
                    <w:suppressLineNumbers w:val="0"/>
                    <w:kinsoku w:val="0"/>
                    <w:wordWrap w:val="0"/>
                    <w:overflowPunct/>
                    <w:topLinePunct w:val="0"/>
                    <w:autoSpaceDE/>
                    <w:autoSpaceDN/>
                    <w:bidi w:val="0"/>
                    <w:adjustRightInd/>
                    <w:snapToGrid/>
                    <w:jc w:val="left"/>
                    <w:textAlignment w:val="center"/>
                    <w:rPr>
                      <w:rFonts w:hint="eastAsia" w:ascii="Times New Roman" w:hAnsi="Times New Roman" w:eastAsia="宋体" w:cs="Times New Roman"/>
                      <w:i w:val="0"/>
                      <w:iCs w:val="0"/>
                      <w:color w:val="auto"/>
                      <w:spacing w:val="0"/>
                      <w:kern w:val="0"/>
                      <w:sz w:val="21"/>
                      <w:szCs w:val="21"/>
                      <w:highlight w:val="none"/>
                      <w:u w:val="none"/>
                      <w:lang w:val="en-US" w:eastAsia="zh-CN" w:bidi="ar"/>
                    </w:rPr>
                  </w:pPr>
                  <w:r>
                    <w:rPr>
                      <w:color w:val="auto"/>
                      <w:kern w:val="0"/>
                      <w:sz w:val="21"/>
                      <w:szCs w:val="21"/>
                    </w:rPr>
                    <w:t>注：</w:t>
                  </w:r>
                  <w:r>
                    <w:rPr>
                      <w:rFonts w:hint="eastAsia"/>
                      <w:color w:val="auto"/>
                      <w:szCs w:val="21"/>
                    </w:rPr>
                    <w:t>固化隧道炉废气治理设施设计风量</w:t>
                  </w:r>
                  <w:r>
                    <w:rPr>
                      <w:rFonts w:hint="eastAsia"/>
                      <w:color w:val="auto"/>
                      <w:szCs w:val="21"/>
                      <w:lang w:val="en-US" w:eastAsia="zh-CN"/>
                    </w:rPr>
                    <w:t>为6000</w:t>
                  </w:r>
                  <w:r>
                    <w:rPr>
                      <w:color w:val="auto"/>
                      <w:kern w:val="0"/>
                      <w:sz w:val="21"/>
                      <w:szCs w:val="21"/>
                    </w:rPr>
                    <w:t>m</w:t>
                  </w:r>
                  <w:r>
                    <w:rPr>
                      <w:color w:val="auto"/>
                      <w:kern w:val="0"/>
                      <w:sz w:val="21"/>
                      <w:szCs w:val="21"/>
                      <w:vertAlign w:val="superscript"/>
                    </w:rPr>
                    <w:t>3</w:t>
                  </w:r>
                  <w:r>
                    <w:rPr>
                      <w:color w:val="auto"/>
                      <w:kern w:val="0"/>
                      <w:sz w:val="21"/>
                      <w:szCs w:val="21"/>
                    </w:rPr>
                    <w:t>/h</w:t>
                  </w:r>
                  <w:r>
                    <w:rPr>
                      <w:rFonts w:hint="eastAsia"/>
                      <w:color w:val="auto"/>
                      <w:kern w:val="0"/>
                      <w:sz w:val="21"/>
                      <w:szCs w:val="21"/>
                      <w:lang w:eastAsia="zh-CN"/>
                    </w:rPr>
                    <w:t>。</w:t>
                  </w:r>
                  <w:r>
                    <w:rPr>
                      <w:rFonts w:hint="eastAsia"/>
                      <w:color w:val="auto"/>
                      <w:lang w:val="en-US" w:eastAsia="zh-CN"/>
                    </w:rPr>
                    <w:t>自动线中的</w:t>
                  </w:r>
                  <w:r>
                    <w:rPr>
                      <w:rFonts w:hint="eastAsia"/>
                      <w:color w:val="auto"/>
                      <w:kern w:val="0"/>
                      <w:sz w:val="21"/>
                      <w:szCs w:val="21"/>
                      <w:lang w:val="en-US" w:eastAsia="zh-CN"/>
                    </w:rPr>
                    <w:t>燃烧机</w:t>
                  </w:r>
                  <w:r>
                    <w:rPr>
                      <w:color w:val="auto"/>
                      <w:kern w:val="0"/>
                      <w:sz w:val="21"/>
                      <w:szCs w:val="21"/>
                    </w:rPr>
                    <w:t>工作时间</w:t>
                  </w:r>
                  <w:r>
                    <w:rPr>
                      <w:rFonts w:hint="eastAsia"/>
                      <w:color w:val="auto"/>
                      <w:kern w:val="0"/>
                      <w:sz w:val="21"/>
                      <w:szCs w:val="21"/>
                      <w:lang w:val="en-US" w:eastAsia="zh-CN"/>
                    </w:rPr>
                    <w:t>24</w:t>
                  </w:r>
                  <w:r>
                    <w:rPr>
                      <w:color w:val="auto"/>
                      <w:kern w:val="0"/>
                      <w:sz w:val="21"/>
                      <w:szCs w:val="21"/>
                    </w:rPr>
                    <w:t>00h，</w:t>
                  </w:r>
                  <w:r>
                    <w:rPr>
                      <w:rFonts w:hint="eastAsia"/>
                      <w:color w:val="auto"/>
                      <w:szCs w:val="21"/>
                    </w:rPr>
                    <w:t>液化石油气燃烧</w:t>
                  </w:r>
                  <w:r>
                    <w:rPr>
                      <w:rFonts w:hint="eastAsia"/>
                      <w:color w:val="auto"/>
                      <w:szCs w:val="21"/>
                      <w:lang w:val="en-US" w:eastAsia="zh-CN"/>
                    </w:rPr>
                    <w:t>废气</w:t>
                  </w:r>
                  <w:r>
                    <w:rPr>
                      <w:rFonts w:hint="eastAsia"/>
                      <w:color w:val="auto"/>
                      <w:szCs w:val="21"/>
                    </w:rPr>
                    <w:t>治理设施风量</w:t>
                  </w:r>
                  <w:r>
                    <w:rPr>
                      <w:rFonts w:hint="eastAsia"/>
                      <w:color w:val="auto"/>
                      <w:szCs w:val="21"/>
                      <w:lang w:val="en-US" w:eastAsia="zh-CN"/>
                    </w:rPr>
                    <w:t>=工业废气量/年工作时间=157.92万m³/2400h=</w:t>
                  </w:r>
                  <w:r>
                    <w:rPr>
                      <w:rFonts w:hint="eastAsia"/>
                      <w:color w:val="auto"/>
                      <w:kern w:val="0"/>
                      <w:sz w:val="21"/>
                      <w:szCs w:val="21"/>
                      <w:lang w:val="en-US" w:eastAsia="zh-CN"/>
                    </w:rPr>
                    <w:t>658</w:t>
                  </w:r>
                  <w:r>
                    <w:rPr>
                      <w:color w:val="auto"/>
                      <w:kern w:val="0"/>
                      <w:sz w:val="21"/>
                      <w:szCs w:val="21"/>
                    </w:rPr>
                    <w:t>m</w:t>
                  </w:r>
                  <w:r>
                    <w:rPr>
                      <w:color w:val="auto"/>
                      <w:kern w:val="0"/>
                      <w:sz w:val="21"/>
                      <w:szCs w:val="21"/>
                      <w:vertAlign w:val="superscript"/>
                    </w:rPr>
                    <w:t>3</w:t>
                  </w:r>
                  <w:r>
                    <w:rPr>
                      <w:color w:val="auto"/>
                      <w:kern w:val="0"/>
                      <w:sz w:val="21"/>
                      <w:szCs w:val="21"/>
                    </w:rPr>
                    <w:t>/h</w:t>
                  </w:r>
                  <w:r>
                    <w:rPr>
                      <w:rFonts w:hint="eastAsia"/>
                      <w:color w:val="auto"/>
                      <w:kern w:val="0"/>
                      <w:sz w:val="21"/>
                      <w:szCs w:val="21"/>
                      <w:lang w:eastAsia="zh-CN"/>
                    </w:rPr>
                    <w:t>，</w:t>
                  </w:r>
                  <w:r>
                    <w:rPr>
                      <w:rFonts w:hint="eastAsia"/>
                      <w:color w:val="auto"/>
                      <w:kern w:val="0"/>
                      <w:sz w:val="21"/>
                      <w:szCs w:val="21"/>
                      <w:lang w:val="en-US" w:eastAsia="zh-CN"/>
                    </w:rPr>
                    <w:t>则G2</w:t>
                  </w:r>
                  <w:r>
                    <w:rPr>
                      <w:color w:val="auto"/>
                      <w:kern w:val="0"/>
                      <w:sz w:val="21"/>
                      <w:szCs w:val="21"/>
                    </w:rPr>
                    <w:t>风量</w:t>
                  </w:r>
                  <w:r>
                    <w:rPr>
                      <w:rFonts w:hint="eastAsia"/>
                      <w:color w:val="auto"/>
                      <w:kern w:val="0"/>
                      <w:sz w:val="21"/>
                      <w:szCs w:val="21"/>
                      <w:lang w:val="en-US" w:eastAsia="zh-CN"/>
                    </w:rPr>
                    <w:t>=</w:t>
                  </w:r>
                  <w:r>
                    <w:rPr>
                      <w:rFonts w:hint="eastAsia"/>
                      <w:color w:val="auto"/>
                      <w:szCs w:val="21"/>
                    </w:rPr>
                    <w:t>固化隧道炉废气治理设施</w:t>
                  </w:r>
                  <w:r>
                    <w:rPr>
                      <w:rFonts w:hint="eastAsia"/>
                      <w:color w:val="auto"/>
                      <w:szCs w:val="21"/>
                      <w:lang w:val="en-US" w:eastAsia="zh-CN"/>
                    </w:rPr>
                    <w:t>设计</w:t>
                  </w:r>
                  <w:r>
                    <w:rPr>
                      <w:rFonts w:hint="eastAsia"/>
                      <w:color w:val="auto"/>
                      <w:szCs w:val="21"/>
                    </w:rPr>
                    <w:t>风量</w:t>
                  </w:r>
                  <w:r>
                    <w:rPr>
                      <w:rFonts w:hint="eastAsia"/>
                      <w:color w:val="auto"/>
                      <w:szCs w:val="21"/>
                      <w:lang w:val="en-US" w:eastAsia="zh-CN"/>
                    </w:rPr>
                    <w:t>+</w:t>
                  </w:r>
                  <w:r>
                    <w:rPr>
                      <w:rFonts w:hint="eastAsia"/>
                      <w:color w:val="auto"/>
                      <w:szCs w:val="21"/>
                    </w:rPr>
                    <w:t>液化石油气燃烧</w:t>
                  </w:r>
                  <w:r>
                    <w:rPr>
                      <w:rFonts w:hint="eastAsia"/>
                      <w:color w:val="auto"/>
                      <w:szCs w:val="21"/>
                      <w:lang w:val="en-US" w:eastAsia="zh-CN"/>
                    </w:rPr>
                    <w:t>废气</w:t>
                  </w:r>
                  <w:r>
                    <w:rPr>
                      <w:rFonts w:hint="eastAsia"/>
                      <w:color w:val="auto"/>
                      <w:szCs w:val="21"/>
                    </w:rPr>
                    <w:t>治理设施风量</w:t>
                  </w:r>
                  <w:r>
                    <w:rPr>
                      <w:rFonts w:hint="eastAsia"/>
                      <w:color w:val="auto"/>
                      <w:szCs w:val="21"/>
                      <w:lang w:val="en-US" w:eastAsia="zh-CN"/>
                    </w:rPr>
                    <w:t>=</w:t>
                  </w:r>
                  <w:r>
                    <w:rPr>
                      <w:rFonts w:hint="eastAsia"/>
                      <w:color w:val="auto"/>
                      <w:kern w:val="0"/>
                      <w:sz w:val="21"/>
                      <w:szCs w:val="21"/>
                      <w:lang w:val="en-US" w:eastAsia="zh-CN"/>
                    </w:rPr>
                    <w:t>6658</w:t>
                  </w:r>
                  <w:r>
                    <w:rPr>
                      <w:color w:val="auto"/>
                      <w:kern w:val="0"/>
                      <w:sz w:val="21"/>
                      <w:szCs w:val="21"/>
                    </w:rPr>
                    <w:t>m</w:t>
                  </w:r>
                  <w:r>
                    <w:rPr>
                      <w:color w:val="auto"/>
                      <w:kern w:val="0"/>
                      <w:sz w:val="21"/>
                      <w:szCs w:val="21"/>
                      <w:vertAlign w:val="superscript"/>
                    </w:rPr>
                    <w:t>3</w:t>
                  </w:r>
                  <w:r>
                    <w:rPr>
                      <w:color w:val="auto"/>
                      <w:kern w:val="0"/>
                      <w:sz w:val="21"/>
                      <w:szCs w:val="21"/>
                    </w:rPr>
                    <w:t>/h</w:t>
                  </w:r>
                  <w:r>
                    <w:rPr>
                      <w:rFonts w:hint="eastAsia"/>
                      <w:color w:val="auto"/>
                      <w:kern w:val="0"/>
                      <w:sz w:val="21"/>
                      <w:szCs w:val="21"/>
                      <w:lang w:eastAsia="zh-CN"/>
                    </w:rPr>
                    <w:t>。</w:t>
                  </w:r>
                </w:p>
              </w:tc>
            </w:tr>
          </w:tbl>
          <w:p w14:paraId="13A64964">
            <w:pPr>
              <w:tabs>
                <w:tab w:val="left" w:pos="6195"/>
              </w:tabs>
              <w:adjustRightInd w:val="0"/>
              <w:snapToGrid w:val="0"/>
              <w:spacing w:line="360" w:lineRule="auto"/>
              <w:ind w:firstLine="420" w:firstLineChars="200"/>
              <w:rPr>
                <w:rFonts w:hint="eastAsia"/>
                <w:color w:val="auto"/>
                <w:szCs w:val="21"/>
              </w:rPr>
            </w:pPr>
            <w:r>
              <w:rPr>
                <w:color w:val="auto"/>
                <w:szCs w:val="21"/>
              </w:rPr>
              <w:t>综上所述</w:t>
            </w:r>
            <w:r>
              <w:rPr>
                <w:rFonts w:hint="eastAsia"/>
                <w:color w:val="auto"/>
                <w:szCs w:val="21"/>
              </w:rPr>
              <w:t>，</w:t>
            </w:r>
            <w:r>
              <w:rPr>
                <w:rFonts w:hint="eastAsia"/>
                <w:color w:val="auto"/>
                <w:szCs w:val="21"/>
                <w:highlight w:val="none"/>
                <w:lang w:val="en-US"/>
              </w:rPr>
              <w:t>自动线</w:t>
            </w:r>
            <w:r>
              <w:rPr>
                <w:rFonts w:hint="eastAsia"/>
                <w:color w:val="auto"/>
                <w:szCs w:val="21"/>
                <w:highlight w:val="none"/>
              </w:rPr>
              <w:t>固化工序和液化石油气燃烧过程废气</w:t>
            </w:r>
            <w:r>
              <w:rPr>
                <w:rFonts w:hint="eastAsia"/>
                <w:color w:val="auto"/>
                <w:szCs w:val="21"/>
                <w:highlight w:val="none"/>
                <w:lang w:val="en-US" w:eastAsia="zh-CN"/>
              </w:rPr>
              <w:t>污染物</w:t>
            </w:r>
            <w:r>
              <w:rPr>
                <w:rFonts w:hint="eastAsia"/>
                <w:color w:val="auto"/>
                <w:lang w:val="en-US" w:eastAsia="zh-CN"/>
              </w:rPr>
              <w:t>TVOC、</w:t>
            </w:r>
            <w:r>
              <w:rPr>
                <w:rFonts w:hint="eastAsia"/>
                <w:color w:val="auto"/>
                <w:szCs w:val="21"/>
              </w:rPr>
              <w:t>非甲烷总烃达到</w:t>
            </w:r>
            <w:r>
              <w:rPr>
                <w:rFonts w:hint="eastAsia"/>
                <w:color w:val="auto"/>
                <w:szCs w:val="21"/>
              </w:rPr>
              <w:t>广东省地方标准《</w:t>
            </w:r>
            <w:r>
              <w:rPr>
                <w:rFonts w:hint="eastAsia"/>
                <w:color w:val="auto"/>
              </w:rPr>
              <w:t>固定污染源挥发性有机物综合排放标准</w:t>
            </w:r>
            <w:r>
              <w:rPr>
                <w:rFonts w:hint="eastAsia"/>
                <w:color w:val="auto"/>
                <w:szCs w:val="21"/>
              </w:rPr>
              <w:t>》（DB44/2</w:t>
            </w:r>
            <w:r>
              <w:rPr>
                <w:rFonts w:hint="eastAsia"/>
                <w:color w:val="auto"/>
                <w:szCs w:val="21"/>
                <w:lang w:val="en-US" w:eastAsia="zh-CN"/>
              </w:rPr>
              <w:t>36</w:t>
            </w:r>
            <w:r>
              <w:rPr>
                <w:rFonts w:hint="eastAsia"/>
                <w:color w:val="auto"/>
                <w:szCs w:val="21"/>
              </w:rPr>
              <w:t>7-20</w:t>
            </w:r>
            <w:r>
              <w:rPr>
                <w:rFonts w:hint="eastAsia"/>
                <w:color w:val="auto"/>
                <w:szCs w:val="21"/>
                <w:lang w:val="en-US" w:eastAsia="zh-CN"/>
              </w:rPr>
              <w:t>22</w:t>
            </w:r>
            <w:r>
              <w:rPr>
                <w:rFonts w:hint="eastAsia"/>
                <w:color w:val="auto"/>
                <w:szCs w:val="21"/>
              </w:rPr>
              <w:t>）</w:t>
            </w:r>
            <w:r>
              <w:rPr>
                <w:rFonts w:hint="eastAsia"/>
                <w:color w:val="auto"/>
                <w:lang w:val="en-US" w:eastAsia="zh-CN"/>
              </w:rPr>
              <w:t>表1挥发性有机物排放限值</w:t>
            </w:r>
            <w:r>
              <w:rPr>
                <w:rFonts w:hint="eastAsia"/>
                <w:color w:val="auto"/>
                <w:szCs w:val="21"/>
              </w:rPr>
              <w:t>，臭气浓度达到《恶臭污染物排放标准》（GB14554-93）表2恶臭污染物排放标准值，颗粒物、SO</w:t>
            </w:r>
            <w:r>
              <w:rPr>
                <w:rFonts w:hint="eastAsia"/>
                <w:color w:val="auto"/>
                <w:szCs w:val="21"/>
                <w:vertAlign w:val="subscript"/>
              </w:rPr>
              <w:t>2</w:t>
            </w:r>
            <w:r>
              <w:rPr>
                <w:rFonts w:hint="eastAsia"/>
                <w:color w:val="auto"/>
                <w:szCs w:val="21"/>
              </w:rPr>
              <w:t>、NOx</w:t>
            </w:r>
            <w:r>
              <w:rPr>
                <w:rFonts w:hint="eastAsia"/>
                <w:color w:val="auto"/>
                <w:szCs w:val="21"/>
                <w:lang w:val="en-US" w:eastAsia="zh-CN"/>
              </w:rPr>
              <w:t>达到</w:t>
            </w:r>
            <w:r>
              <w:rPr>
                <w:rFonts w:hint="eastAsia"/>
                <w:color w:val="auto"/>
                <w:szCs w:val="21"/>
              </w:rPr>
              <w:t>《工业炉窑大气污染综合治理方案》（环大气〔2019〕56号）中</w:t>
            </w:r>
            <w:r>
              <w:rPr>
                <w:rFonts w:hint="eastAsia"/>
                <w:color w:val="auto"/>
                <w:szCs w:val="21"/>
                <w:lang w:val="en-US" w:eastAsia="zh-CN"/>
              </w:rPr>
              <w:t>重点区域</w:t>
            </w:r>
            <w:r>
              <w:rPr>
                <w:rFonts w:hint="eastAsia"/>
                <w:color w:val="auto"/>
                <w:szCs w:val="21"/>
              </w:rPr>
              <w:t>限值要求，</w:t>
            </w:r>
            <w:r>
              <w:rPr>
                <w:rFonts w:hint="eastAsia"/>
                <w:color w:val="auto"/>
                <w:szCs w:val="21"/>
                <w:highlight w:val="none"/>
                <w:lang w:val="en-US" w:eastAsia="zh-CN"/>
              </w:rPr>
              <w:t>林格曼</w:t>
            </w:r>
            <w:r>
              <w:rPr>
                <w:rFonts w:hint="eastAsia"/>
                <w:color w:val="auto"/>
                <w:szCs w:val="21"/>
                <w:highlight w:val="none"/>
              </w:rPr>
              <w:t>黑度</w:t>
            </w:r>
            <w:r>
              <w:rPr>
                <w:rFonts w:hint="eastAsia"/>
                <w:color w:val="auto"/>
                <w:szCs w:val="21"/>
                <w:highlight w:val="none"/>
                <w:lang w:val="en-US" w:eastAsia="zh-CN"/>
              </w:rPr>
              <w:t>达到</w:t>
            </w:r>
            <w:r>
              <w:rPr>
                <w:color w:val="auto"/>
                <w:szCs w:val="21"/>
              </w:rPr>
              <w:t>《工业炉窑大气污染物排放标准》（GB9078-1996）</w:t>
            </w:r>
            <w:r>
              <w:rPr>
                <w:rFonts w:hint="eastAsia"/>
                <w:color w:val="auto"/>
                <w:szCs w:val="21"/>
              </w:rPr>
              <w:t>干燥炉</w:t>
            </w:r>
            <w:r>
              <w:rPr>
                <w:color w:val="auto"/>
                <w:szCs w:val="21"/>
              </w:rPr>
              <w:t>二级标准</w:t>
            </w:r>
            <w:r>
              <w:rPr>
                <w:rFonts w:hint="eastAsia"/>
                <w:color w:val="auto"/>
                <w:szCs w:val="21"/>
              </w:rPr>
              <w:t>。</w:t>
            </w:r>
          </w:p>
          <w:p w14:paraId="0C765A8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snapToGrid w:val="0"/>
                <w:color w:val="auto"/>
                <w:kern w:val="2"/>
                <w:sz w:val="21"/>
                <w:szCs w:val="21"/>
                <w:highlight w:val="none"/>
                <w:lang w:val="en-US" w:eastAsia="zh-CN" w:bidi="ar-SA"/>
              </w:rPr>
              <w:t>无组织废气：非甲烷总烃、颗粒物、氮氧化物、二氧化硫执行</w:t>
            </w:r>
            <w:r>
              <w:rPr>
                <w:rFonts w:hint="default" w:ascii="Times New Roman" w:hAnsi="Times New Roman" w:eastAsia="宋体" w:cs="Times New Roman"/>
                <w:snapToGrid w:val="0"/>
                <w:color w:val="auto"/>
                <w:kern w:val="2"/>
                <w:sz w:val="21"/>
                <w:szCs w:val="21"/>
                <w:highlight w:val="none"/>
                <w:lang w:val="en-US" w:eastAsia="zh-CN" w:bidi="ar-SA"/>
              </w:rPr>
              <w:t>广</w:t>
            </w:r>
            <w:r>
              <w:rPr>
                <w:rFonts w:hint="default" w:ascii="Times New Roman" w:hAnsi="Times New Roman" w:eastAsia="宋体" w:cs="Times New Roman"/>
                <w:b w:val="0"/>
                <w:bCs w:val="0"/>
                <w:color w:val="auto"/>
                <w:sz w:val="21"/>
                <w:szCs w:val="21"/>
                <w:highlight w:val="none"/>
                <w:lang w:val="en-US" w:eastAsia="zh-CN"/>
              </w:rPr>
              <w:t>东省地方标准《大气污染物排放限值》（DB44/27-2001）第二时段无组织排放监控浓度限值</w:t>
            </w:r>
            <w:r>
              <w:rPr>
                <w:rFonts w:hint="eastAsia"/>
                <w:color w:val="auto"/>
                <w:szCs w:val="21"/>
                <w:highlight w:val="none"/>
              </w:rPr>
              <w:t>；臭气浓度执行</w:t>
            </w:r>
            <w:r>
              <w:rPr>
                <w:rFonts w:hint="eastAsia" w:ascii="Times New Roman"/>
                <w:color w:val="auto"/>
                <w:kern w:val="2"/>
                <w:szCs w:val="21"/>
                <w:highlight w:val="none"/>
              </w:rPr>
              <w:t>《恶臭污染物排放标准》（GB 14554-93）</w:t>
            </w:r>
            <w:r>
              <w:rPr>
                <w:color w:val="auto"/>
                <w:highlight w:val="none"/>
                <w:lang w:bidi="ar"/>
              </w:rPr>
              <w:t>表1</w:t>
            </w:r>
            <w:r>
              <w:rPr>
                <w:rFonts w:hint="eastAsia"/>
                <w:color w:val="auto"/>
                <w:highlight w:val="none"/>
                <w:lang w:val="en-US" w:eastAsia="zh-CN" w:bidi="ar"/>
              </w:rPr>
              <w:t>中</w:t>
            </w:r>
            <w:r>
              <w:rPr>
                <w:color w:val="auto"/>
                <w:highlight w:val="none"/>
                <w:lang w:bidi="ar"/>
              </w:rPr>
              <w:t>恶臭污染物</w:t>
            </w:r>
            <w:r>
              <w:rPr>
                <w:rFonts w:hint="eastAsia" w:ascii="Times New Roman" w:hAnsi="Times New Roman" w:eastAsia="宋体" w:cs="Times New Roman"/>
                <w:b w:val="0"/>
                <w:bCs w:val="0"/>
                <w:color w:val="auto"/>
                <w:szCs w:val="28"/>
                <w:highlight w:val="none"/>
              </w:rPr>
              <w:t>新扩改建项目</w:t>
            </w:r>
            <w:r>
              <w:rPr>
                <w:color w:val="auto"/>
                <w:highlight w:val="none"/>
                <w:lang w:bidi="ar"/>
              </w:rPr>
              <w:t>厂界标准值</w:t>
            </w:r>
            <w:r>
              <w:rPr>
                <w:rFonts w:hint="eastAsia" w:ascii="Times New Roman"/>
                <w:color w:val="auto"/>
                <w:kern w:val="2"/>
                <w:szCs w:val="21"/>
                <w:highlight w:val="none"/>
                <w:lang w:eastAsia="zh-CN"/>
              </w:rPr>
              <w:t>。</w:t>
            </w:r>
          </w:p>
          <w:p w14:paraId="34653071">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b/>
                <w:bCs/>
                <w:color w:val="auto"/>
                <w:highlight w:val="none"/>
                <w:lang w:val="en-US" w:eastAsia="zh-CN"/>
              </w:rPr>
            </w:pPr>
            <w:r>
              <w:rPr>
                <w:rFonts w:hint="eastAsia"/>
                <w:b/>
                <w:bCs/>
                <w:color w:val="auto"/>
                <w:highlight w:val="none"/>
                <w:lang w:val="en-US" w:eastAsia="zh-CN"/>
              </w:rPr>
              <w:t>无组织控制措施分析</w:t>
            </w:r>
          </w:p>
          <w:p w14:paraId="311678EC">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left"/>
              <w:textAlignment w:val="auto"/>
              <w:rPr>
                <w:rFonts w:hint="default"/>
                <w:color w:val="auto"/>
                <w:highlight w:val="none"/>
                <w:lang w:val="en-US" w:eastAsia="zh-CN"/>
              </w:rPr>
            </w:pPr>
            <w:r>
              <w:rPr>
                <w:rFonts w:hint="default" w:ascii="Times New Roman" w:hAnsi="Times New Roman" w:cs="Times New Roman"/>
                <w:color w:val="auto"/>
                <w:sz w:val="21"/>
                <w:szCs w:val="21"/>
                <w:highlight w:val="none"/>
              </w:rPr>
              <w:t>项目所</w:t>
            </w:r>
            <w:r>
              <w:rPr>
                <w:rFonts w:hint="eastAsia" w:ascii="Times New Roman" w:hAnsi="Times New Roman" w:cs="Times New Roman"/>
                <w:color w:val="auto"/>
                <w:sz w:val="21"/>
                <w:szCs w:val="21"/>
                <w:highlight w:val="none"/>
                <w:lang w:val="en-US" w:eastAsia="zh-CN"/>
              </w:rPr>
              <w:t>涉及VOCs原料及固体废物均采用密闭容器进行储存及转移</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厂区内</w:t>
            </w:r>
            <w:r>
              <w:rPr>
                <w:rFonts w:hint="eastAsia" w:ascii="Times New Roman" w:hAnsi="Times New Roman" w:cs="Times New Roman"/>
                <w:color w:val="auto"/>
                <w:sz w:val="21"/>
                <w:szCs w:val="21"/>
                <w:highlight w:val="none"/>
                <w:lang w:val="en-US" w:eastAsia="zh-CN"/>
              </w:rPr>
              <w:t>非甲烷总烃执行</w:t>
            </w:r>
            <w:r>
              <w:rPr>
                <w:rFonts w:hint="eastAsia" w:ascii="Times New Roman" w:cs="Times New Roman"/>
                <w:color w:val="auto"/>
                <w:sz w:val="21"/>
                <w:szCs w:val="21"/>
                <w:highlight w:val="none"/>
                <w:lang w:val="en-US" w:eastAsia="zh-CN"/>
              </w:rPr>
              <w:t>广东省地方标准</w:t>
            </w:r>
            <w:r>
              <w:rPr>
                <w:rFonts w:hint="eastAsia" w:ascii="Times New Roman" w:hAnsi="Times New Roman" w:cs="Times New Roman"/>
                <w:color w:val="auto"/>
                <w:sz w:val="21"/>
                <w:szCs w:val="21"/>
                <w:highlight w:val="none"/>
                <w:lang w:val="en-US" w:eastAsia="zh-CN"/>
              </w:rPr>
              <w:t>《固定污染源挥发性有机物综合排放标准》（DB44/2367-2022）表</w:t>
            </w:r>
            <w:r>
              <w:rPr>
                <w:rFonts w:hint="eastAsia" w:ascii="Times New Roman" w:cs="Times New Roman"/>
                <w:color w:val="auto"/>
                <w:sz w:val="21"/>
                <w:szCs w:val="21"/>
                <w:highlight w:val="none"/>
                <w:lang w:val="en-US" w:eastAsia="zh-CN"/>
              </w:rPr>
              <w:t>3厂区内VOCs</w:t>
            </w:r>
            <w:r>
              <w:rPr>
                <w:rFonts w:hint="eastAsia" w:ascii="Times New Roman" w:hAnsi="Times New Roman" w:cs="Times New Roman"/>
                <w:color w:val="auto"/>
                <w:sz w:val="21"/>
                <w:szCs w:val="21"/>
                <w:highlight w:val="none"/>
                <w:lang w:val="en-US" w:eastAsia="zh-CN"/>
              </w:rPr>
              <w:t>无组织排放限值</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厂区内颗粒物执行《工业炉窑大气污染物排放标准》（GB9078-1996）表3其他炉窑无组织排放烟（粉）尘最高允许浓度</w:t>
            </w:r>
            <w:r>
              <w:rPr>
                <w:rFonts w:hint="default" w:ascii="Times New Roman" w:hAnsi="Times New Roman" w:cs="Times New Roman"/>
                <w:color w:val="auto"/>
                <w:sz w:val="21"/>
                <w:szCs w:val="21"/>
                <w:highlight w:val="none"/>
                <w:lang w:eastAsia="zh-CN"/>
              </w:rPr>
              <w:t>。</w:t>
            </w:r>
          </w:p>
          <w:p w14:paraId="270C6E4B">
            <w:pPr>
              <w:spacing w:line="360" w:lineRule="auto"/>
              <w:ind w:firstLine="422" w:firstLineChars="200"/>
              <w:rPr>
                <w:b/>
                <w:color w:val="auto"/>
                <w:szCs w:val="21"/>
              </w:rPr>
            </w:pPr>
            <w:r>
              <w:rPr>
                <w:b/>
                <w:color w:val="auto"/>
                <w:szCs w:val="21"/>
              </w:rPr>
              <w:t>项目废气治理可行性分析：</w:t>
            </w:r>
          </w:p>
          <w:p w14:paraId="26F0CBB9">
            <w:pPr>
              <w:tabs>
                <w:tab w:val="left" w:pos="960"/>
              </w:tabs>
              <w:adjustRightInd w:val="0"/>
              <w:snapToGrid w:val="0"/>
              <w:spacing w:line="360" w:lineRule="auto"/>
              <w:ind w:firstLine="480"/>
              <w:rPr>
                <w:rFonts w:hint="eastAsia"/>
                <w:bCs/>
                <w:color w:val="auto"/>
                <w:szCs w:val="21"/>
                <w:highlight w:val="none"/>
              </w:rPr>
            </w:pPr>
            <w:r>
              <w:rPr>
                <w:rFonts w:hint="eastAsia"/>
                <w:bCs/>
                <w:color w:val="auto"/>
                <w:szCs w:val="21"/>
              </w:rPr>
              <w:t>参照《排污许可证申请与核发技术规范铁路、船舶、航空航天和其他运输设备制造业》（HJ11</w:t>
            </w:r>
            <w:r>
              <w:rPr>
                <w:bCs/>
                <w:color w:val="auto"/>
                <w:szCs w:val="21"/>
              </w:rPr>
              <w:t>24</w:t>
            </w:r>
            <w:r>
              <w:rPr>
                <w:rFonts w:hint="eastAsia"/>
                <w:bCs/>
                <w:color w:val="auto"/>
                <w:szCs w:val="21"/>
              </w:rPr>
              <w:t>-2020）-</w:t>
            </w:r>
            <w:r>
              <w:rPr>
                <w:bCs/>
                <w:color w:val="auto"/>
                <w:szCs w:val="21"/>
              </w:rPr>
              <w:t>-</w:t>
            </w:r>
            <w:r>
              <w:rPr>
                <w:rFonts w:hint="eastAsia"/>
                <w:bCs/>
                <w:color w:val="auto"/>
                <w:szCs w:val="21"/>
              </w:rPr>
              <w:t>附录A</w:t>
            </w:r>
            <w:r>
              <w:rPr>
                <w:bCs/>
                <w:color w:val="auto"/>
                <w:szCs w:val="21"/>
              </w:rPr>
              <w:t>表面处理</w:t>
            </w:r>
            <w:r>
              <w:rPr>
                <w:rFonts w:hint="eastAsia"/>
                <w:bCs/>
                <w:color w:val="auto"/>
                <w:szCs w:val="21"/>
              </w:rPr>
              <w:t>（涂装）排污单位中表</w:t>
            </w:r>
            <w:r>
              <w:rPr>
                <w:bCs/>
                <w:color w:val="auto"/>
                <w:szCs w:val="21"/>
              </w:rPr>
              <w:t>A.4</w:t>
            </w:r>
            <w:r>
              <w:rPr>
                <w:rFonts w:hint="eastAsia"/>
                <w:bCs/>
                <w:color w:val="auto"/>
                <w:szCs w:val="21"/>
              </w:rPr>
              <w:t>，</w:t>
            </w:r>
            <w:r>
              <w:rPr>
                <w:rFonts w:hint="eastAsia"/>
                <w:bCs/>
                <w:color w:val="auto"/>
                <w:szCs w:val="21"/>
                <w:lang w:val="en-US" w:eastAsia="zh-CN"/>
              </w:rPr>
              <w:t>喷粉废气（含自动线、手动线）经</w:t>
            </w:r>
            <w:r>
              <w:rPr>
                <w:rFonts w:hint="eastAsia"/>
                <w:b/>
                <w:bCs w:val="0"/>
                <w:color w:val="auto"/>
                <w:szCs w:val="21"/>
                <w:lang w:val="en-US" w:eastAsia="zh-CN"/>
              </w:rPr>
              <w:t>二级</w:t>
            </w:r>
            <w:r>
              <w:rPr>
                <w:rFonts w:hint="eastAsia"/>
                <w:b/>
                <w:bCs w:val="0"/>
                <w:color w:val="auto"/>
                <w:highlight w:val="none"/>
              </w:rPr>
              <w:t>滤芯回收</w:t>
            </w:r>
            <w:r>
              <w:rPr>
                <w:rFonts w:hint="eastAsia"/>
                <w:color w:val="auto"/>
                <w:highlight w:val="none"/>
              </w:rPr>
              <w:t>装置</w:t>
            </w:r>
            <w:r>
              <w:rPr>
                <w:rFonts w:hint="eastAsia"/>
                <w:color w:val="auto"/>
                <w:highlight w:val="none"/>
                <w:lang w:val="en-US" w:eastAsia="zh-CN"/>
              </w:rPr>
              <w:t>处理，</w:t>
            </w:r>
            <w:r>
              <w:rPr>
                <w:rFonts w:hint="eastAsia"/>
                <w:color w:val="auto"/>
                <w:highlight w:val="none"/>
              </w:rPr>
              <w:t>滤芯回收</w:t>
            </w:r>
            <w:r>
              <w:rPr>
                <w:rFonts w:hint="eastAsia"/>
                <w:color w:val="auto"/>
                <w:highlight w:val="none"/>
                <w:lang w:val="en-US" w:eastAsia="zh-CN"/>
              </w:rPr>
              <w:t>为不可行技术；固</w:t>
            </w:r>
            <w:r>
              <w:rPr>
                <w:rFonts w:hint="eastAsia"/>
                <w:color w:val="auto"/>
              </w:rPr>
              <w:t>化工序</w:t>
            </w:r>
            <w:r>
              <w:rPr>
                <w:rFonts w:hint="eastAsia"/>
                <w:color w:val="auto"/>
                <w:lang w:eastAsia="zh-CN"/>
              </w:rPr>
              <w:t>（</w:t>
            </w:r>
            <w:r>
              <w:rPr>
                <w:rFonts w:hint="eastAsia"/>
                <w:color w:val="auto"/>
                <w:lang w:val="en-US" w:eastAsia="zh-CN"/>
              </w:rPr>
              <w:t>含自动线、手动线</w:t>
            </w:r>
            <w:r>
              <w:rPr>
                <w:rFonts w:hint="eastAsia"/>
                <w:color w:val="auto"/>
                <w:lang w:eastAsia="zh-CN"/>
              </w:rPr>
              <w:t>）</w:t>
            </w:r>
            <w:r>
              <w:rPr>
                <w:rFonts w:hint="eastAsia"/>
                <w:color w:val="auto"/>
                <w:lang w:val="en-US" w:eastAsia="zh-CN"/>
              </w:rPr>
              <w:t>废气</w:t>
            </w:r>
            <w:r>
              <w:rPr>
                <w:rFonts w:hint="eastAsia"/>
                <w:color w:val="auto"/>
              </w:rPr>
              <w:t>和液化石油气燃烧废气</w:t>
            </w:r>
            <w:r>
              <w:rPr>
                <w:rFonts w:hint="eastAsia"/>
                <w:color w:val="auto"/>
                <w:lang w:val="en-US" w:eastAsia="zh-CN"/>
              </w:rPr>
              <w:t>经</w:t>
            </w:r>
            <w:r>
              <w:rPr>
                <w:rFonts w:hint="eastAsia"/>
                <w:color w:val="auto"/>
                <w:highlight w:val="none"/>
                <w:lang w:val="en-US"/>
              </w:rPr>
              <w:t>活性炭吸附</w:t>
            </w:r>
            <w:r>
              <w:rPr>
                <w:rFonts w:hint="eastAsia"/>
                <w:color w:val="auto"/>
                <w:highlight w:val="none"/>
                <w:lang w:val="en-US" w:eastAsia="zh-CN"/>
              </w:rPr>
              <w:t>处理，活性炭吸附为可行技术</w:t>
            </w:r>
            <w:r>
              <w:rPr>
                <w:rFonts w:hint="eastAsia"/>
                <w:bCs/>
                <w:color w:val="auto"/>
                <w:szCs w:val="21"/>
                <w:highlight w:val="none"/>
              </w:rPr>
              <w:t>。</w:t>
            </w:r>
          </w:p>
          <w:p w14:paraId="3C344DD0">
            <w:pPr>
              <w:tabs>
                <w:tab w:val="left" w:pos="960"/>
              </w:tabs>
              <w:adjustRightInd w:val="0"/>
              <w:snapToGrid w:val="0"/>
              <w:spacing w:line="360" w:lineRule="auto"/>
              <w:ind w:firstLine="480"/>
              <w:rPr>
                <w:rFonts w:hint="eastAsia"/>
                <w:color w:val="auto"/>
                <w:highlight w:val="none"/>
                <w:lang w:val="en-US" w:eastAsia="zh-CN"/>
              </w:rPr>
            </w:pPr>
            <w:r>
              <w:rPr>
                <w:rFonts w:hint="eastAsia"/>
                <w:b/>
                <w:bCs/>
                <w:color w:val="auto"/>
                <w:highlight w:val="none"/>
              </w:rPr>
              <w:t>滤芯回收</w:t>
            </w:r>
            <w:r>
              <w:rPr>
                <w:rFonts w:hint="eastAsia"/>
                <w:b/>
                <w:bCs/>
                <w:color w:val="auto"/>
                <w:highlight w:val="none"/>
                <w:lang w:eastAsia="zh-CN"/>
              </w:rPr>
              <w:t>：</w:t>
            </w:r>
            <w:r>
              <w:rPr>
                <w:rFonts w:hint="eastAsia"/>
                <w:color w:val="auto"/>
                <w:highlight w:val="none"/>
              </w:rPr>
              <w:t>滤芯回收</w:t>
            </w:r>
            <w:r>
              <w:rPr>
                <w:rFonts w:hint="eastAsia"/>
                <w:color w:val="auto"/>
                <w:highlight w:val="none"/>
                <w:lang w:val="en-US" w:eastAsia="zh-CN"/>
              </w:rPr>
              <w:t>装置</w:t>
            </w:r>
            <w:r>
              <w:rPr>
                <w:rFonts w:hint="eastAsia"/>
                <w:color w:val="auto"/>
                <w:highlight w:val="none"/>
                <w:lang w:eastAsia="zh-CN"/>
              </w:rPr>
              <w:t>是一种干式过滤系统，其工作过程</w:t>
            </w:r>
            <w:r>
              <w:rPr>
                <w:rFonts w:hint="eastAsia"/>
                <w:color w:val="auto"/>
                <w:highlight w:val="none"/>
                <w:lang w:val="en-US" w:eastAsia="zh-CN"/>
              </w:rPr>
              <w:t>为</w:t>
            </w:r>
            <w:r>
              <w:rPr>
                <w:rFonts w:hint="eastAsia"/>
                <w:color w:val="auto"/>
                <w:highlight w:val="none"/>
                <w:lang w:eastAsia="zh-CN"/>
              </w:rPr>
              <w:t>过滤-清灰-回收的循环，</w:t>
            </w:r>
            <w:r>
              <w:rPr>
                <w:rFonts w:hint="eastAsia"/>
                <w:color w:val="auto"/>
                <w:highlight w:val="none"/>
                <w:lang w:val="en-US" w:eastAsia="zh-CN"/>
              </w:rPr>
              <w:t>工作原理为：含有过量或悬浮粉末颗粒的废气被风机吸入回收装置，通过由聚酯纤维、覆膜聚酯等材料制成的致密立体网状结构的滤芯（滤筒），粉末颗粒因惯性碰撞、拦截、扩散和静电效应被阻留在滤芯外表面，粒径大于滤材孔径的颗粒被直接拦截，更细小的颗粒则通过上述综合作用被捕集。粉末在滤芯表面不断积累，会形成一层均匀的粉末初层，能进一步提升对细微颗粒的捕集效率。当滤芯表面粉末层积累到一定厚度，系统阻力（压差）升高到预设值时，脉冲反吹式自动清灰系统启动，即电磁脉冲阀瞬间开启，将压缩空气（0.4-0.6 MPa）以极短的时间（约0.1秒）喷入滤芯内部，压缩空气在滤芯内瞬间膨胀，形成一股强大的逆向气流和冲击波，使滤芯产生高频微幅膨胀振动，附着在滤芯外表面的粉末饼层因此破碎、剥离，落入下方的收集斗中。收集斗中的粉末通过旋转卸料阀、螺旋输送机或气力输送系统自动输送至指定的回收粉箱或直接返回供粉系统进行再利用。</w:t>
            </w:r>
          </w:p>
          <w:p w14:paraId="51301BF7">
            <w:pPr>
              <w:pStyle w:val="46"/>
              <w:spacing w:line="360" w:lineRule="auto"/>
              <w:ind w:firstLine="420" w:firstLineChars="200"/>
              <w:jc w:val="left"/>
              <w:rPr>
                <w:rFonts w:hint="eastAsia"/>
                <w:b/>
                <w:bCs/>
                <w:color w:val="auto"/>
                <w:sz w:val="21"/>
                <w:szCs w:val="21"/>
                <w:highlight w:val="none"/>
                <w:lang w:val="en-US" w:eastAsia="zh-CN"/>
              </w:rPr>
            </w:pPr>
            <w:r>
              <w:rPr>
                <w:rFonts w:hint="eastAsia"/>
                <w:b w:val="0"/>
                <w:bCs w:val="0"/>
                <w:color w:val="auto"/>
                <w:sz w:val="21"/>
                <w:szCs w:val="21"/>
                <w:highlight w:val="none"/>
                <w:lang w:val="en-US" w:eastAsia="zh-CN"/>
              </w:rPr>
              <w:t>滤芯回收装置具有除尘效率高、排放浓度低等特点，还具有稳定可靠、能耗低、占地面积小的特点，特别适合处理大风量的废气。滤芯回收装置已经在国外得到广泛应用，在中国也已经大量推广，其多方面的优点逐渐为众多用户所认识，采用滤芯回收装置对喷粉废气进行处理具有可行性</w:t>
            </w:r>
            <w:r>
              <w:rPr>
                <w:rFonts w:hint="eastAsia"/>
                <w:b/>
                <w:bCs/>
                <w:color w:val="auto"/>
                <w:sz w:val="21"/>
                <w:szCs w:val="21"/>
                <w:highlight w:val="none"/>
                <w:lang w:val="en-US" w:eastAsia="zh-CN"/>
              </w:rPr>
              <w:t>。</w:t>
            </w:r>
          </w:p>
          <w:p w14:paraId="13EA43BF">
            <w:pPr>
              <w:tabs>
                <w:tab w:val="left" w:pos="960"/>
              </w:tabs>
              <w:adjustRightInd w:val="0"/>
              <w:snapToGrid w:val="0"/>
              <w:spacing w:line="360" w:lineRule="auto"/>
              <w:ind w:firstLine="480"/>
              <w:rPr>
                <w:rFonts w:hint="eastAsia"/>
                <w:b w:val="0"/>
                <w:bCs/>
                <w:color w:val="auto"/>
                <w:szCs w:val="21"/>
                <w:lang w:val="en-US" w:eastAsia="zh-CN"/>
              </w:rPr>
            </w:pPr>
            <w:r>
              <w:rPr>
                <w:rFonts w:hint="eastAsia"/>
                <w:b/>
                <w:bCs w:val="0"/>
                <w:color w:val="auto"/>
                <w:szCs w:val="21"/>
                <w:lang w:val="en-US" w:eastAsia="zh-CN"/>
              </w:rPr>
              <w:t>活性炭：</w:t>
            </w:r>
            <w:r>
              <w:rPr>
                <w:rFonts w:hint="eastAsia"/>
                <w:b w:val="0"/>
                <w:bCs/>
                <w:color w:val="auto"/>
                <w:szCs w:val="21"/>
                <w:lang w:val="en-US" w:eastAsia="zh-CN"/>
              </w:rPr>
              <w:t>活性炭是一种很细小的炭粒，有很大的表面积，而且炭粒中还有更细小的孔——毛细管。这种毛细管具有很强的吸附能力，由于炭粒的表面积很大，从而赋予了活性炭所特有的吸附性能，所以能与气体（杂质）充分接触，当这些气体（杂质）碰到毛细管就被吸附，起到净化作用。活性炭吸附法处理有机废气是目前最成熟的废气处理方式之一，且活性炭吸附设备简单、投资小，从而很大程度上减少对环境的污染。活性炭吸附处理在治理有机废气方面应用比较广泛，活性炭由于比表面积大，质量轻，良好的选择活性及热稳定性等特点，因此被广泛应用于各种工业生产和环保领域。参照《广东省印刷行业挥发性有机物废气治理技术指南》《广东省家具制造行业挥发性有机废气治理技术指南》，吸附法对有机废气处理效率为 50-80%，本项目取活性炭吸附处理效率为</w:t>
            </w:r>
            <w:r>
              <w:rPr>
                <w:rFonts w:hint="eastAsia"/>
                <w:b w:val="0"/>
                <w:bCs/>
                <w:color w:val="auto"/>
                <w:szCs w:val="21"/>
                <w:lang w:val="en-US" w:eastAsia="zh-CN"/>
              </w:rPr>
              <w:t>60</w:t>
            </w:r>
            <w:r>
              <w:rPr>
                <w:rFonts w:hint="eastAsia"/>
                <w:b w:val="0"/>
                <w:bCs/>
                <w:color w:val="auto"/>
                <w:szCs w:val="21"/>
                <w:lang w:val="en-US" w:eastAsia="zh-CN"/>
              </w:rPr>
              <w:t>%。</w:t>
            </w:r>
          </w:p>
          <w:p w14:paraId="28B0C457">
            <w:pPr>
              <w:tabs>
                <w:tab w:val="left" w:pos="960"/>
              </w:tabs>
              <w:adjustRightInd w:val="0"/>
              <w:snapToGrid w:val="0"/>
              <w:spacing w:line="360" w:lineRule="auto"/>
              <w:ind w:firstLine="480"/>
              <w:rPr>
                <w:bCs/>
                <w:color w:val="auto"/>
                <w:szCs w:val="21"/>
              </w:rPr>
            </w:pPr>
            <w:r>
              <w:rPr>
                <w:bCs/>
                <w:color w:val="auto"/>
                <w:szCs w:val="21"/>
              </w:rPr>
              <w:t>综合上述分析，项目</w:t>
            </w:r>
            <w:r>
              <w:rPr>
                <w:rFonts w:hint="eastAsia"/>
                <w:bCs/>
                <w:color w:val="auto"/>
                <w:szCs w:val="21"/>
                <w:lang w:val="en-US" w:eastAsia="zh-CN"/>
              </w:rPr>
              <w:t>喷粉废气（含自动线、手动线）经</w:t>
            </w:r>
            <w:r>
              <w:rPr>
                <w:rFonts w:hint="eastAsia"/>
                <w:b/>
                <w:bCs w:val="0"/>
                <w:color w:val="auto"/>
                <w:szCs w:val="21"/>
                <w:lang w:val="en-US" w:eastAsia="zh-CN"/>
              </w:rPr>
              <w:t>二级</w:t>
            </w:r>
            <w:r>
              <w:rPr>
                <w:rFonts w:hint="eastAsia"/>
                <w:b/>
                <w:bCs w:val="0"/>
                <w:color w:val="auto"/>
                <w:highlight w:val="none"/>
              </w:rPr>
              <w:t>滤芯回收装置</w:t>
            </w:r>
            <w:r>
              <w:rPr>
                <w:rFonts w:hint="eastAsia"/>
                <w:color w:val="auto"/>
                <w:highlight w:val="none"/>
                <w:lang w:val="en-US" w:eastAsia="zh-CN"/>
              </w:rPr>
              <w:t>处理为可行技术，固</w:t>
            </w:r>
            <w:r>
              <w:rPr>
                <w:rFonts w:hint="eastAsia"/>
                <w:color w:val="auto"/>
              </w:rPr>
              <w:t>化工序</w:t>
            </w:r>
            <w:r>
              <w:rPr>
                <w:rFonts w:hint="eastAsia"/>
                <w:color w:val="auto"/>
                <w:lang w:eastAsia="zh-CN"/>
              </w:rPr>
              <w:t>（</w:t>
            </w:r>
            <w:r>
              <w:rPr>
                <w:rFonts w:hint="eastAsia"/>
                <w:color w:val="auto"/>
                <w:lang w:val="en-US" w:eastAsia="zh-CN"/>
              </w:rPr>
              <w:t>含自动线、手动线</w:t>
            </w:r>
            <w:r>
              <w:rPr>
                <w:rFonts w:hint="eastAsia"/>
                <w:color w:val="auto"/>
                <w:lang w:eastAsia="zh-CN"/>
              </w:rPr>
              <w:t>）</w:t>
            </w:r>
            <w:r>
              <w:rPr>
                <w:rFonts w:hint="eastAsia"/>
                <w:color w:val="auto"/>
                <w:lang w:val="en-US" w:eastAsia="zh-CN"/>
              </w:rPr>
              <w:t>废气</w:t>
            </w:r>
            <w:r>
              <w:rPr>
                <w:rFonts w:hint="eastAsia"/>
                <w:color w:val="auto"/>
              </w:rPr>
              <w:t>和液化石油气燃烧废气</w:t>
            </w:r>
            <w:r>
              <w:rPr>
                <w:rFonts w:hint="eastAsia"/>
                <w:color w:val="auto"/>
                <w:lang w:val="en-US" w:eastAsia="zh-CN"/>
              </w:rPr>
              <w:t>经</w:t>
            </w:r>
            <w:r>
              <w:rPr>
                <w:bCs/>
                <w:color w:val="auto"/>
                <w:szCs w:val="21"/>
              </w:rPr>
              <w:t>采用</w:t>
            </w:r>
            <w:r>
              <w:rPr>
                <w:rFonts w:hint="eastAsia"/>
                <w:bCs/>
                <w:color w:val="auto"/>
                <w:szCs w:val="21"/>
              </w:rPr>
              <w:t>活性炭吸附</w:t>
            </w:r>
            <w:r>
              <w:rPr>
                <w:bCs/>
                <w:color w:val="auto"/>
                <w:szCs w:val="21"/>
              </w:rPr>
              <w:t>处理为可行性技术。</w:t>
            </w:r>
          </w:p>
          <w:p w14:paraId="66ED1D03">
            <w:pPr>
              <w:pStyle w:val="9"/>
              <w:spacing w:line="360" w:lineRule="auto"/>
              <w:ind w:left="630" w:leftChars="0" w:firstLineChars="0"/>
              <w:rPr>
                <w:color w:val="auto"/>
                <w:szCs w:val="21"/>
              </w:rPr>
            </w:pPr>
            <w:r>
              <w:rPr>
                <w:rFonts w:hint="eastAsia" w:ascii="Times New Roman" w:hAnsi="Times New Roman" w:eastAsia="宋体"/>
                <w:color w:val="auto"/>
                <w:sz w:val="24"/>
                <w:szCs w:val="24"/>
                <w:lang w:val="en-US" w:eastAsia="zh-CN"/>
              </w:rPr>
              <w:t>活性炭装置参数一览表-G</w:t>
            </w:r>
            <w:r>
              <w:rPr>
                <w:rFonts w:hint="eastAsia"/>
                <w:color w:val="auto"/>
                <w:sz w:val="24"/>
                <w:szCs w:val="24"/>
                <w:lang w:val="en-US" w:eastAsia="zh-CN"/>
              </w:rPr>
              <w:t>2</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49"/>
              <w:gridCol w:w="2411"/>
            </w:tblGrid>
            <w:tr w14:paraId="31279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1716D210">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排放口编号</w:t>
                  </w:r>
                </w:p>
              </w:tc>
              <w:tc>
                <w:tcPr>
                  <w:tcW w:w="2411" w:type="dxa"/>
                  <w:noWrap w:val="0"/>
                  <w:vAlign w:val="center"/>
                </w:tcPr>
                <w:p w14:paraId="46A4AAA7">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G</w:t>
                  </w:r>
                  <w:r>
                    <w:rPr>
                      <w:rFonts w:hint="eastAsia" w:ascii="Times New Roman" w:hAnsi="Times New Roman"/>
                      <w:color w:val="auto"/>
                      <w:sz w:val="21"/>
                      <w:szCs w:val="21"/>
                      <w:vertAlign w:val="baseline"/>
                      <w:lang w:val="en-US" w:eastAsia="zh-CN"/>
                    </w:rPr>
                    <w:t>2</w:t>
                  </w:r>
                </w:p>
              </w:tc>
            </w:tr>
            <w:tr w14:paraId="03CE5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1171E4BD">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风量(m</w:t>
                  </w:r>
                  <w:r>
                    <w:rPr>
                      <w:rFonts w:hint="eastAsia" w:ascii="Times New Roman" w:hAnsi="Times New Roman" w:eastAsia="宋体"/>
                      <w:color w:val="auto"/>
                      <w:sz w:val="21"/>
                      <w:szCs w:val="21"/>
                      <w:vertAlign w:val="superscript"/>
                      <w:lang w:val="en-US" w:eastAsia="zh-CN"/>
                    </w:rPr>
                    <w:t>3</w:t>
                  </w:r>
                  <w:r>
                    <w:rPr>
                      <w:rFonts w:hint="eastAsia" w:ascii="Times New Roman" w:hAnsi="Times New Roman" w:eastAsia="宋体"/>
                      <w:color w:val="auto"/>
                      <w:sz w:val="21"/>
                      <w:szCs w:val="21"/>
                      <w:vertAlign w:val="baseline"/>
                      <w:lang w:val="en-US" w:eastAsia="zh-CN"/>
                    </w:rPr>
                    <w:t>/h)</w:t>
                  </w:r>
                </w:p>
              </w:tc>
              <w:tc>
                <w:tcPr>
                  <w:tcW w:w="2411" w:type="dxa"/>
                  <w:noWrap w:val="0"/>
                  <w:vAlign w:val="center"/>
                </w:tcPr>
                <w:p w14:paraId="3530A05D">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b/>
                      <w:bCs/>
                      <w:color w:val="auto"/>
                      <w:sz w:val="21"/>
                      <w:szCs w:val="21"/>
                      <w:vertAlign w:val="baseline"/>
                      <w:lang w:val="en-US" w:eastAsia="zh-CN"/>
                    </w:rPr>
                    <w:t>6</w:t>
                  </w:r>
                  <w:r>
                    <w:rPr>
                      <w:rFonts w:hint="eastAsia" w:ascii="Times New Roman" w:hAnsi="Times New Roman" w:eastAsia="宋体"/>
                      <w:b/>
                      <w:bCs/>
                      <w:color w:val="auto"/>
                      <w:sz w:val="21"/>
                      <w:szCs w:val="21"/>
                      <w:vertAlign w:val="baseline"/>
                      <w:lang w:val="en-US" w:eastAsia="zh-CN"/>
                    </w:rPr>
                    <w:t>000</w:t>
                  </w:r>
                </w:p>
              </w:tc>
            </w:tr>
            <w:tr w14:paraId="51869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15A5B620">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活性炭种类</w:t>
                  </w:r>
                </w:p>
              </w:tc>
              <w:tc>
                <w:tcPr>
                  <w:tcW w:w="2411" w:type="dxa"/>
                  <w:noWrap w:val="0"/>
                  <w:vAlign w:val="center"/>
                </w:tcPr>
                <w:p w14:paraId="56A978B3">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蜂窝活性炭</w:t>
                  </w:r>
                </w:p>
              </w:tc>
            </w:tr>
            <w:tr w14:paraId="6935E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2DF7762B">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单级活性炭规格/m</w:t>
                  </w:r>
                </w:p>
              </w:tc>
              <w:tc>
                <w:tcPr>
                  <w:tcW w:w="2411" w:type="dxa"/>
                  <w:noWrap w:val="0"/>
                  <w:vAlign w:val="center"/>
                </w:tcPr>
                <w:p w14:paraId="7096F159">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color w:val="auto"/>
                      <w:sz w:val="21"/>
                      <w:szCs w:val="21"/>
                      <w:highlight w:val="none"/>
                      <w:vertAlign w:val="baseline"/>
                      <w:lang w:val="en-US" w:eastAsia="zh-CN"/>
                    </w:rPr>
                    <w:t>1.35×1.22×</w:t>
                  </w:r>
                  <w:r>
                    <w:rPr>
                      <w:rFonts w:hint="eastAsia" w:ascii="Times New Roman" w:hAnsi="Times New Roman" w:eastAsia="宋体"/>
                      <w:color w:val="auto"/>
                      <w:sz w:val="21"/>
                      <w:szCs w:val="21"/>
                      <w:highlight w:val="none"/>
                      <w:vertAlign w:val="baseline"/>
                      <w:lang w:val="en-US" w:eastAsia="zh-CN"/>
                    </w:rPr>
                    <w:t xml:space="preserve"> </w:t>
                  </w:r>
                  <w:r>
                    <w:rPr>
                      <w:rFonts w:hint="eastAsia" w:ascii="Times New Roman" w:hAnsi="Times New Roman"/>
                      <w:color w:val="auto"/>
                      <w:sz w:val="21"/>
                      <w:szCs w:val="21"/>
                      <w:highlight w:val="none"/>
                      <w:vertAlign w:val="baseline"/>
                      <w:lang w:val="en-US" w:eastAsia="zh-CN"/>
                    </w:rPr>
                    <w:t>1</w:t>
                  </w:r>
                </w:p>
              </w:tc>
            </w:tr>
            <w:tr w14:paraId="66390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4F1395AB">
                  <w:pPr>
                    <w:pStyle w:val="48"/>
                    <w:spacing w:line="360" w:lineRule="auto"/>
                    <w:jc w:val="center"/>
                    <w:rPr>
                      <w:rFonts w:hint="default" w:ascii="Times New Roman" w:hAnsi="Times New Roman" w:eastAsia="宋体"/>
                      <w:color w:val="auto"/>
                      <w:sz w:val="21"/>
                      <w:szCs w:val="21"/>
                      <w:vertAlign w:val="baseline"/>
                      <w:lang w:val="en-US" w:eastAsia="zh-CN"/>
                    </w:rPr>
                  </w:pPr>
                  <w:r>
                    <w:rPr>
                      <w:rFonts w:hint="default" w:ascii="Times New Roman" w:hAnsi="Times New Roman" w:eastAsia="宋体"/>
                      <w:color w:val="auto"/>
                      <w:sz w:val="21"/>
                      <w:szCs w:val="21"/>
                      <w:vertAlign w:val="baseline"/>
                      <w:lang w:val="en-US" w:eastAsia="zh-CN"/>
                    </w:rPr>
                    <w:t>单级活性炭层数/层</w:t>
                  </w:r>
                </w:p>
              </w:tc>
              <w:tc>
                <w:tcPr>
                  <w:tcW w:w="2411" w:type="dxa"/>
                  <w:noWrap w:val="0"/>
                  <w:vAlign w:val="center"/>
                </w:tcPr>
                <w:p w14:paraId="79288DC0">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color w:val="auto"/>
                      <w:sz w:val="21"/>
                      <w:szCs w:val="21"/>
                      <w:vertAlign w:val="baseline"/>
                      <w:lang w:val="en-US" w:eastAsia="zh-CN"/>
                    </w:rPr>
                    <w:t>2</w:t>
                  </w:r>
                </w:p>
              </w:tc>
            </w:tr>
            <w:tr w14:paraId="53D87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13562421">
                  <w:pPr>
                    <w:pStyle w:val="48"/>
                    <w:spacing w:line="360" w:lineRule="auto"/>
                    <w:jc w:val="center"/>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单级装置单层活性炭厚度/m</w:t>
                  </w:r>
                </w:p>
              </w:tc>
              <w:tc>
                <w:tcPr>
                  <w:tcW w:w="2411" w:type="dxa"/>
                  <w:noWrap w:val="0"/>
                  <w:vAlign w:val="center"/>
                </w:tcPr>
                <w:p w14:paraId="161FD68C">
                  <w:pPr>
                    <w:pStyle w:val="48"/>
                    <w:spacing w:line="360" w:lineRule="auto"/>
                    <w:jc w:val="center"/>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0.3</w:t>
                  </w:r>
                </w:p>
              </w:tc>
            </w:tr>
            <w:tr w14:paraId="287E9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02EC670E">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单级活性炭装置总过滤面积/</w:t>
                  </w:r>
                  <w:r>
                    <w:rPr>
                      <w:rFonts w:hint="eastAsia" w:ascii="Times New Roman" w:hAnsi="Times New Roman" w:eastAsia="宋体" w:cs="Times New Roman"/>
                      <w:b w:val="0"/>
                      <w:bCs/>
                      <w:snapToGrid w:val="0"/>
                      <w:color w:val="auto"/>
                      <w:kern w:val="2"/>
                      <w:sz w:val="21"/>
                      <w:szCs w:val="21"/>
                      <w:highlight w:val="none"/>
                      <w:lang w:val="en-US" w:eastAsia="zh-CN" w:bidi="ar-SA"/>
                    </w:rPr>
                    <w:t>㎡</w:t>
                  </w:r>
                </w:p>
              </w:tc>
              <w:tc>
                <w:tcPr>
                  <w:tcW w:w="2411" w:type="dxa"/>
                  <w:noWrap w:val="0"/>
                  <w:vAlign w:val="center"/>
                </w:tcPr>
                <w:p w14:paraId="300F75E0">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color w:val="auto"/>
                      <w:sz w:val="21"/>
                      <w:szCs w:val="21"/>
                      <w:vertAlign w:val="baseline"/>
                      <w:lang w:val="en-US" w:eastAsia="zh-CN"/>
                    </w:rPr>
                    <w:t>1.647</w:t>
                  </w:r>
                </w:p>
              </w:tc>
            </w:tr>
            <w:tr w14:paraId="7A546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2950B821">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过滤风速(m/s)</w:t>
                  </w:r>
                </w:p>
              </w:tc>
              <w:tc>
                <w:tcPr>
                  <w:tcW w:w="2411" w:type="dxa"/>
                  <w:noWrap w:val="0"/>
                  <w:vAlign w:val="center"/>
                </w:tcPr>
                <w:p w14:paraId="768BEE85">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color w:val="auto"/>
                      <w:sz w:val="21"/>
                      <w:szCs w:val="21"/>
                      <w:vertAlign w:val="baseline"/>
                      <w:lang w:val="en-US" w:eastAsia="zh-CN"/>
                    </w:rPr>
                    <w:t>1.01</w:t>
                  </w:r>
                </w:p>
              </w:tc>
            </w:tr>
            <w:tr w14:paraId="5922A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787D5EC5">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停留时间/s</w:t>
                  </w:r>
                </w:p>
              </w:tc>
              <w:tc>
                <w:tcPr>
                  <w:tcW w:w="2411" w:type="dxa"/>
                  <w:noWrap w:val="0"/>
                  <w:vAlign w:val="center"/>
                </w:tcPr>
                <w:p w14:paraId="38AF5FE1">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color w:val="auto"/>
                      <w:sz w:val="21"/>
                      <w:szCs w:val="21"/>
                      <w:vertAlign w:val="baseline"/>
                      <w:lang w:val="en-US" w:eastAsia="zh-CN"/>
                    </w:rPr>
                    <w:t>0.5929</w:t>
                  </w:r>
                </w:p>
              </w:tc>
            </w:tr>
            <w:tr w14:paraId="2C5F4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43933954">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活性炭密度(g/cm</w:t>
                  </w:r>
                  <w:r>
                    <w:rPr>
                      <w:rFonts w:hint="eastAsia" w:ascii="Times New Roman" w:hAnsi="Times New Roman" w:eastAsia="宋体"/>
                      <w:color w:val="auto"/>
                      <w:sz w:val="21"/>
                      <w:szCs w:val="21"/>
                      <w:vertAlign w:val="superscript"/>
                      <w:lang w:val="en-US" w:eastAsia="zh-CN"/>
                    </w:rPr>
                    <w:t>3</w:t>
                  </w:r>
                  <w:r>
                    <w:rPr>
                      <w:rFonts w:hint="eastAsia" w:ascii="Times New Roman" w:hAnsi="Times New Roman" w:eastAsia="宋体"/>
                      <w:color w:val="auto"/>
                      <w:sz w:val="21"/>
                      <w:szCs w:val="21"/>
                      <w:vertAlign w:val="baseline"/>
                      <w:lang w:val="en-US" w:eastAsia="zh-CN"/>
                    </w:rPr>
                    <w:t>)</w:t>
                  </w:r>
                </w:p>
              </w:tc>
              <w:tc>
                <w:tcPr>
                  <w:tcW w:w="2411" w:type="dxa"/>
                  <w:noWrap w:val="0"/>
                  <w:vAlign w:val="center"/>
                </w:tcPr>
                <w:p w14:paraId="68D64492">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0.45</w:t>
                  </w:r>
                </w:p>
              </w:tc>
            </w:tr>
            <w:tr w14:paraId="23D31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28D47DD4">
                  <w:pPr>
                    <w:pStyle w:val="48"/>
                    <w:spacing w:line="360" w:lineRule="auto"/>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碘值（mg/g）</w:t>
                  </w:r>
                </w:p>
              </w:tc>
              <w:tc>
                <w:tcPr>
                  <w:tcW w:w="2411" w:type="dxa"/>
                  <w:noWrap w:val="0"/>
                  <w:vAlign w:val="center"/>
                </w:tcPr>
                <w:p w14:paraId="6217FEBF">
                  <w:pPr>
                    <w:pStyle w:val="48"/>
                    <w:spacing w:line="36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650</w:t>
                  </w:r>
                </w:p>
              </w:tc>
            </w:tr>
            <w:tr w14:paraId="419BF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44FED9AD">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单次单级活性炭填充量/t</w:t>
                  </w:r>
                </w:p>
              </w:tc>
              <w:tc>
                <w:tcPr>
                  <w:tcW w:w="2411" w:type="dxa"/>
                  <w:noWrap w:val="0"/>
                  <w:vAlign w:val="center"/>
                </w:tcPr>
                <w:p w14:paraId="500B032C">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color w:val="auto"/>
                      <w:sz w:val="21"/>
                      <w:szCs w:val="21"/>
                      <w:vertAlign w:val="baseline"/>
                      <w:lang w:val="en-US" w:eastAsia="zh-CN"/>
                    </w:rPr>
                    <w:t>0.4447</w:t>
                  </w:r>
                </w:p>
              </w:tc>
            </w:tr>
            <w:tr w14:paraId="12555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49" w:type="dxa"/>
                  <w:noWrap w:val="0"/>
                  <w:vAlign w:val="center"/>
                </w:tcPr>
                <w:p w14:paraId="131ED71A">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活性炭总填充量/t</w:t>
                  </w:r>
                </w:p>
              </w:tc>
              <w:tc>
                <w:tcPr>
                  <w:tcW w:w="2411" w:type="dxa"/>
                  <w:noWrap w:val="0"/>
                  <w:vAlign w:val="center"/>
                </w:tcPr>
                <w:p w14:paraId="3BA96243">
                  <w:pPr>
                    <w:pStyle w:val="48"/>
                    <w:spacing w:line="360" w:lineRule="auto"/>
                    <w:jc w:val="center"/>
                    <w:rPr>
                      <w:rFonts w:hint="default" w:ascii="Times New Roman" w:hAnsi="Times New Roman" w:eastAsia="宋体"/>
                      <w:color w:val="auto"/>
                      <w:sz w:val="21"/>
                      <w:szCs w:val="21"/>
                      <w:vertAlign w:val="baseline"/>
                      <w:lang w:val="en-US" w:eastAsia="zh-CN"/>
                    </w:rPr>
                  </w:pPr>
                  <w:r>
                    <w:rPr>
                      <w:rFonts w:hint="eastAsia" w:ascii="Times New Roman" w:hAnsi="Times New Roman"/>
                      <w:color w:val="auto"/>
                      <w:sz w:val="21"/>
                      <w:szCs w:val="21"/>
                      <w:vertAlign w:val="baseline"/>
                      <w:lang w:val="en-US" w:eastAsia="zh-CN"/>
                    </w:rPr>
                    <w:t>0.4447</w:t>
                  </w:r>
                </w:p>
              </w:tc>
            </w:tr>
          </w:tbl>
          <w:p w14:paraId="7945053E">
            <w:pPr>
              <w:pStyle w:val="46"/>
              <w:spacing w:line="360" w:lineRule="auto"/>
              <w:jc w:val="left"/>
              <w:rPr>
                <w:rFonts w:hint="eastAsia" w:ascii="Times New Roman"/>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注：</w:t>
            </w:r>
            <w:r>
              <w:rPr>
                <w:rFonts w:hint="eastAsia" w:ascii="Times New Roman" w:hAnsi="Times New Roman" w:eastAsia="宋体"/>
                <w:color w:val="auto"/>
                <w:sz w:val="21"/>
                <w:szCs w:val="21"/>
                <w:highlight w:val="none"/>
                <w:lang w:val="en-US" w:eastAsia="zh-CN"/>
              </w:rPr>
              <w:t>G</w:t>
            </w:r>
            <w:r>
              <w:rPr>
                <w:rFonts w:hint="eastAsia" w:ascii="Times New Roman"/>
                <w:color w:val="auto"/>
                <w:sz w:val="21"/>
                <w:szCs w:val="21"/>
                <w:highlight w:val="none"/>
                <w:lang w:val="en-US" w:eastAsia="zh-CN"/>
              </w:rPr>
              <w:t>2有机</w:t>
            </w:r>
            <w:r>
              <w:rPr>
                <w:rFonts w:hint="eastAsia" w:ascii="Times New Roman" w:hAnsi="Times New Roman" w:eastAsia="宋体"/>
                <w:color w:val="auto"/>
                <w:sz w:val="21"/>
                <w:szCs w:val="21"/>
                <w:highlight w:val="none"/>
                <w:lang w:val="en-US" w:eastAsia="zh-CN"/>
              </w:rPr>
              <w:t>废气收集量为</w:t>
            </w:r>
            <w:r>
              <w:rPr>
                <w:rFonts w:hint="eastAsia" w:ascii="Times New Roman" w:hAnsi="Times New Roman" w:eastAsia="宋体"/>
                <w:color w:val="auto"/>
                <w:sz w:val="21"/>
                <w:szCs w:val="21"/>
                <w:highlight w:val="none"/>
                <w:lang w:val="en-US" w:eastAsia="zh-CN"/>
              </w:rPr>
              <w:t>0.</w:t>
            </w:r>
            <w:r>
              <w:rPr>
                <w:rFonts w:hint="eastAsia" w:ascii="Times New Roman"/>
                <w:color w:val="auto"/>
                <w:sz w:val="21"/>
                <w:szCs w:val="21"/>
                <w:highlight w:val="none"/>
                <w:lang w:val="en-US" w:eastAsia="zh-CN"/>
              </w:rPr>
              <w:t>0778</w:t>
            </w:r>
            <w:r>
              <w:rPr>
                <w:rFonts w:hint="eastAsia" w:ascii="Times New Roman" w:hAnsi="Times New Roman" w:eastAsia="宋体"/>
                <w:color w:val="auto"/>
                <w:sz w:val="21"/>
                <w:szCs w:val="21"/>
                <w:highlight w:val="none"/>
                <w:lang w:val="en-US" w:eastAsia="zh-CN"/>
              </w:rPr>
              <w:t>t/a</w:t>
            </w:r>
            <w:r>
              <w:rPr>
                <w:rFonts w:hint="eastAsia" w:ascii="Times New Roman" w:hAnsi="Times New Roman" w:eastAsia="宋体"/>
                <w:color w:val="auto"/>
                <w:sz w:val="21"/>
                <w:szCs w:val="21"/>
                <w:highlight w:val="none"/>
                <w:lang w:val="en-US" w:eastAsia="zh-CN"/>
              </w:rPr>
              <w:t>，活性炭吸附处理废气量约为0.</w:t>
            </w:r>
            <w:r>
              <w:rPr>
                <w:rFonts w:hint="eastAsia" w:ascii="Times New Roman"/>
                <w:color w:val="auto"/>
                <w:sz w:val="21"/>
                <w:szCs w:val="21"/>
                <w:highlight w:val="none"/>
                <w:lang w:val="en-US" w:eastAsia="zh-CN"/>
              </w:rPr>
              <w:t>0778</w:t>
            </w:r>
            <w:r>
              <w:rPr>
                <w:rFonts w:hint="eastAsia" w:ascii="Times New Roman" w:hAnsi="Times New Roman" w:eastAsia="宋体"/>
                <w:color w:val="auto"/>
                <w:sz w:val="21"/>
                <w:szCs w:val="21"/>
                <w:highlight w:val="none"/>
                <w:lang w:val="en-US" w:eastAsia="zh-CN"/>
              </w:rPr>
              <w:t>t/a×</w:t>
            </w:r>
            <w:r>
              <w:rPr>
                <w:rFonts w:hint="eastAsia" w:ascii="Times New Roman"/>
                <w:color w:val="auto"/>
                <w:sz w:val="21"/>
                <w:szCs w:val="21"/>
                <w:highlight w:val="none"/>
                <w:lang w:val="en-US" w:eastAsia="zh-CN"/>
              </w:rPr>
              <w:t>6</w:t>
            </w:r>
            <w:r>
              <w:rPr>
                <w:rFonts w:hint="eastAsia" w:ascii="Times New Roman" w:hAnsi="Times New Roman" w:eastAsia="宋体"/>
                <w:color w:val="auto"/>
                <w:sz w:val="21"/>
                <w:szCs w:val="21"/>
                <w:highlight w:val="none"/>
                <w:lang w:val="en-US" w:eastAsia="zh-CN"/>
              </w:rPr>
              <w:t>0%=</w:t>
            </w:r>
            <w:r>
              <w:rPr>
                <w:rFonts w:hint="eastAsia" w:ascii="Times New Roman"/>
                <w:color w:val="auto"/>
                <w:sz w:val="21"/>
                <w:szCs w:val="21"/>
                <w:highlight w:val="none"/>
                <w:lang w:val="en-US" w:eastAsia="zh-CN"/>
              </w:rPr>
              <w:t>0.0467</w:t>
            </w:r>
            <w:r>
              <w:rPr>
                <w:rFonts w:hint="eastAsia" w:ascii="Times New Roman" w:hAnsi="Times New Roman" w:eastAsia="宋体"/>
                <w:color w:val="auto"/>
                <w:sz w:val="21"/>
                <w:szCs w:val="21"/>
                <w:highlight w:val="none"/>
                <w:lang w:val="en-US" w:eastAsia="zh-CN"/>
              </w:rPr>
              <w:t>t/a，活性炭吸附比例为15%，即需要活性炭量约</w:t>
            </w:r>
            <w:r>
              <w:rPr>
                <w:rFonts w:hint="eastAsia" w:ascii="Times New Roman"/>
                <w:color w:val="auto"/>
                <w:sz w:val="21"/>
                <w:szCs w:val="21"/>
                <w:highlight w:val="none"/>
                <w:lang w:val="en-US" w:eastAsia="zh-CN"/>
              </w:rPr>
              <w:t>0.0467/15%=0</w:t>
            </w:r>
            <w:r>
              <w:rPr>
                <w:rFonts w:hint="eastAsia" w:ascii="Times New Roman" w:hAnsi="Times New Roman" w:eastAsia="宋体"/>
                <w:color w:val="auto"/>
                <w:sz w:val="21"/>
                <w:szCs w:val="21"/>
                <w:highlight w:val="none"/>
                <w:lang w:val="en-US" w:eastAsia="zh-CN"/>
              </w:rPr>
              <w:t>.</w:t>
            </w:r>
            <w:r>
              <w:rPr>
                <w:rFonts w:hint="eastAsia" w:ascii="Times New Roman"/>
                <w:color w:val="auto"/>
                <w:sz w:val="21"/>
                <w:szCs w:val="21"/>
                <w:highlight w:val="none"/>
                <w:lang w:val="en-US" w:eastAsia="zh-CN"/>
              </w:rPr>
              <w:t>3113</w:t>
            </w:r>
            <w:r>
              <w:rPr>
                <w:rFonts w:hint="eastAsia" w:ascii="Times New Roman" w:hAnsi="Times New Roman" w:eastAsia="宋体"/>
                <w:color w:val="auto"/>
                <w:sz w:val="21"/>
                <w:szCs w:val="21"/>
                <w:highlight w:val="none"/>
                <w:lang w:val="en-US" w:eastAsia="zh-CN"/>
              </w:rPr>
              <w:t>t/a；单次单级活性炭填充量为0.4</w:t>
            </w:r>
            <w:r>
              <w:rPr>
                <w:rFonts w:hint="eastAsia" w:ascii="Times New Roman"/>
                <w:color w:val="auto"/>
                <w:sz w:val="21"/>
                <w:szCs w:val="21"/>
                <w:highlight w:val="none"/>
                <w:lang w:val="en-US" w:eastAsia="zh-CN"/>
              </w:rPr>
              <w:t>447</w:t>
            </w:r>
            <w:r>
              <w:rPr>
                <w:rFonts w:hint="eastAsia" w:ascii="Times New Roman" w:hAnsi="Times New Roman" w:eastAsia="宋体"/>
                <w:color w:val="auto"/>
                <w:sz w:val="21"/>
                <w:szCs w:val="21"/>
                <w:highlight w:val="none"/>
                <w:lang w:val="en-US" w:eastAsia="zh-CN"/>
              </w:rPr>
              <w:t>t，活性炭更换频次约为</w:t>
            </w:r>
            <w:r>
              <w:rPr>
                <w:rFonts w:hint="eastAsia" w:ascii="Times New Roman" w:hAnsi="Times New Roman" w:eastAsia="宋体" w:cs="宋体"/>
                <w:snapToGrid w:val="0"/>
                <w:color w:val="auto"/>
                <w:spacing w:val="-1"/>
                <w:kern w:val="0"/>
                <w:sz w:val="21"/>
                <w:szCs w:val="21"/>
                <w:highlight w:val="none"/>
                <w:lang w:val="en-US" w:eastAsia="zh-CN" w:bidi="ar-SA"/>
              </w:rPr>
              <w:t>4</w:t>
            </w:r>
            <w:r>
              <w:rPr>
                <w:rFonts w:hint="eastAsia" w:ascii="Times New Roman" w:hAnsi="Times New Roman" w:eastAsia="宋体"/>
                <w:color w:val="auto"/>
                <w:sz w:val="21"/>
                <w:szCs w:val="21"/>
                <w:highlight w:val="none"/>
                <w:lang w:val="en-US" w:eastAsia="zh-CN"/>
              </w:rPr>
              <w:t>次/年，则年更换活性炭总量为</w:t>
            </w:r>
            <w:r>
              <w:rPr>
                <w:rFonts w:hint="eastAsia" w:ascii="Times New Roman" w:hAnsi="Times New Roman"/>
                <w:color w:val="auto"/>
                <w:sz w:val="21"/>
                <w:szCs w:val="21"/>
                <w:highlight w:val="none"/>
                <w:vertAlign w:val="baseline"/>
                <w:lang w:val="en-US" w:eastAsia="zh-CN"/>
              </w:rPr>
              <w:t>0.</w:t>
            </w:r>
            <w:r>
              <w:rPr>
                <w:rFonts w:hint="eastAsia" w:ascii="Times New Roman"/>
                <w:color w:val="auto"/>
                <w:sz w:val="21"/>
                <w:szCs w:val="21"/>
                <w:highlight w:val="none"/>
                <w:vertAlign w:val="baseline"/>
                <w:lang w:val="en-US" w:eastAsia="zh-CN"/>
              </w:rPr>
              <w:t>4447</w:t>
            </w:r>
            <w:r>
              <w:rPr>
                <w:rFonts w:hint="eastAsia" w:ascii="Times New Roman" w:hAnsi="Times New Roman" w:eastAsia="宋体"/>
                <w:color w:val="auto"/>
                <w:sz w:val="21"/>
                <w:szCs w:val="21"/>
                <w:highlight w:val="none"/>
                <w:lang w:val="en-US" w:eastAsia="zh-CN"/>
              </w:rPr>
              <w:t>t×4=</w:t>
            </w:r>
            <w:r>
              <w:rPr>
                <w:rFonts w:hint="eastAsia" w:ascii="Times New Roman"/>
                <w:color w:val="auto"/>
                <w:sz w:val="21"/>
                <w:szCs w:val="21"/>
                <w:highlight w:val="none"/>
                <w:lang w:val="en-US" w:eastAsia="zh-CN"/>
              </w:rPr>
              <w:t>1.7788</w:t>
            </w:r>
            <w:r>
              <w:rPr>
                <w:rFonts w:hint="eastAsia" w:ascii="Times New Roman" w:hAnsi="Times New Roman" w:eastAsia="宋体"/>
                <w:color w:val="auto"/>
                <w:sz w:val="21"/>
                <w:szCs w:val="21"/>
                <w:highlight w:val="none"/>
                <w:lang w:val="en-US" w:eastAsia="zh-CN"/>
              </w:rPr>
              <w:t>t</w:t>
            </w:r>
            <w:r>
              <w:rPr>
                <w:rFonts w:hint="eastAsia" w:ascii="Times New Roman"/>
                <w:color w:val="auto"/>
                <w:sz w:val="21"/>
                <w:szCs w:val="21"/>
                <w:highlight w:val="none"/>
                <w:lang w:val="en-US" w:eastAsia="zh-CN"/>
              </w:rPr>
              <w:t>，满足处理需求</w:t>
            </w:r>
            <w:r>
              <w:rPr>
                <w:rFonts w:hint="eastAsia" w:ascii="Times New Roman" w:hAnsi="Times New Roman" w:eastAsia="宋体"/>
                <w:color w:val="auto"/>
                <w:sz w:val="21"/>
                <w:szCs w:val="21"/>
                <w:highlight w:val="none"/>
                <w:lang w:val="en-US" w:eastAsia="zh-CN"/>
              </w:rPr>
              <w:t>。</w:t>
            </w:r>
            <w:r>
              <w:rPr>
                <w:rFonts w:hint="eastAsia" w:ascii="Times New Roman"/>
                <w:color w:val="auto"/>
                <w:sz w:val="21"/>
                <w:szCs w:val="21"/>
                <w:highlight w:val="none"/>
                <w:lang w:val="en-US" w:eastAsia="zh-CN"/>
              </w:rPr>
              <w:t xml:space="preserve"> </w:t>
            </w:r>
          </w:p>
          <w:p w14:paraId="2C728129">
            <w:pPr>
              <w:rPr>
                <w:rFonts w:hint="eastAsia"/>
                <w:b/>
                <w:bCs/>
                <w:color w:val="auto"/>
                <w:lang w:val="en-US" w:eastAsia="zh-CN"/>
              </w:rPr>
            </w:pPr>
            <w:r>
              <w:rPr>
                <w:rFonts w:hint="eastAsia"/>
                <w:b/>
                <w:bCs/>
                <w:color w:val="auto"/>
                <w:lang w:val="en-US" w:eastAsia="zh-CN"/>
              </w:rPr>
              <w:t>大气污染物排放量核算：</w:t>
            </w:r>
          </w:p>
          <w:p w14:paraId="018D3344">
            <w:pPr>
              <w:pStyle w:val="9"/>
              <w:spacing w:line="360" w:lineRule="auto"/>
              <w:ind w:left="630" w:leftChars="0" w:firstLineChars="0"/>
              <w:rPr>
                <w:color w:val="auto"/>
                <w:szCs w:val="21"/>
              </w:rPr>
            </w:pPr>
            <w:r>
              <w:rPr>
                <w:rFonts w:hint="eastAsia"/>
                <w:color w:val="auto"/>
                <w:szCs w:val="21"/>
              </w:rPr>
              <w:t>大气污染物有组织排放量核算表</w:t>
            </w:r>
          </w:p>
          <w:tbl>
            <w:tblPr>
              <w:tblStyle w:val="16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61"/>
              <w:gridCol w:w="976"/>
              <w:gridCol w:w="1523"/>
              <w:gridCol w:w="2027"/>
              <w:gridCol w:w="1672"/>
              <w:gridCol w:w="1544"/>
            </w:tblGrid>
            <w:tr w14:paraId="2D23E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 w:hRule="atLeast"/>
                <w:tblHeader/>
                <w:jc w:val="center"/>
              </w:trPr>
              <w:tc>
                <w:tcPr>
                  <w:tcW w:w="393" w:type="pct"/>
                  <w:shd w:val="clear" w:color="auto" w:fill="auto"/>
                  <w:vAlign w:val="center"/>
                </w:tcPr>
                <w:p w14:paraId="75E12CF0">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序号</w:t>
                  </w:r>
                </w:p>
              </w:tc>
              <w:tc>
                <w:tcPr>
                  <w:tcW w:w="580" w:type="pct"/>
                  <w:shd w:val="clear" w:color="auto" w:fill="auto"/>
                  <w:vAlign w:val="center"/>
                </w:tcPr>
                <w:p w14:paraId="535AFCC3">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排放口编号</w:t>
                  </w:r>
                </w:p>
              </w:tc>
              <w:tc>
                <w:tcPr>
                  <w:tcW w:w="906" w:type="pct"/>
                  <w:shd w:val="clear" w:color="auto" w:fill="auto"/>
                  <w:vAlign w:val="center"/>
                </w:tcPr>
                <w:p w14:paraId="7BB010E3">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污染物</w:t>
                  </w:r>
                </w:p>
              </w:tc>
              <w:tc>
                <w:tcPr>
                  <w:tcW w:w="1206" w:type="pct"/>
                  <w:shd w:val="clear" w:color="auto" w:fill="auto"/>
                  <w:vAlign w:val="center"/>
                </w:tcPr>
                <w:p w14:paraId="00352327">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核算排放浓度/</w:t>
                  </w:r>
                </w:p>
                <w:p w14:paraId="5939EEBA">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w:t>
                  </w:r>
                  <w:r>
                    <w:rPr>
                      <w:rFonts w:eastAsia="宋体"/>
                      <w:color w:val="auto"/>
                      <w:sz w:val="21"/>
                    </w:rPr>
                    <w:t>mg/m</w:t>
                  </w:r>
                  <w:r>
                    <w:rPr>
                      <w:rFonts w:eastAsia="宋体"/>
                      <w:color w:val="auto"/>
                      <w:sz w:val="21"/>
                      <w:vertAlign w:val="superscript"/>
                    </w:rPr>
                    <w:t>3</w:t>
                  </w:r>
                  <w:r>
                    <w:rPr>
                      <w:rFonts w:hint="eastAsia" w:eastAsia="宋体"/>
                      <w:color w:val="auto"/>
                      <w:sz w:val="21"/>
                    </w:rPr>
                    <w:t>）</w:t>
                  </w:r>
                </w:p>
              </w:tc>
              <w:tc>
                <w:tcPr>
                  <w:tcW w:w="994" w:type="pct"/>
                  <w:shd w:val="clear" w:color="auto" w:fill="auto"/>
                  <w:vAlign w:val="center"/>
                </w:tcPr>
                <w:p w14:paraId="44B73C3C">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核算排放速率/</w:t>
                  </w:r>
                </w:p>
                <w:p w14:paraId="3130686A">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w:t>
                  </w:r>
                  <w:r>
                    <w:rPr>
                      <w:rFonts w:eastAsia="宋体"/>
                      <w:color w:val="auto"/>
                      <w:sz w:val="21"/>
                    </w:rPr>
                    <w:t>kg/h</w:t>
                  </w:r>
                  <w:r>
                    <w:rPr>
                      <w:rFonts w:hint="eastAsia" w:eastAsia="宋体"/>
                      <w:color w:val="auto"/>
                      <w:sz w:val="21"/>
                    </w:rPr>
                    <w:t>）</w:t>
                  </w:r>
                </w:p>
              </w:tc>
              <w:tc>
                <w:tcPr>
                  <w:tcW w:w="918" w:type="pct"/>
                  <w:shd w:val="clear" w:color="auto" w:fill="auto"/>
                  <w:vAlign w:val="center"/>
                </w:tcPr>
                <w:p w14:paraId="7C41E774">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核算年排放量/（</w:t>
                  </w:r>
                  <w:r>
                    <w:rPr>
                      <w:rFonts w:eastAsia="宋体"/>
                      <w:color w:val="auto"/>
                      <w:sz w:val="21"/>
                    </w:rPr>
                    <w:t>t/a</w:t>
                  </w:r>
                  <w:r>
                    <w:rPr>
                      <w:rFonts w:hint="eastAsia" w:eastAsia="宋体"/>
                      <w:color w:val="auto"/>
                      <w:sz w:val="21"/>
                    </w:rPr>
                    <w:t>）</w:t>
                  </w:r>
                </w:p>
              </w:tc>
            </w:tr>
            <w:tr w14:paraId="15F3C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6"/>
                  <w:shd w:val="clear" w:color="auto" w:fill="auto"/>
                  <w:vAlign w:val="center"/>
                </w:tcPr>
                <w:p w14:paraId="7B068531">
                  <w:pPr>
                    <w:pStyle w:val="70"/>
                    <w:spacing w:before="74" w:line="360" w:lineRule="auto"/>
                    <w:rPr>
                      <w:color w:val="auto"/>
                      <w:sz w:val="21"/>
                    </w:rPr>
                  </w:pPr>
                  <w:r>
                    <w:rPr>
                      <w:rFonts w:hint="eastAsia"/>
                      <w:color w:val="auto"/>
                      <w:sz w:val="21"/>
                    </w:rPr>
                    <w:t>一般排放口</w:t>
                  </w:r>
                </w:p>
              </w:tc>
            </w:tr>
            <w:tr w14:paraId="6D2AC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 w:type="pct"/>
                  <w:shd w:val="clear" w:color="auto" w:fill="auto"/>
                  <w:vAlign w:val="center"/>
                </w:tcPr>
                <w:p w14:paraId="3F46C1F7">
                  <w:pPr>
                    <w:pStyle w:val="70"/>
                    <w:spacing w:before="74" w:line="360" w:lineRule="auto"/>
                    <w:rPr>
                      <w:rFonts w:hint="eastAsia" w:eastAsia="宋体"/>
                      <w:color w:val="auto"/>
                      <w:lang w:val="en-US" w:eastAsia="zh-CN"/>
                    </w:rPr>
                  </w:pPr>
                  <w:r>
                    <w:rPr>
                      <w:rFonts w:hint="eastAsia"/>
                      <w:color w:val="auto"/>
                      <w:lang w:val="en-US" w:eastAsia="zh-CN"/>
                    </w:rPr>
                    <w:t>1</w:t>
                  </w:r>
                </w:p>
              </w:tc>
              <w:tc>
                <w:tcPr>
                  <w:tcW w:w="580" w:type="pct"/>
                  <w:shd w:val="clear" w:color="auto" w:fill="auto"/>
                  <w:vAlign w:val="center"/>
                </w:tcPr>
                <w:p w14:paraId="7DC80F6A">
                  <w:pPr>
                    <w:pStyle w:val="70"/>
                    <w:spacing w:before="74" w:line="360" w:lineRule="auto"/>
                    <w:rPr>
                      <w:rFonts w:hint="eastAsia" w:eastAsia="宋体"/>
                      <w:color w:val="auto"/>
                      <w:lang w:eastAsia="zh-CN"/>
                    </w:rPr>
                  </w:pPr>
                  <w:r>
                    <w:rPr>
                      <w:rFonts w:hint="eastAsia"/>
                      <w:color w:val="auto"/>
                      <w:sz w:val="21"/>
                      <w:lang w:val="en-US"/>
                    </w:rPr>
                    <w:t>G</w:t>
                  </w:r>
                  <w:r>
                    <w:rPr>
                      <w:rFonts w:hint="eastAsia"/>
                      <w:color w:val="auto"/>
                      <w:sz w:val="21"/>
                      <w:lang w:val="en-US" w:eastAsia="zh-CN"/>
                    </w:rPr>
                    <w:t>1</w:t>
                  </w:r>
                </w:p>
              </w:tc>
              <w:tc>
                <w:tcPr>
                  <w:tcW w:w="906" w:type="pct"/>
                  <w:shd w:val="clear" w:color="auto" w:fill="auto"/>
                  <w:vAlign w:val="center"/>
                </w:tcPr>
                <w:p w14:paraId="543EF6D3">
                  <w:pPr>
                    <w:pStyle w:val="70"/>
                    <w:spacing w:before="74" w:line="360" w:lineRule="auto"/>
                    <w:rPr>
                      <w:color w:val="auto"/>
                      <w:sz w:val="21"/>
                    </w:rPr>
                  </w:pPr>
                  <w:r>
                    <w:rPr>
                      <w:rFonts w:hint="eastAsia"/>
                      <w:color w:val="auto"/>
                      <w:sz w:val="21"/>
                    </w:rPr>
                    <w:t>颗粒物</w:t>
                  </w:r>
                </w:p>
              </w:tc>
              <w:tc>
                <w:tcPr>
                  <w:tcW w:w="1206" w:type="pct"/>
                  <w:shd w:val="clear" w:color="auto" w:fill="auto"/>
                  <w:vAlign w:val="center"/>
                </w:tcPr>
                <w:p w14:paraId="4CEB554E">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7</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5562</w:t>
                  </w:r>
                </w:p>
              </w:tc>
              <w:tc>
                <w:tcPr>
                  <w:tcW w:w="994" w:type="pct"/>
                  <w:shd w:val="clear" w:color="auto" w:fill="auto"/>
                  <w:vAlign w:val="center"/>
                </w:tcPr>
                <w:p w14:paraId="762B301E">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1134</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18" w:type="pct"/>
                  <w:shd w:val="clear" w:color="auto" w:fill="auto"/>
                  <w:vAlign w:val="center"/>
                </w:tcPr>
                <w:p w14:paraId="79F149BB">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15</w:t>
                  </w:r>
                  <w:r>
                    <w:rPr>
                      <w:rFonts w:hint="eastAsia" w:ascii="Times New Roman" w:hAnsi="Times New Roman" w:eastAsia="宋体" w:cs="Times New Roman"/>
                      <w:i w:val="0"/>
                      <w:iCs w:val="0"/>
                      <w:color w:val="auto"/>
                      <w:kern w:val="0"/>
                      <w:sz w:val="21"/>
                      <w:szCs w:val="21"/>
                      <w:u w:val="none"/>
                      <w:lang w:val="en-US" w:eastAsia="zh-CN" w:bidi="ar"/>
                    </w:rPr>
                    <w:t>60</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5E65C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 w:type="pct"/>
                  <w:vMerge w:val="restart"/>
                  <w:shd w:val="clear" w:color="auto" w:fill="auto"/>
                  <w:vAlign w:val="center"/>
                </w:tcPr>
                <w:p w14:paraId="759FB281">
                  <w:pPr>
                    <w:pStyle w:val="70"/>
                    <w:spacing w:before="74" w:line="360" w:lineRule="auto"/>
                    <w:rPr>
                      <w:color w:val="auto"/>
                      <w:sz w:val="21"/>
                      <w:lang w:val="en-US"/>
                    </w:rPr>
                  </w:pPr>
                  <w:r>
                    <w:rPr>
                      <w:rFonts w:hint="eastAsia"/>
                      <w:color w:val="auto"/>
                      <w:sz w:val="21"/>
                      <w:lang w:val="en-US"/>
                    </w:rPr>
                    <w:t>2</w:t>
                  </w:r>
                </w:p>
              </w:tc>
              <w:tc>
                <w:tcPr>
                  <w:tcW w:w="580" w:type="pct"/>
                  <w:vMerge w:val="restart"/>
                  <w:shd w:val="clear" w:color="auto" w:fill="auto"/>
                  <w:vAlign w:val="center"/>
                </w:tcPr>
                <w:p w14:paraId="36446D8B">
                  <w:pPr>
                    <w:pStyle w:val="70"/>
                    <w:spacing w:before="74" w:line="360" w:lineRule="auto"/>
                    <w:rPr>
                      <w:color w:val="auto"/>
                      <w:sz w:val="21"/>
                      <w:lang w:val="en-US"/>
                    </w:rPr>
                  </w:pPr>
                  <w:r>
                    <w:rPr>
                      <w:rFonts w:hint="eastAsia"/>
                      <w:color w:val="auto"/>
                      <w:sz w:val="21"/>
                      <w:lang w:val="en-US"/>
                    </w:rPr>
                    <w:t>G2</w:t>
                  </w:r>
                </w:p>
              </w:tc>
              <w:tc>
                <w:tcPr>
                  <w:tcW w:w="906" w:type="pct"/>
                  <w:shd w:val="clear" w:color="auto" w:fill="auto"/>
                  <w:vAlign w:val="center"/>
                </w:tcPr>
                <w:p w14:paraId="7924E7C9">
                  <w:pPr>
                    <w:pStyle w:val="70"/>
                    <w:spacing w:before="74" w:line="360" w:lineRule="auto"/>
                    <w:rPr>
                      <w:rFonts w:ascii="宋体" w:hAnsi="宋体" w:cs="宋体"/>
                      <w:color w:val="auto"/>
                      <w:kern w:val="0"/>
                      <w:sz w:val="21"/>
                    </w:rPr>
                  </w:pPr>
                  <w:r>
                    <w:rPr>
                      <w:rFonts w:hint="eastAsia"/>
                      <w:color w:val="auto"/>
                      <w:sz w:val="21"/>
                      <w:lang w:val="en-US" w:eastAsia="zh-CN"/>
                    </w:rPr>
                    <w:t>TVOC、</w:t>
                  </w:r>
                  <w:r>
                    <w:rPr>
                      <w:color w:val="auto"/>
                      <w:sz w:val="21"/>
                    </w:rPr>
                    <w:t>非甲烷总烃</w:t>
                  </w:r>
                </w:p>
              </w:tc>
              <w:tc>
                <w:tcPr>
                  <w:tcW w:w="1206" w:type="pct"/>
                  <w:shd w:val="clear" w:color="auto" w:fill="auto"/>
                  <w:vAlign w:val="center"/>
                </w:tcPr>
                <w:p w14:paraId="76186C80">
                  <w:pPr>
                    <w:keepNext w:val="0"/>
                    <w:keepLines w:val="0"/>
                    <w:widowControl/>
                    <w:suppressLineNumbers w:val="0"/>
                    <w:spacing w:before="74"/>
                    <w:jc w:val="center"/>
                    <w:textAlignment w:val="center"/>
                    <w:rPr>
                      <w:rFonts w:hint="default" w:ascii="Times New Roman" w:hAnsi="Times New Roman" w:eastAsia="宋体" w:cs="Times New Roman"/>
                      <w:color w:val="auto"/>
                      <w:sz w:val="21"/>
                      <w:lang w:val="en-US" w:eastAsia="zh-CN"/>
                    </w:rPr>
                  </w:pPr>
                  <w:r>
                    <w:rPr>
                      <w:rFonts w:hint="eastAsia" w:cs="Times New Roman"/>
                      <w:i w:val="0"/>
                      <w:iCs w:val="0"/>
                      <w:color w:val="auto"/>
                      <w:kern w:val="0"/>
                      <w:sz w:val="21"/>
                      <w:szCs w:val="21"/>
                      <w:u w:val="none"/>
                      <w:lang w:val="en-US" w:eastAsia="zh-CN" w:bidi="ar"/>
                    </w:rPr>
                    <w:t>3</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5566</w:t>
                  </w:r>
                </w:p>
              </w:tc>
              <w:tc>
                <w:tcPr>
                  <w:tcW w:w="994" w:type="pct"/>
                  <w:shd w:val="clear" w:color="auto" w:fill="auto"/>
                  <w:vAlign w:val="center"/>
                </w:tcPr>
                <w:p w14:paraId="5E8092C2">
                  <w:pPr>
                    <w:keepNext w:val="0"/>
                    <w:keepLines w:val="0"/>
                    <w:widowControl/>
                    <w:suppressLineNumbers w:val="0"/>
                    <w:spacing w:before="74"/>
                    <w:jc w:val="center"/>
                    <w:textAlignment w:val="center"/>
                    <w:rPr>
                      <w:rFonts w:hint="default" w:ascii="Times New Roman" w:hAnsi="Times New Roman" w:cs="Times New Roman"/>
                      <w:color w:val="auto"/>
                      <w:sz w:val="21"/>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236</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18" w:type="pct"/>
                  <w:shd w:val="clear" w:color="auto" w:fill="auto"/>
                  <w:vAlign w:val="center"/>
                </w:tcPr>
                <w:p w14:paraId="3AA57D3D">
                  <w:pPr>
                    <w:keepNext w:val="0"/>
                    <w:keepLines w:val="0"/>
                    <w:widowControl/>
                    <w:suppressLineNumbers w:val="0"/>
                    <w:spacing w:before="74"/>
                    <w:jc w:val="center"/>
                    <w:textAlignment w:val="center"/>
                    <w:rPr>
                      <w:rFonts w:hint="default" w:ascii="Times New Roman" w:hAnsi="Times New Roman" w:cs="Times New Roman"/>
                      <w:color w:val="auto"/>
                      <w:sz w:val="21"/>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312</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3CB60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393" w:type="pct"/>
                  <w:vMerge w:val="continue"/>
                  <w:shd w:val="clear" w:color="auto" w:fill="auto"/>
                  <w:vAlign w:val="center"/>
                </w:tcPr>
                <w:p w14:paraId="5E3397DE">
                  <w:pPr>
                    <w:pStyle w:val="70"/>
                    <w:spacing w:before="74" w:line="360" w:lineRule="auto"/>
                    <w:rPr>
                      <w:rFonts w:hint="eastAsia"/>
                      <w:color w:val="auto"/>
                      <w:sz w:val="21"/>
                      <w:lang w:val="en-US"/>
                    </w:rPr>
                  </w:pPr>
                </w:p>
              </w:tc>
              <w:tc>
                <w:tcPr>
                  <w:tcW w:w="580" w:type="pct"/>
                  <w:vMerge w:val="continue"/>
                  <w:shd w:val="clear" w:color="auto" w:fill="auto"/>
                  <w:vAlign w:val="center"/>
                </w:tcPr>
                <w:p w14:paraId="7E53295B">
                  <w:pPr>
                    <w:pStyle w:val="70"/>
                    <w:spacing w:before="74" w:line="360" w:lineRule="auto"/>
                    <w:rPr>
                      <w:rFonts w:hint="eastAsia"/>
                      <w:color w:val="auto"/>
                      <w:sz w:val="21"/>
                      <w:lang w:val="en-US"/>
                    </w:rPr>
                  </w:pPr>
                </w:p>
              </w:tc>
              <w:tc>
                <w:tcPr>
                  <w:tcW w:w="906" w:type="pct"/>
                  <w:shd w:val="clear" w:color="auto" w:fill="auto"/>
                  <w:vAlign w:val="center"/>
                </w:tcPr>
                <w:p w14:paraId="2B54093A">
                  <w:pPr>
                    <w:pStyle w:val="70"/>
                    <w:spacing w:before="74" w:line="360" w:lineRule="auto"/>
                    <w:rPr>
                      <w:rFonts w:hint="default" w:eastAsia="宋体"/>
                      <w:color w:val="auto"/>
                      <w:sz w:val="21"/>
                      <w:lang w:val="en-US" w:eastAsia="zh-CN"/>
                    </w:rPr>
                  </w:pPr>
                  <w:r>
                    <w:rPr>
                      <w:rFonts w:hint="eastAsia"/>
                      <w:color w:val="auto"/>
                      <w:sz w:val="21"/>
                      <w:lang w:val="en-US" w:eastAsia="zh-CN"/>
                    </w:rPr>
                    <w:t>SO</w:t>
                  </w:r>
                  <w:r>
                    <w:rPr>
                      <w:rFonts w:hint="eastAsia"/>
                      <w:color w:val="auto"/>
                      <w:sz w:val="21"/>
                      <w:vertAlign w:val="subscript"/>
                      <w:lang w:val="en-US" w:eastAsia="zh-CN"/>
                    </w:rPr>
                    <w:t>2</w:t>
                  </w:r>
                </w:p>
              </w:tc>
              <w:tc>
                <w:tcPr>
                  <w:tcW w:w="1206" w:type="pct"/>
                  <w:shd w:val="clear" w:color="auto" w:fill="auto"/>
                  <w:vAlign w:val="center"/>
                </w:tcPr>
                <w:p w14:paraId="0FC07BA9">
                  <w:pPr>
                    <w:keepNext w:val="0"/>
                    <w:keepLines w:val="0"/>
                    <w:widowControl/>
                    <w:suppressLineNumbers w:val="0"/>
                    <w:spacing w:before="74"/>
                    <w:jc w:val="center"/>
                    <w:textAlignment w:val="center"/>
                    <w:rPr>
                      <w:rFonts w:hint="default" w:ascii="Times New Roman" w:hAnsi="Times New Roman" w:cs="Times New Roman"/>
                      <w:bCs/>
                      <w:color w:val="auto"/>
                      <w:sz w:val="21"/>
                      <w:lang w:val="en-US"/>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6221</w:t>
                  </w:r>
                </w:p>
              </w:tc>
              <w:tc>
                <w:tcPr>
                  <w:tcW w:w="994" w:type="pct"/>
                  <w:shd w:val="clear" w:color="auto" w:fill="auto"/>
                  <w:vAlign w:val="center"/>
                </w:tcPr>
                <w:p w14:paraId="6C6C65EE">
                  <w:pPr>
                    <w:keepNext w:val="0"/>
                    <w:keepLines w:val="0"/>
                    <w:widowControl/>
                    <w:suppressLineNumbers w:val="0"/>
                    <w:spacing w:before="74"/>
                    <w:jc w:val="center"/>
                    <w:textAlignment w:val="center"/>
                    <w:rPr>
                      <w:rFonts w:hint="default" w:ascii="Times New Roman" w:hAnsi="Times New Roman" w:cs="Times New Roman"/>
                      <w:bCs/>
                      <w:color w:val="auto"/>
                      <w:sz w:val="21"/>
                    </w:rPr>
                  </w:pPr>
                  <w:r>
                    <w:rPr>
                      <w:rFonts w:hint="default" w:ascii="Times New Roman" w:hAnsi="Times New Roman" w:eastAsia="宋体" w:cs="Times New Roman"/>
                      <w:i w:val="0"/>
                      <w:iCs w:val="0"/>
                      <w:color w:val="auto"/>
                      <w:kern w:val="0"/>
                      <w:sz w:val="21"/>
                      <w:szCs w:val="21"/>
                      <w:u w:val="none"/>
                      <w:lang w:val="en-US" w:eastAsia="zh-CN" w:bidi="ar"/>
                    </w:rPr>
                    <w:t>0.01</w:t>
                  </w:r>
                  <w:r>
                    <w:rPr>
                      <w:rFonts w:hint="eastAsia" w:cs="Times New Roman"/>
                      <w:i w:val="0"/>
                      <w:iCs w:val="0"/>
                      <w:color w:val="auto"/>
                      <w:kern w:val="0"/>
                      <w:sz w:val="21"/>
                      <w:szCs w:val="21"/>
                      <w:u w:val="none"/>
                      <w:lang w:val="en-US" w:eastAsia="zh-CN" w:bidi="ar"/>
                    </w:rPr>
                    <w:t>08</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18" w:type="pct"/>
                  <w:shd w:val="clear" w:color="auto" w:fill="auto"/>
                  <w:vAlign w:val="center"/>
                </w:tcPr>
                <w:p w14:paraId="0D82F8B3">
                  <w:pPr>
                    <w:keepNext w:val="0"/>
                    <w:keepLines w:val="0"/>
                    <w:widowControl/>
                    <w:suppressLineNumbers w:val="0"/>
                    <w:spacing w:before="74"/>
                    <w:jc w:val="center"/>
                    <w:textAlignment w:val="center"/>
                    <w:rPr>
                      <w:rFonts w:hint="default" w:ascii="Times New Roman" w:hAnsi="Times New Roman" w:cs="Times New Roman"/>
                      <w:bCs/>
                      <w:color w:val="auto"/>
                      <w:sz w:val="21"/>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259</w:t>
                  </w:r>
                </w:p>
              </w:tc>
            </w:tr>
            <w:tr w14:paraId="0A2EA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 w:type="pct"/>
                  <w:vMerge w:val="continue"/>
                  <w:shd w:val="clear" w:color="auto" w:fill="auto"/>
                  <w:vAlign w:val="center"/>
                </w:tcPr>
                <w:p w14:paraId="74176570">
                  <w:pPr>
                    <w:pStyle w:val="70"/>
                    <w:spacing w:before="74" w:line="360" w:lineRule="auto"/>
                    <w:rPr>
                      <w:rFonts w:hint="eastAsia"/>
                      <w:color w:val="auto"/>
                      <w:sz w:val="21"/>
                      <w:lang w:val="en-US"/>
                    </w:rPr>
                  </w:pPr>
                </w:p>
              </w:tc>
              <w:tc>
                <w:tcPr>
                  <w:tcW w:w="580" w:type="pct"/>
                  <w:vMerge w:val="continue"/>
                  <w:shd w:val="clear" w:color="auto" w:fill="auto"/>
                  <w:vAlign w:val="center"/>
                </w:tcPr>
                <w:p w14:paraId="2611B989">
                  <w:pPr>
                    <w:pStyle w:val="70"/>
                    <w:spacing w:before="74" w:line="360" w:lineRule="auto"/>
                    <w:rPr>
                      <w:rFonts w:hint="eastAsia"/>
                      <w:color w:val="auto"/>
                      <w:sz w:val="21"/>
                      <w:lang w:val="en-US"/>
                    </w:rPr>
                  </w:pPr>
                </w:p>
              </w:tc>
              <w:tc>
                <w:tcPr>
                  <w:tcW w:w="906" w:type="pct"/>
                  <w:shd w:val="clear" w:color="auto" w:fill="auto"/>
                  <w:vAlign w:val="center"/>
                </w:tcPr>
                <w:p w14:paraId="6247E19D">
                  <w:pPr>
                    <w:pStyle w:val="70"/>
                    <w:spacing w:before="74" w:line="360" w:lineRule="auto"/>
                    <w:rPr>
                      <w:rFonts w:hint="default" w:eastAsia="宋体"/>
                      <w:color w:val="auto"/>
                      <w:sz w:val="21"/>
                      <w:lang w:val="en-US" w:eastAsia="zh-CN"/>
                    </w:rPr>
                  </w:pPr>
                  <w:r>
                    <w:rPr>
                      <w:rFonts w:hint="eastAsia"/>
                      <w:color w:val="auto"/>
                      <w:sz w:val="21"/>
                      <w:lang w:val="en-US" w:eastAsia="zh-CN"/>
                    </w:rPr>
                    <w:t>NO</w:t>
                  </w:r>
                  <w:r>
                    <w:rPr>
                      <w:rFonts w:hint="eastAsia"/>
                      <w:color w:val="auto"/>
                      <w:sz w:val="21"/>
                      <w:vertAlign w:val="subscript"/>
                      <w:lang w:val="en-US" w:eastAsia="zh-CN"/>
                    </w:rPr>
                    <w:t>X</w:t>
                  </w:r>
                </w:p>
              </w:tc>
              <w:tc>
                <w:tcPr>
                  <w:tcW w:w="1206" w:type="pct"/>
                  <w:shd w:val="clear" w:color="auto" w:fill="auto"/>
                  <w:vAlign w:val="center"/>
                </w:tcPr>
                <w:p w14:paraId="27C47E81">
                  <w:pPr>
                    <w:keepNext w:val="0"/>
                    <w:keepLines w:val="0"/>
                    <w:widowControl/>
                    <w:suppressLineNumbers w:val="0"/>
                    <w:spacing w:before="74"/>
                    <w:jc w:val="center"/>
                    <w:textAlignment w:val="center"/>
                    <w:rPr>
                      <w:rFonts w:hint="default" w:ascii="Times New Roman" w:hAnsi="Times New Roman" w:cs="Times New Roman"/>
                      <w:bCs/>
                      <w:color w:val="auto"/>
                      <w:sz w:val="21"/>
                    </w:rPr>
                  </w:pPr>
                  <w:r>
                    <w:rPr>
                      <w:rFonts w:hint="default" w:ascii="Times New Roman" w:hAnsi="Times New Roman" w:eastAsia="宋体" w:cs="Times New Roman"/>
                      <w:i w:val="0"/>
                      <w:iCs w:val="0"/>
                      <w:color w:val="auto"/>
                      <w:kern w:val="0"/>
                      <w:sz w:val="21"/>
                      <w:szCs w:val="21"/>
                      <w:u w:val="none"/>
                      <w:lang w:val="en-US" w:eastAsia="zh-CN" w:bidi="ar"/>
                    </w:rPr>
                    <w:t>1</w:t>
                  </w:r>
                  <w:r>
                    <w:rPr>
                      <w:rFonts w:hint="eastAsia" w:cs="Times New Roman"/>
                      <w:i w:val="0"/>
                      <w:iCs w:val="0"/>
                      <w:color w:val="auto"/>
                      <w:kern w:val="0"/>
                      <w:sz w:val="21"/>
                      <w:szCs w:val="21"/>
                      <w:u w:val="none"/>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1083</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94" w:type="pct"/>
                  <w:shd w:val="clear" w:color="auto" w:fill="auto"/>
                  <w:vAlign w:val="center"/>
                </w:tcPr>
                <w:p w14:paraId="556B53E4">
                  <w:pPr>
                    <w:keepNext w:val="0"/>
                    <w:keepLines w:val="0"/>
                    <w:widowControl/>
                    <w:suppressLineNumbers w:val="0"/>
                    <w:spacing w:before="74"/>
                    <w:jc w:val="center"/>
                    <w:textAlignment w:val="center"/>
                    <w:rPr>
                      <w:rFonts w:hint="default" w:ascii="Times New Roman" w:hAnsi="Times New Roman" w:cs="Times New Roman"/>
                      <w:bCs/>
                      <w:color w:val="auto"/>
                      <w:sz w:val="21"/>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0939</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18" w:type="pct"/>
                  <w:shd w:val="clear" w:color="auto" w:fill="auto"/>
                  <w:vAlign w:val="center"/>
                </w:tcPr>
                <w:p w14:paraId="4E3B5DA4">
                  <w:pPr>
                    <w:keepNext w:val="0"/>
                    <w:keepLines w:val="0"/>
                    <w:widowControl/>
                    <w:suppressLineNumbers w:val="0"/>
                    <w:spacing w:before="74"/>
                    <w:jc w:val="center"/>
                    <w:textAlignment w:val="center"/>
                    <w:rPr>
                      <w:rFonts w:hint="default" w:ascii="Times New Roman" w:hAnsi="Times New Roman" w:cs="Times New Roman"/>
                      <w:bCs/>
                      <w:color w:val="auto"/>
                      <w:sz w:val="21"/>
                      <w:lang w:val="en-US"/>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2254</w:t>
                  </w:r>
                </w:p>
              </w:tc>
            </w:tr>
            <w:tr w14:paraId="34DC8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393" w:type="pct"/>
                  <w:vMerge w:val="continue"/>
                  <w:shd w:val="clear" w:color="auto" w:fill="auto"/>
                  <w:vAlign w:val="center"/>
                </w:tcPr>
                <w:p w14:paraId="3DE9F92C">
                  <w:pPr>
                    <w:pStyle w:val="70"/>
                    <w:spacing w:before="74" w:line="360" w:lineRule="auto"/>
                    <w:rPr>
                      <w:rFonts w:hint="eastAsia"/>
                      <w:color w:val="auto"/>
                      <w:sz w:val="21"/>
                      <w:lang w:val="en-US"/>
                    </w:rPr>
                  </w:pPr>
                </w:p>
              </w:tc>
              <w:tc>
                <w:tcPr>
                  <w:tcW w:w="580" w:type="pct"/>
                  <w:vMerge w:val="continue"/>
                  <w:shd w:val="clear" w:color="auto" w:fill="auto"/>
                  <w:vAlign w:val="center"/>
                </w:tcPr>
                <w:p w14:paraId="15801160">
                  <w:pPr>
                    <w:pStyle w:val="70"/>
                    <w:spacing w:before="74" w:line="360" w:lineRule="auto"/>
                    <w:rPr>
                      <w:rFonts w:hint="eastAsia"/>
                      <w:color w:val="auto"/>
                      <w:sz w:val="21"/>
                      <w:lang w:val="en-US"/>
                    </w:rPr>
                  </w:pPr>
                </w:p>
              </w:tc>
              <w:tc>
                <w:tcPr>
                  <w:tcW w:w="906" w:type="pct"/>
                  <w:shd w:val="clear" w:color="auto" w:fill="auto"/>
                  <w:vAlign w:val="center"/>
                </w:tcPr>
                <w:p w14:paraId="4E150D02">
                  <w:pPr>
                    <w:pStyle w:val="70"/>
                    <w:spacing w:before="74" w:line="360" w:lineRule="auto"/>
                    <w:rPr>
                      <w:rFonts w:hint="default" w:eastAsia="宋体"/>
                      <w:color w:val="auto"/>
                      <w:sz w:val="21"/>
                      <w:lang w:val="en-US" w:eastAsia="zh-CN"/>
                    </w:rPr>
                  </w:pPr>
                  <w:r>
                    <w:rPr>
                      <w:rFonts w:hint="eastAsia"/>
                      <w:color w:val="auto"/>
                      <w:sz w:val="21"/>
                      <w:lang w:val="en-US" w:eastAsia="zh-CN"/>
                    </w:rPr>
                    <w:t>颗粒物</w:t>
                  </w:r>
                </w:p>
              </w:tc>
              <w:tc>
                <w:tcPr>
                  <w:tcW w:w="1206" w:type="pct"/>
                  <w:shd w:val="clear" w:color="auto" w:fill="auto"/>
                  <w:vAlign w:val="center"/>
                </w:tcPr>
                <w:p w14:paraId="59E920A3">
                  <w:pPr>
                    <w:keepNext w:val="0"/>
                    <w:keepLines w:val="0"/>
                    <w:widowControl/>
                    <w:suppressLineNumbers w:val="0"/>
                    <w:spacing w:before="74"/>
                    <w:jc w:val="center"/>
                    <w:textAlignment w:val="center"/>
                    <w:rPr>
                      <w:rFonts w:hint="default" w:ascii="Times New Roman" w:hAnsi="Times New Roman" w:cs="Times New Roman"/>
                      <w:bCs/>
                      <w:color w:val="auto"/>
                      <w:sz w:val="21"/>
                      <w:lang w:val="en-US"/>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5207</w:t>
                  </w:r>
                </w:p>
              </w:tc>
              <w:tc>
                <w:tcPr>
                  <w:tcW w:w="994" w:type="pct"/>
                  <w:shd w:val="clear" w:color="auto" w:fill="auto"/>
                  <w:vAlign w:val="center"/>
                </w:tcPr>
                <w:p w14:paraId="269995D1">
                  <w:pPr>
                    <w:keepNext w:val="0"/>
                    <w:keepLines w:val="0"/>
                    <w:widowControl/>
                    <w:suppressLineNumbers w:val="0"/>
                    <w:spacing w:before="74"/>
                    <w:jc w:val="center"/>
                    <w:textAlignment w:val="center"/>
                    <w:rPr>
                      <w:rFonts w:hint="default" w:ascii="Times New Roman" w:hAnsi="Times New Roman" w:cs="Times New Roman"/>
                      <w:bCs/>
                      <w:color w:val="auto"/>
                      <w:sz w:val="21"/>
                    </w:rPr>
                  </w:pPr>
                  <w:r>
                    <w:rPr>
                      <w:rFonts w:hint="default" w:ascii="Times New Roman" w:hAnsi="Times New Roman" w:eastAsia="宋体" w:cs="Times New Roman"/>
                      <w:i w:val="0"/>
                      <w:iCs w:val="0"/>
                      <w:color w:val="auto"/>
                      <w:kern w:val="0"/>
                      <w:sz w:val="21"/>
                      <w:szCs w:val="21"/>
                      <w:u w:val="none"/>
                      <w:lang w:val="en-US" w:eastAsia="zh-CN" w:bidi="ar"/>
                    </w:rPr>
                    <w:t>0.003</w:t>
                  </w:r>
                  <w:r>
                    <w:rPr>
                      <w:rFonts w:hint="eastAsia" w:cs="Times New Roman"/>
                      <w:i w:val="0"/>
                      <w:iCs w:val="0"/>
                      <w:color w:val="auto"/>
                      <w:kern w:val="0"/>
                      <w:sz w:val="21"/>
                      <w:szCs w:val="21"/>
                      <w:u w:val="none"/>
                      <w:lang w:val="en-US" w:eastAsia="zh-CN" w:bidi="ar"/>
                    </w:rPr>
                    <w:t>5</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918" w:type="pct"/>
                  <w:shd w:val="clear" w:color="auto" w:fill="auto"/>
                  <w:vAlign w:val="center"/>
                </w:tcPr>
                <w:p w14:paraId="64F3BAF6">
                  <w:pPr>
                    <w:keepNext w:val="0"/>
                    <w:keepLines w:val="0"/>
                    <w:widowControl/>
                    <w:suppressLineNumbers w:val="0"/>
                    <w:spacing w:before="74"/>
                    <w:jc w:val="center"/>
                    <w:textAlignment w:val="center"/>
                    <w:rPr>
                      <w:rFonts w:hint="default" w:ascii="Times New Roman" w:hAnsi="Times New Roman" w:cs="Times New Roman"/>
                      <w:bCs/>
                      <w:color w:val="auto"/>
                      <w:sz w:val="21"/>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cs="Times New Roman"/>
                      <w:i w:val="0"/>
                      <w:iCs w:val="0"/>
                      <w:color w:val="auto"/>
                      <w:kern w:val="0"/>
                      <w:sz w:val="21"/>
                      <w:szCs w:val="21"/>
                      <w:u w:val="none"/>
                      <w:lang w:val="en-US" w:eastAsia="zh-CN" w:bidi="ar"/>
                    </w:rPr>
                    <w:t>83</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40B4A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3" w:type="pct"/>
                  <w:vMerge w:val="continue"/>
                  <w:shd w:val="clear" w:color="auto" w:fill="auto"/>
                  <w:vAlign w:val="center"/>
                </w:tcPr>
                <w:p w14:paraId="4D1F096C">
                  <w:pPr>
                    <w:pStyle w:val="70"/>
                    <w:spacing w:before="74" w:line="360" w:lineRule="auto"/>
                    <w:rPr>
                      <w:rFonts w:hint="eastAsia"/>
                      <w:color w:val="auto"/>
                      <w:sz w:val="21"/>
                      <w:lang w:val="en-US"/>
                    </w:rPr>
                  </w:pPr>
                </w:p>
              </w:tc>
              <w:tc>
                <w:tcPr>
                  <w:tcW w:w="580" w:type="pct"/>
                  <w:vMerge w:val="continue"/>
                  <w:shd w:val="clear" w:color="auto" w:fill="auto"/>
                  <w:vAlign w:val="center"/>
                </w:tcPr>
                <w:p w14:paraId="0B55BA3D">
                  <w:pPr>
                    <w:pStyle w:val="70"/>
                    <w:spacing w:before="74" w:line="360" w:lineRule="auto"/>
                    <w:rPr>
                      <w:rFonts w:hint="eastAsia"/>
                      <w:color w:val="auto"/>
                      <w:sz w:val="21"/>
                      <w:lang w:val="en-US"/>
                    </w:rPr>
                  </w:pPr>
                </w:p>
              </w:tc>
              <w:tc>
                <w:tcPr>
                  <w:tcW w:w="906" w:type="pct"/>
                  <w:shd w:val="clear" w:color="auto" w:fill="auto"/>
                  <w:vAlign w:val="center"/>
                </w:tcPr>
                <w:p w14:paraId="5E089118">
                  <w:pPr>
                    <w:pStyle w:val="70"/>
                    <w:spacing w:before="74" w:line="360" w:lineRule="auto"/>
                    <w:rPr>
                      <w:rFonts w:hint="default" w:eastAsia="宋体"/>
                      <w:color w:val="auto"/>
                      <w:sz w:val="21"/>
                      <w:lang w:val="en-US" w:eastAsia="zh-CN"/>
                    </w:rPr>
                  </w:pPr>
                  <w:r>
                    <w:rPr>
                      <w:rFonts w:hint="eastAsia"/>
                      <w:color w:val="auto"/>
                      <w:sz w:val="21"/>
                      <w:lang w:val="en-US" w:eastAsia="zh-CN"/>
                    </w:rPr>
                    <w:t>臭气浓度</w:t>
                  </w:r>
                </w:p>
              </w:tc>
              <w:tc>
                <w:tcPr>
                  <w:tcW w:w="1206" w:type="pct"/>
                  <w:shd w:val="clear" w:color="auto" w:fill="auto"/>
                  <w:vAlign w:val="center"/>
                </w:tcPr>
                <w:p w14:paraId="53E95F8E">
                  <w:pPr>
                    <w:pStyle w:val="70"/>
                    <w:spacing w:before="74" w:line="360" w:lineRule="auto"/>
                    <w:rPr>
                      <w:rFonts w:hint="eastAsia" w:eastAsia="宋体"/>
                      <w:bCs/>
                      <w:color w:val="auto"/>
                      <w:sz w:val="21"/>
                      <w:lang w:val="en-US" w:eastAsia="zh-CN"/>
                    </w:rPr>
                  </w:pPr>
                  <w:r>
                    <w:rPr>
                      <w:rFonts w:hint="eastAsia"/>
                      <w:bCs/>
                      <w:color w:val="auto"/>
                      <w:sz w:val="21"/>
                      <w:lang w:val="en-US" w:eastAsia="zh-CN"/>
                    </w:rPr>
                    <w:t>/</w:t>
                  </w:r>
                </w:p>
              </w:tc>
              <w:tc>
                <w:tcPr>
                  <w:tcW w:w="994" w:type="pct"/>
                  <w:shd w:val="clear" w:color="auto" w:fill="auto"/>
                  <w:vAlign w:val="center"/>
                </w:tcPr>
                <w:p w14:paraId="61436CD5">
                  <w:pPr>
                    <w:pStyle w:val="70"/>
                    <w:spacing w:before="74" w:line="360" w:lineRule="auto"/>
                    <w:rPr>
                      <w:rFonts w:hint="eastAsia" w:eastAsia="宋体"/>
                      <w:bCs/>
                      <w:color w:val="auto"/>
                      <w:sz w:val="21"/>
                      <w:lang w:val="en-US" w:eastAsia="zh-CN"/>
                    </w:rPr>
                  </w:pPr>
                  <w:r>
                    <w:rPr>
                      <w:rFonts w:hint="eastAsia"/>
                      <w:bCs/>
                      <w:color w:val="auto"/>
                      <w:sz w:val="21"/>
                      <w:lang w:val="en-US" w:eastAsia="zh-CN"/>
                    </w:rPr>
                    <w:t>/</w:t>
                  </w:r>
                </w:p>
              </w:tc>
              <w:tc>
                <w:tcPr>
                  <w:tcW w:w="918" w:type="pct"/>
                  <w:shd w:val="clear" w:color="auto" w:fill="auto"/>
                  <w:vAlign w:val="center"/>
                </w:tcPr>
                <w:p w14:paraId="7383AA7A">
                  <w:pPr>
                    <w:pStyle w:val="70"/>
                    <w:spacing w:before="74" w:line="360" w:lineRule="auto"/>
                    <w:rPr>
                      <w:rFonts w:hint="eastAsia"/>
                      <w:bCs/>
                      <w:color w:val="auto"/>
                      <w:sz w:val="21"/>
                    </w:rPr>
                  </w:pPr>
                  <w:r>
                    <w:rPr>
                      <w:rFonts w:hint="eastAsia"/>
                      <w:bCs/>
                      <w:color w:val="auto"/>
                      <w:sz w:val="21"/>
                      <w:lang w:val="en-US" w:eastAsia="zh-CN"/>
                    </w:rPr>
                    <w:t>少量</w:t>
                  </w:r>
                </w:p>
              </w:tc>
            </w:tr>
            <w:tr w14:paraId="27F29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restart"/>
                  <w:shd w:val="clear" w:color="auto" w:fill="auto"/>
                  <w:vAlign w:val="center"/>
                </w:tcPr>
                <w:p w14:paraId="7C303C3F">
                  <w:pPr>
                    <w:pStyle w:val="70"/>
                    <w:spacing w:before="74" w:line="360" w:lineRule="auto"/>
                    <w:rPr>
                      <w:color w:val="auto"/>
                      <w:sz w:val="21"/>
                    </w:rPr>
                  </w:pPr>
                  <w:r>
                    <w:rPr>
                      <w:rFonts w:hint="eastAsia"/>
                      <w:color w:val="auto"/>
                      <w:sz w:val="21"/>
                    </w:rPr>
                    <w:t>一般排放口</w:t>
                  </w:r>
                </w:p>
                <w:p w14:paraId="01353040">
                  <w:pPr>
                    <w:pStyle w:val="70"/>
                    <w:spacing w:before="74" w:line="360" w:lineRule="auto"/>
                    <w:rPr>
                      <w:color w:val="auto"/>
                      <w:sz w:val="21"/>
                    </w:rPr>
                  </w:pPr>
                  <w:r>
                    <w:rPr>
                      <w:rFonts w:hint="eastAsia"/>
                      <w:color w:val="auto"/>
                      <w:sz w:val="21"/>
                    </w:rPr>
                    <w:t>合计</w:t>
                  </w:r>
                </w:p>
              </w:tc>
              <w:tc>
                <w:tcPr>
                  <w:tcW w:w="3107" w:type="pct"/>
                  <w:gridSpan w:val="3"/>
                  <w:shd w:val="clear" w:color="auto" w:fill="auto"/>
                  <w:vAlign w:val="center"/>
                </w:tcPr>
                <w:p w14:paraId="143BB41F">
                  <w:pPr>
                    <w:pStyle w:val="70"/>
                    <w:spacing w:before="74" w:line="360" w:lineRule="auto"/>
                    <w:rPr>
                      <w:color w:val="auto"/>
                      <w:sz w:val="21"/>
                      <w:lang w:val="en-US"/>
                    </w:rPr>
                  </w:pPr>
                  <w:r>
                    <w:rPr>
                      <w:rFonts w:hint="eastAsia"/>
                      <w:color w:val="auto"/>
                      <w:sz w:val="21"/>
                      <w:lang w:val="en-US" w:eastAsia="zh-CN"/>
                    </w:rPr>
                    <w:t>TVOC、</w:t>
                  </w:r>
                  <w:r>
                    <w:rPr>
                      <w:rFonts w:hint="eastAsia"/>
                      <w:color w:val="auto"/>
                      <w:sz w:val="21"/>
                      <w:lang w:val="en-US"/>
                    </w:rPr>
                    <w:t>非甲烷总烃</w:t>
                  </w:r>
                </w:p>
              </w:tc>
              <w:tc>
                <w:tcPr>
                  <w:tcW w:w="1544" w:type="dxa"/>
                  <w:shd w:val="clear" w:color="auto" w:fill="auto"/>
                  <w:vAlign w:val="center"/>
                </w:tcPr>
                <w:p w14:paraId="276488A8">
                  <w:pPr>
                    <w:keepNext w:val="0"/>
                    <w:keepLines w:val="0"/>
                    <w:widowControl/>
                    <w:suppressLineNumbers w:val="0"/>
                    <w:spacing w:before="74"/>
                    <w:jc w:val="center"/>
                    <w:textAlignment w:val="center"/>
                    <w:rPr>
                      <w:rFonts w:hint="default" w:eastAsia="宋体"/>
                      <w:color w:val="auto"/>
                      <w:sz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312</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32CBB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continue"/>
                  <w:shd w:val="clear" w:color="auto" w:fill="auto"/>
                  <w:vAlign w:val="center"/>
                </w:tcPr>
                <w:p w14:paraId="5A93DBE6">
                  <w:pPr>
                    <w:pStyle w:val="70"/>
                    <w:spacing w:before="74" w:line="360" w:lineRule="auto"/>
                    <w:rPr>
                      <w:color w:val="auto"/>
                      <w:sz w:val="21"/>
                    </w:rPr>
                  </w:pPr>
                </w:p>
              </w:tc>
              <w:tc>
                <w:tcPr>
                  <w:tcW w:w="3107" w:type="pct"/>
                  <w:gridSpan w:val="3"/>
                  <w:shd w:val="clear" w:color="auto" w:fill="auto"/>
                  <w:vAlign w:val="center"/>
                </w:tcPr>
                <w:p w14:paraId="213AEB1F">
                  <w:pPr>
                    <w:pStyle w:val="70"/>
                    <w:spacing w:before="74" w:line="360" w:lineRule="auto"/>
                    <w:rPr>
                      <w:color w:val="auto"/>
                      <w:sz w:val="21"/>
                    </w:rPr>
                  </w:pPr>
                  <w:r>
                    <w:rPr>
                      <w:color w:val="auto"/>
                      <w:sz w:val="21"/>
                    </w:rPr>
                    <w:t>SO</w:t>
                  </w:r>
                  <w:r>
                    <w:rPr>
                      <w:color w:val="auto"/>
                      <w:sz w:val="21"/>
                      <w:vertAlign w:val="subscript"/>
                    </w:rPr>
                    <w:t>2</w:t>
                  </w:r>
                </w:p>
              </w:tc>
              <w:tc>
                <w:tcPr>
                  <w:tcW w:w="1544" w:type="dxa"/>
                  <w:shd w:val="clear" w:color="auto" w:fill="auto"/>
                  <w:vAlign w:val="center"/>
                </w:tcPr>
                <w:p w14:paraId="3422B228">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259</w:t>
                  </w:r>
                </w:p>
              </w:tc>
            </w:tr>
            <w:tr w14:paraId="352CC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continue"/>
                  <w:shd w:val="clear" w:color="auto" w:fill="auto"/>
                  <w:vAlign w:val="center"/>
                </w:tcPr>
                <w:p w14:paraId="5D9442EF">
                  <w:pPr>
                    <w:pStyle w:val="70"/>
                    <w:spacing w:before="74" w:line="360" w:lineRule="auto"/>
                    <w:rPr>
                      <w:color w:val="auto"/>
                    </w:rPr>
                  </w:pPr>
                </w:p>
              </w:tc>
              <w:tc>
                <w:tcPr>
                  <w:tcW w:w="3107" w:type="pct"/>
                  <w:gridSpan w:val="3"/>
                  <w:shd w:val="clear" w:color="auto" w:fill="auto"/>
                  <w:vAlign w:val="center"/>
                </w:tcPr>
                <w:p w14:paraId="22585F5F">
                  <w:pPr>
                    <w:pStyle w:val="70"/>
                    <w:spacing w:before="74" w:line="360" w:lineRule="auto"/>
                    <w:rPr>
                      <w:color w:val="auto"/>
                    </w:rPr>
                  </w:pPr>
                  <w:r>
                    <w:rPr>
                      <w:color w:val="auto"/>
                      <w:sz w:val="21"/>
                    </w:rPr>
                    <w:t>NOx</w:t>
                  </w:r>
                </w:p>
              </w:tc>
              <w:tc>
                <w:tcPr>
                  <w:tcW w:w="1544" w:type="dxa"/>
                  <w:shd w:val="clear" w:color="auto" w:fill="auto"/>
                  <w:vAlign w:val="center"/>
                </w:tcPr>
                <w:p w14:paraId="07CF70FB">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2254</w:t>
                  </w:r>
                </w:p>
              </w:tc>
            </w:tr>
            <w:tr w14:paraId="19452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continue"/>
                  <w:shd w:val="clear" w:color="auto" w:fill="auto"/>
                  <w:vAlign w:val="center"/>
                </w:tcPr>
                <w:p w14:paraId="65FC19FF">
                  <w:pPr>
                    <w:pStyle w:val="70"/>
                    <w:spacing w:before="74" w:line="360" w:lineRule="auto"/>
                    <w:rPr>
                      <w:color w:val="auto"/>
                    </w:rPr>
                  </w:pPr>
                </w:p>
              </w:tc>
              <w:tc>
                <w:tcPr>
                  <w:tcW w:w="3107" w:type="pct"/>
                  <w:gridSpan w:val="3"/>
                  <w:shd w:val="clear" w:color="auto" w:fill="auto"/>
                  <w:vAlign w:val="center"/>
                </w:tcPr>
                <w:p w14:paraId="303F6F72">
                  <w:pPr>
                    <w:pStyle w:val="70"/>
                    <w:spacing w:before="74" w:line="360" w:lineRule="auto"/>
                    <w:rPr>
                      <w:color w:val="auto"/>
                    </w:rPr>
                  </w:pPr>
                  <w:r>
                    <w:rPr>
                      <w:rFonts w:hint="eastAsia"/>
                      <w:color w:val="auto"/>
                      <w:sz w:val="21"/>
                    </w:rPr>
                    <w:t>颗粒物</w:t>
                  </w:r>
                </w:p>
              </w:tc>
              <w:tc>
                <w:tcPr>
                  <w:tcW w:w="1544" w:type="dxa"/>
                  <w:shd w:val="clear" w:color="auto" w:fill="auto"/>
                  <w:vAlign w:val="center"/>
                </w:tcPr>
                <w:p w14:paraId="022D0D8C">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1643</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19B75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continue"/>
                  <w:shd w:val="clear" w:color="auto" w:fill="auto"/>
                  <w:vAlign w:val="center"/>
                </w:tcPr>
                <w:p w14:paraId="188C3681">
                  <w:pPr>
                    <w:pStyle w:val="70"/>
                    <w:spacing w:before="74" w:line="360" w:lineRule="auto"/>
                    <w:rPr>
                      <w:color w:val="auto"/>
                    </w:rPr>
                  </w:pPr>
                </w:p>
              </w:tc>
              <w:tc>
                <w:tcPr>
                  <w:tcW w:w="3107" w:type="pct"/>
                  <w:gridSpan w:val="3"/>
                  <w:shd w:val="clear" w:color="auto" w:fill="auto"/>
                  <w:vAlign w:val="center"/>
                </w:tcPr>
                <w:p w14:paraId="419A763D">
                  <w:pPr>
                    <w:pStyle w:val="70"/>
                    <w:spacing w:before="74" w:line="360" w:lineRule="auto"/>
                    <w:rPr>
                      <w:rFonts w:hint="eastAsia"/>
                      <w:color w:val="auto"/>
                      <w:sz w:val="21"/>
                    </w:rPr>
                  </w:pPr>
                  <w:r>
                    <w:rPr>
                      <w:rFonts w:hint="eastAsia"/>
                      <w:color w:val="auto"/>
                      <w:sz w:val="21"/>
                      <w:lang w:val="en-US" w:eastAsia="zh-CN"/>
                    </w:rPr>
                    <w:t>臭气浓度</w:t>
                  </w:r>
                </w:p>
              </w:tc>
              <w:tc>
                <w:tcPr>
                  <w:tcW w:w="918" w:type="pct"/>
                  <w:shd w:val="clear" w:color="auto" w:fill="auto"/>
                  <w:vAlign w:val="center"/>
                </w:tcPr>
                <w:p w14:paraId="16334279">
                  <w:pPr>
                    <w:pStyle w:val="70"/>
                    <w:spacing w:before="74" w:line="360" w:lineRule="auto"/>
                    <w:rPr>
                      <w:bCs/>
                      <w:color w:val="auto"/>
                      <w:sz w:val="21"/>
                    </w:rPr>
                  </w:pPr>
                  <w:r>
                    <w:rPr>
                      <w:rFonts w:hint="eastAsia"/>
                      <w:bCs/>
                      <w:color w:val="auto"/>
                      <w:sz w:val="21"/>
                      <w:lang w:val="en-US" w:eastAsia="zh-CN"/>
                    </w:rPr>
                    <w:t>少量</w:t>
                  </w:r>
                </w:p>
              </w:tc>
            </w:tr>
            <w:tr w14:paraId="20BE8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6"/>
                  <w:shd w:val="clear" w:color="auto" w:fill="auto"/>
                  <w:vAlign w:val="center"/>
                </w:tcPr>
                <w:p w14:paraId="78EF62FC">
                  <w:pPr>
                    <w:pStyle w:val="70"/>
                    <w:spacing w:before="74" w:line="360" w:lineRule="auto"/>
                    <w:rPr>
                      <w:color w:val="auto"/>
                      <w:sz w:val="21"/>
                    </w:rPr>
                  </w:pPr>
                  <w:r>
                    <w:rPr>
                      <w:rFonts w:hint="eastAsia"/>
                      <w:color w:val="auto"/>
                      <w:sz w:val="21"/>
                    </w:rPr>
                    <w:t>有组织排放总计</w:t>
                  </w:r>
                </w:p>
              </w:tc>
            </w:tr>
            <w:tr w14:paraId="36537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restart"/>
                  <w:shd w:val="clear" w:color="auto" w:fill="auto"/>
                  <w:vAlign w:val="center"/>
                </w:tcPr>
                <w:p w14:paraId="29926F62">
                  <w:pPr>
                    <w:pStyle w:val="70"/>
                    <w:spacing w:before="74" w:line="360" w:lineRule="auto"/>
                    <w:rPr>
                      <w:color w:val="auto"/>
                      <w:sz w:val="21"/>
                    </w:rPr>
                  </w:pPr>
                  <w:r>
                    <w:rPr>
                      <w:rFonts w:hint="eastAsia"/>
                      <w:color w:val="auto"/>
                      <w:sz w:val="21"/>
                    </w:rPr>
                    <w:t>有组织排放</w:t>
                  </w:r>
                </w:p>
                <w:p w14:paraId="7601BDF2">
                  <w:pPr>
                    <w:pStyle w:val="70"/>
                    <w:spacing w:before="74" w:line="360" w:lineRule="auto"/>
                    <w:rPr>
                      <w:color w:val="auto"/>
                      <w:sz w:val="21"/>
                    </w:rPr>
                  </w:pPr>
                  <w:r>
                    <w:rPr>
                      <w:rFonts w:hint="eastAsia"/>
                      <w:color w:val="auto"/>
                      <w:sz w:val="21"/>
                    </w:rPr>
                    <w:t>总计</w:t>
                  </w:r>
                </w:p>
              </w:tc>
              <w:tc>
                <w:tcPr>
                  <w:tcW w:w="3107" w:type="pct"/>
                  <w:gridSpan w:val="3"/>
                  <w:shd w:val="clear" w:color="auto" w:fill="auto"/>
                  <w:vAlign w:val="center"/>
                </w:tcPr>
                <w:p w14:paraId="0225A10E">
                  <w:pPr>
                    <w:pStyle w:val="70"/>
                    <w:spacing w:before="74" w:line="360" w:lineRule="auto"/>
                    <w:rPr>
                      <w:color w:val="auto"/>
                      <w:sz w:val="21"/>
                    </w:rPr>
                  </w:pPr>
                  <w:r>
                    <w:rPr>
                      <w:rFonts w:hint="eastAsia"/>
                      <w:color w:val="auto"/>
                      <w:sz w:val="21"/>
                      <w:lang w:val="en-US" w:eastAsia="zh-CN"/>
                    </w:rPr>
                    <w:t>TVOC、</w:t>
                  </w:r>
                  <w:r>
                    <w:rPr>
                      <w:color w:val="auto"/>
                      <w:sz w:val="21"/>
                    </w:rPr>
                    <w:t>非甲烷总烃</w:t>
                  </w:r>
                </w:p>
              </w:tc>
              <w:tc>
                <w:tcPr>
                  <w:tcW w:w="1544" w:type="dxa"/>
                  <w:shd w:val="clear" w:color="auto" w:fill="auto"/>
                  <w:vAlign w:val="center"/>
                </w:tcPr>
                <w:p w14:paraId="6E28EF50">
                  <w:pPr>
                    <w:keepNext w:val="0"/>
                    <w:keepLines w:val="0"/>
                    <w:widowControl/>
                    <w:suppressLineNumbers w:val="0"/>
                    <w:spacing w:before="74"/>
                    <w:jc w:val="center"/>
                    <w:textAlignment w:val="center"/>
                    <w:rPr>
                      <w:color w:val="auto"/>
                      <w:sz w:val="21"/>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312</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7E590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continue"/>
                  <w:shd w:val="clear" w:color="auto" w:fill="auto"/>
                  <w:vAlign w:val="center"/>
                </w:tcPr>
                <w:p w14:paraId="47FDA1A3">
                  <w:pPr>
                    <w:pStyle w:val="70"/>
                    <w:spacing w:before="74" w:line="360" w:lineRule="auto"/>
                    <w:rPr>
                      <w:color w:val="auto"/>
                    </w:rPr>
                  </w:pPr>
                </w:p>
              </w:tc>
              <w:tc>
                <w:tcPr>
                  <w:tcW w:w="3107" w:type="pct"/>
                  <w:gridSpan w:val="3"/>
                  <w:shd w:val="clear" w:color="auto" w:fill="auto"/>
                  <w:vAlign w:val="center"/>
                </w:tcPr>
                <w:p w14:paraId="12572F5B">
                  <w:pPr>
                    <w:pStyle w:val="70"/>
                    <w:spacing w:before="74" w:line="360" w:lineRule="auto"/>
                    <w:rPr>
                      <w:color w:val="auto"/>
                    </w:rPr>
                  </w:pPr>
                  <w:r>
                    <w:rPr>
                      <w:color w:val="auto"/>
                      <w:sz w:val="21"/>
                    </w:rPr>
                    <w:t>SO</w:t>
                  </w:r>
                  <w:r>
                    <w:rPr>
                      <w:color w:val="auto"/>
                      <w:sz w:val="21"/>
                      <w:vertAlign w:val="subscript"/>
                    </w:rPr>
                    <w:t>2</w:t>
                  </w:r>
                </w:p>
              </w:tc>
              <w:tc>
                <w:tcPr>
                  <w:tcW w:w="1544" w:type="dxa"/>
                  <w:shd w:val="clear" w:color="auto" w:fill="auto"/>
                  <w:vAlign w:val="center"/>
                </w:tcPr>
                <w:p w14:paraId="2FB34E34">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259</w:t>
                  </w:r>
                </w:p>
              </w:tc>
            </w:tr>
            <w:tr w14:paraId="75EAC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continue"/>
                  <w:shd w:val="clear" w:color="auto" w:fill="auto"/>
                  <w:vAlign w:val="center"/>
                </w:tcPr>
                <w:p w14:paraId="34D086BD">
                  <w:pPr>
                    <w:pStyle w:val="70"/>
                    <w:spacing w:before="74" w:line="360" w:lineRule="auto"/>
                    <w:rPr>
                      <w:color w:val="auto"/>
                    </w:rPr>
                  </w:pPr>
                </w:p>
              </w:tc>
              <w:tc>
                <w:tcPr>
                  <w:tcW w:w="3107" w:type="pct"/>
                  <w:gridSpan w:val="3"/>
                  <w:shd w:val="clear" w:color="auto" w:fill="auto"/>
                  <w:vAlign w:val="center"/>
                </w:tcPr>
                <w:p w14:paraId="36E9F7FE">
                  <w:pPr>
                    <w:pStyle w:val="70"/>
                    <w:spacing w:before="74" w:line="360" w:lineRule="auto"/>
                    <w:rPr>
                      <w:color w:val="auto"/>
                    </w:rPr>
                  </w:pPr>
                  <w:r>
                    <w:rPr>
                      <w:color w:val="auto"/>
                      <w:sz w:val="21"/>
                    </w:rPr>
                    <w:t>NOx</w:t>
                  </w:r>
                </w:p>
              </w:tc>
              <w:tc>
                <w:tcPr>
                  <w:tcW w:w="1544" w:type="dxa"/>
                  <w:shd w:val="clear" w:color="auto" w:fill="auto"/>
                  <w:vAlign w:val="center"/>
                </w:tcPr>
                <w:p w14:paraId="26A986F5">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2254</w:t>
                  </w:r>
                </w:p>
              </w:tc>
            </w:tr>
            <w:tr w14:paraId="207D0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continue"/>
                  <w:shd w:val="clear" w:color="auto" w:fill="auto"/>
                  <w:vAlign w:val="center"/>
                </w:tcPr>
                <w:p w14:paraId="12E154D4">
                  <w:pPr>
                    <w:pStyle w:val="70"/>
                    <w:spacing w:before="74" w:line="360" w:lineRule="auto"/>
                    <w:rPr>
                      <w:color w:val="auto"/>
                    </w:rPr>
                  </w:pPr>
                </w:p>
              </w:tc>
              <w:tc>
                <w:tcPr>
                  <w:tcW w:w="3107" w:type="pct"/>
                  <w:gridSpan w:val="3"/>
                  <w:shd w:val="clear" w:color="auto" w:fill="auto"/>
                  <w:vAlign w:val="center"/>
                </w:tcPr>
                <w:p w14:paraId="0744E03E">
                  <w:pPr>
                    <w:pStyle w:val="70"/>
                    <w:spacing w:before="74" w:line="360" w:lineRule="auto"/>
                    <w:rPr>
                      <w:color w:val="auto"/>
                    </w:rPr>
                  </w:pPr>
                  <w:r>
                    <w:rPr>
                      <w:rFonts w:hint="eastAsia"/>
                      <w:color w:val="auto"/>
                      <w:sz w:val="21"/>
                    </w:rPr>
                    <w:t>颗粒物</w:t>
                  </w:r>
                </w:p>
              </w:tc>
              <w:tc>
                <w:tcPr>
                  <w:tcW w:w="1544" w:type="dxa"/>
                  <w:shd w:val="clear" w:color="auto" w:fill="auto"/>
                  <w:vAlign w:val="center"/>
                </w:tcPr>
                <w:p w14:paraId="52224DFC">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1643</w:t>
                  </w:r>
                </w:p>
              </w:tc>
            </w:tr>
            <w:tr w14:paraId="5E9D6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4" w:type="pct"/>
                  <w:gridSpan w:val="2"/>
                  <w:vMerge w:val="continue"/>
                  <w:shd w:val="clear" w:color="auto" w:fill="auto"/>
                  <w:vAlign w:val="center"/>
                </w:tcPr>
                <w:p w14:paraId="077C1410">
                  <w:pPr>
                    <w:pStyle w:val="70"/>
                    <w:spacing w:before="74" w:line="360" w:lineRule="auto"/>
                    <w:rPr>
                      <w:color w:val="auto"/>
                    </w:rPr>
                  </w:pPr>
                </w:p>
              </w:tc>
              <w:tc>
                <w:tcPr>
                  <w:tcW w:w="3107" w:type="pct"/>
                  <w:gridSpan w:val="3"/>
                  <w:shd w:val="clear" w:color="auto" w:fill="auto"/>
                  <w:vAlign w:val="center"/>
                </w:tcPr>
                <w:p w14:paraId="3A0987E2">
                  <w:pPr>
                    <w:pStyle w:val="70"/>
                    <w:spacing w:before="74" w:line="360" w:lineRule="auto"/>
                    <w:rPr>
                      <w:rFonts w:hint="eastAsia"/>
                      <w:color w:val="auto"/>
                      <w:sz w:val="21"/>
                    </w:rPr>
                  </w:pPr>
                  <w:r>
                    <w:rPr>
                      <w:rFonts w:hint="eastAsia"/>
                      <w:color w:val="auto"/>
                      <w:sz w:val="21"/>
                      <w:lang w:val="en-US" w:eastAsia="zh-CN"/>
                    </w:rPr>
                    <w:t>臭气浓度</w:t>
                  </w:r>
                </w:p>
              </w:tc>
              <w:tc>
                <w:tcPr>
                  <w:tcW w:w="918" w:type="pct"/>
                  <w:shd w:val="clear" w:color="auto" w:fill="auto"/>
                  <w:vAlign w:val="center"/>
                </w:tcPr>
                <w:p w14:paraId="66357415">
                  <w:pPr>
                    <w:pStyle w:val="70"/>
                    <w:spacing w:before="74" w:line="360" w:lineRule="auto"/>
                    <w:rPr>
                      <w:bCs/>
                      <w:color w:val="auto"/>
                      <w:sz w:val="21"/>
                    </w:rPr>
                  </w:pPr>
                  <w:r>
                    <w:rPr>
                      <w:rFonts w:hint="eastAsia"/>
                      <w:bCs/>
                      <w:color w:val="auto"/>
                      <w:sz w:val="21"/>
                      <w:lang w:val="en-US" w:eastAsia="zh-CN"/>
                    </w:rPr>
                    <w:t>少量</w:t>
                  </w:r>
                </w:p>
              </w:tc>
            </w:tr>
          </w:tbl>
          <w:p w14:paraId="6DDCCB03">
            <w:pPr>
              <w:pStyle w:val="9"/>
              <w:spacing w:line="360" w:lineRule="auto"/>
              <w:ind w:left="630" w:leftChars="0" w:firstLineChars="0"/>
              <w:rPr>
                <w:color w:val="auto"/>
                <w:szCs w:val="21"/>
              </w:rPr>
            </w:pPr>
            <w:r>
              <w:rPr>
                <w:rFonts w:hint="eastAsia"/>
                <w:color w:val="auto"/>
                <w:szCs w:val="21"/>
              </w:rPr>
              <w:t>大气污染物无组织排放量核算表</w:t>
            </w:r>
          </w:p>
          <w:tbl>
            <w:tblPr>
              <w:tblStyle w:val="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
              <w:gridCol w:w="405"/>
              <w:gridCol w:w="1270"/>
              <w:gridCol w:w="1282"/>
              <w:gridCol w:w="791"/>
              <w:gridCol w:w="1868"/>
              <w:gridCol w:w="1200"/>
              <w:gridCol w:w="1150"/>
            </w:tblGrid>
            <w:tr w14:paraId="7C57E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restart"/>
                  <w:vAlign w:val="center"/>
                </w:tcPr>
                <w:p w14:paraId="5A2A155E">
                  <w:pPr>
                    <w:pStyle w:val="70"/>
                    <w:spacing w:line="360" w:lineRule="auto"/>
                    <w:rPr>
                      <w:color w:val="auto"/>
                    </w:rPr>
                  </w:pPr>
                  <w:r>
                    <w:rPr>
                      <w:rFonts w:hint="eastAsia"/>
                      <w:color w:val="auto"/>
                    </w:rPr>
                    <w:t>序号</w:t>
                  </w:r>
                </w:p>
              </w:tc>
              <w:tc>
                <w:tcPr>
                  <w:tcW w:w="241" w:type="pct"/>
                  <w:vMerge w:val="restart"/>
                  <w:vAlign w:val="center"/>
                </w:tcPr>
                <w:p w14:paraId="14CC36E7">
                  <w:pPr>
                    <w:pStyle w:val="70"/>
                    <w:spacing w:line="360" w:lineRule="auto"/>
                    <w:rPr>
                      <w:color w:val="auto"/>
                    </w:rPr>
                  </w:pPr>
                  <w:r>
                    <w:rPr>
                      <w:rFonts w:hint="eastAsia"/>
                      <w:color w:val="auto"/>
                    </w:rPr>
                    <w:t>污染源</w:t>
                  </w:r>
                </w:p>
              </w:tc>
              <w:tc>
                <w:tcPr>
                  <w:tcW w:w="756" w:type="pct"/>
                  <w:vMerge w:val="restart"/>
                  <w:vAlign w:val="center"/>
                </w:tcPr>
                <w:p w14:paraId="6060B57F">
                  <w:pPr>
                    <w:pStyle w:val="70"/>
                    <w:spacing w:line="360" w:lineRule="auto"/>
                    <w:rPr>
                      <w:color w:val="auto"/>
                    </w:rPr>
                  </w:pPr>
                  <w:r>
                    <w:rPr>
                      <w:rFonts w:hint="eastAsia"/>
                      <w:color w:val="auto"/>
                    </w:rPr>
                    <w:t>产污环节</w:t>
                  </w:r>
                </w:p>
              </w:tc>
              <w:tc>
                <w:tcPr>
                  <w:tcW w:w="763" w:type="pct"/>
                  <w:vMerge w:val="restart"/>
                  <w:vAlign w:val="center"/>
                </w:tcPr>
                <w:p w14:paraId="2DEA0602">
                  <w:pPr>
                    <w:pStyle w:val="70"/>
                    <w:spacing w:line="360" w:lineRule="auto"/>
                    <w:rPr>
                      <w:color w:val="auto"/>
                    </w:rPr>
                  </w:pPr>
                  <w:r>
                    <w:rPr>
                      <w:rFonts w:hint="eastAsia"/>
                      <w:color w:val="auto"/>
                    </w:rPr>
                    <w:t>污染物</w:t>
                  </w:r>
                </w:p>
              </w:tc>
              <w:tc>
                <w:tcPr>
                  <w:tcW w:w="470" w:type="pct"/>
                  <w:vMerge w:val="restart"/>
                  <w:vAlign w:val="center"/>
                </w:tcPr>
                <w:p w14:paraId="100F1246">
                  <w:pPr>
                    <w:pStyle w:val="70"/>
                    <w:spacing w:line="360" w:lineRule="auto"/>
                    <w:rPr>
                      <w:color w:val="auto"/>
                    </w:rPr>
                  </w:pPr>
                  <w:r>
                    <w:rPr>
                      <w:rFonts w:hint="eastAsia"/>
                      <w:color w:val="auto"/>
                    </w:rPr>
                    <w:t>主要污染防治措施</w:t>
                  </w:r>
                </w:p>
              </w:tc>
              <w:tc>
                <w:tcPr>
                  <w:tcW w:w="1826" w:type="pct"/>
                  <w:gridSpan w:val="2"/>
                  <w:vAlign w:val="center"/>
                </w:tcPr>
                <w:p w14:paraId="2D153AF4">
                  <w:pPr>
                    <w:pStyle w:val="70"/>
                    <w:spacing w:line="360" w:lineRule="auto"/>
                    <w:rPr>
                      <w:color w:val="auto"/>
                    </w:rPr>
                  </w:pPr>
                  <w:r>
                    <w:rPr>
                      <w:rFonts w:hint="eastAsia"/>
                      <w:color w:val="auto"/>
                    </w:rPr>
                    <w:t>国家或地方污染物排放标准</w:t>
                  </w:r>
                </w:p>
              </w:tc>
              <w:tc>
                <w:tcPr>
                  <w:tcW w:w="684" w:type="pct"/>
                  <w:vMerge w:val="restart"/>
                  <w:vAlign w:val="center"/>
                </w:tcPr>
                <w:p w14:paraId="3C725372">
                  <w:pPr>
                    <w:pStyle w:val="70"/>
                    <w:spacing w:line="360" w:lineRule="auto"/>
                    <w:rPr>
                      <w:color w:val="auto"/>
                    </w:rPr>
                  </w:pPr>
                  <w:r>
                    <w:rPr>
                      <w:rFonts w:hint="eastAsia"/>
                      <w:color w:val="auto"/>
                    </w:rPr>
                    <w:t>年排放量/（</w:t>
                  </w:r>
                  <w:r>
                    <w:rPr>
                      <w:color w:val="auto"/>
                    </w:rPr>
                    <w:t>t/a</w:t>
                  </w:r>
                  <w:r>
                    <w:rPr>
                      <w:rFonts w:hint="eastAsia"/>
                      <w:color w:val="auto"/>
                    </w:rPr>
                    <w:t>）</w:t>
                  </w:r>
                </w:p>
              </w:tc>
            </w:tr>
            <w:tr w14:paraId="1819C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continue"/>
                  <w:vAlign w:val="center"/>
                </w:tcPr>
                <w:p w14:paraId="241DBEEC">
                  <w:pPr>
                    <w:pStyle w:val="70"/>
                    <w:spacing w:line="360" w:lineRule="auto"/>
                    <w:rPr>
                      <w:color w:val="auto"/>
                    </w:rPr>
                  </w:pPr>
                </w:p>
              </w:tc>
              <w:tc>
                <w:tcPr>
                  <w:tcW w:w="241" w:type="pct"/>
                  <w:vMerge w:val="continue"/>
                  <w:vAlign w:val="center"/>
                </w:tcPr>
                <w:p w14:paraId="6F823036">
                  <w:pPr>
                    <w:pStyle w:val="70"/>
                    <w:spacing w:line="360" w:lineRule="auto"/>
                    <w:rPr>
                      <w:color w:val="auto"/>
                    </w:rPr>
                  </w:pPr>
                </w:p>
              </w:tc>
              <w:tc>
                <w:tcPr>
                  <w:tcW w:w="756" w:type="pct"/>
                  <w:vMerge w:val="continue"/>
                  <w:vAlign w:val="center"/>
                </w:tcPr>
                <w:p w14:paraId="5D225852">
                  <w:pPr>
                    <w:pStyle w:val="70"/>
                    <w:spacing w:line="360" w:lineRule="auto"/>
                    <w:rPr>
                      <w:color w:val="auto"/>
                    </w:rPr>
                  </w:pPr>
                </w:p>
              </w:tc>
              <w:tc>
                <w:tcPr>
                  <w:tcW w:w="763" w:type="pct"/>
                  <w:vMerge w:val="continue"/>
                  <w:vAlign w:val="center"/>
                </w:tcPr>
                <w:p w14:paraId="548CAAC9">
                  <w:pPr>
                    <w:pStyle w:val="70"/>
                    <w:spacing w:line="360" w:lineRule="auto"/>
                    <w:rPr>
                      <w:color w:val="auto"/>
                    </w:rPr>
                  </w:pPr>
                </w:p>
              </w:tc>
              <w:tc>
                <w:tcPr>
                  <w:tcW w:w="470" w:type="pct"/>
                  <w:vMerge w:val="continue"/>
                  <w:vAlign w:val="center"/>
                </w:tcPr>
                <w:p w14:paraId="4EAA9E05">
                  <w:pPr>
                    <w:pStyle w:val="70"/>
                    <w:spacing w:line="360" w:lineRule="auto"/>
                    <w:rPr>
                      <w:color w:val="auto"/>
                    </w:rPr>
                  </w:pPr>
                </w:p>
              </w:tc>
              <w:tc>
                <w:tcPr>
                  <w:tcW w:w="1112" w:type="pct"/>
                  <w:vAlign w:val="center"/>
                </w:tcPr>
                <w:p w14:paraId="522E896B">
                  <w:pPr>
                    <w:pStyle w:val="70"/>
                    <w:spacing w:line="360" w:lineRule="auto"/>
                    <w:rPr>
                      <w:color w:val="auto"/>
                    </w:rPr>
                  </w:pPr>
                  <w:r>
                    <w:rPr>
                      <w:rFonts w:hint="eastAsia"/>
                      <w:color w:val="auto"/>
                    </w:rPr>
                    <w:t>标准名称</w:t>
                  </w:r>
                </w:p>
              </w:tc>
              <w:tc>
                <w:tcPr>
                  <w:tcW w:w="714" w:type="pct"/>
                  <w:vAlign w:val="center"/>
                </w:tcPr>
                <w:p w14:paraId="1ED177DC">
                  <w:pPr>
                    <w:pStyle w:val="70"/>
                    <w:spacing w:line="360" w:lineRule="auto"/>
                    <w:rPr>
                      <w:color w:val="auto"/>
                    </w:rPr>
                  </w:pPr>
                  <w:r>
                    <w:rPr>
                      <w:rFonts w:hint="eastAsia"/>
                      <w:color w:val="auto"/>
                    </w:rPr>
                    <w:t>浓度限值/</w:t>
                  </w:r>
                </w:p>
                <w:p w14:paraId="38F28B84">
                  <w:pPr>
                    <w:pStyle w:val="70"/>
                    <w:spacing w:line="360" w:lineRule="auto"/>
                    <w:rPr>
                      <w:color w:val="auto"/>
                    </w:rPr>
                  </w:pPr>
                  <w:r>
                    <w:rPr>
                      <w:rFonts w:hint="eastAsia"/>
                      <w:color w:val="auto"/>
                    </w:rPr>
                    <w:t>（</w:t>
                  </w:r>
                  <w:r>
                    <w:rPr>
                      <w:rFonts w:hint="eastAsia"/>
                      <w:color w:val="auto"/>
                      <w:lang w:val="en-US" w:eastAsia="zh-CN"/>
                    </w:rPr>
                    <w:t>m</w:t>
                  </w:r>
                  <w:r>
                    <w:rPr>
                      <w:color w:val="auto"/>
                    </w:rPr>
                    <w:t>g/m</w:t>
                  </w:r>
                  <w:r>
                    <w:rPr>
                      <w:color w:val="auto"/>
                      <w:vertAlign w:val="superscript"/>
                    </w:rPr>
                    <w:t>3</w:t>
                  </w:r>
                  <w:r>
                    <w:rPr>
                      <w:rFonts w:hint="eastAsia"/>
                      <w:color w:val="auto"/>
                    </w:rPr>
                    <w:t>）</w:t>
                  </w:r>
                </w:p>
              </w:tc>
              <w:tc>
                <w:tcPr>
                  <w:tcW w:w="684" w:type="pct"/>
                  <w:vMerge w:val="continue"/>
                  <w:vAlign w:val="center"/>
                </w:tcPr>
                <w:p w14:paraId="47CAA113">
                  <w:pPr>
                    <w:pStyle w:val="70"/>
                    <w:spacing w:line="360" w:lineRule="auto"/>
                    <w:rPr>
                      <w:color w:val="auto"/>
                    </w:rPr>
                  </w:pPr>
                </w:p>
              </w:tc>
            </w:tr>
            <w:tr w14:paraId="7BCB4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restart"/>
                  <w:vAlign w:val="center"/>
                </w:tcPr>
                <w:p w14:paraId="08250CCD">
                  <w:pPr>
                    <w:pStyle w:val="70"/>
                    <w:spacing w:line="360" w:lineRule="auto"/>
                    <w:rPr>
                      <w:color w:val="auto"/>
                    </w:rPr>
                  </w:pPr>
                  <w:r>
                    <w:rPr>
                      <w:rFonts w:hint="eastAsia"/>
                      <w:color w:val="auto"/>
                    </w:rPr>
                    <w:t>1</w:t>
                  </w:r>
                </w:p>
              </w:tc>
              <w:tc>
                <w:tcPr>
                  <w:tcW w:w="241" w:type="pct"/>
                  <w:vMerge w:val="restart"/>
                  <w:vAlign w:val="center"/>
                </w:tcPr>
                <w:p w14:paraId="4DA4E879">
                  <w:pPr>
                    <w:pStyle w:val="70"/>
                    <w:spacing w:line="360" w:lineRule="auto"/>
                    <w:rPr>
                      <w:color w:val="auto"/>
                    </w:rPr>
                  </w:pPr>
                  <w:r>
                    <w:rPr>
                      <w:color w:val="auto"/>
                    </w:rPr>
                    <w:t>生产车间</w:t>
                  </w:r>
                </w:p>
              </w:tc>
              <w:tc>
                <w:tcPr>
                  <w:tcW w:w="756" w:type="pct"/>
                  <w:vMerge w:val="restart"/>
                  <w:vAlign w:val="center"/>
                </w:tcPr>
                <w:p w14:paraId="66AB86A3">
                  <w:pPr>
                    <w:pStyle w:val="70"/>
                    <w:spacing w:line="360" w:lineRule="auto"/>
                    <w:rPr>
                      <w:color w:val="auto"/>
                      <w:lang w:val="en-US"/>
                    </w:rPr>
                  </w:pPr>
                  <w:r>
                    <w:rPr>
                      <w:rFonts w:hint="eastAsia"/>
                      <w:color w:val="auto"/>
                    </w:rPr>
                    <w:t>自动线固化工序</w:t>
                  </w:r>
                </w:p>
              </w:tc>
              <w:tc>
                <w:tcPr>
                  <w:tcW w:w="763" w:type="pct"/>
                  <w:vAlign w:val="center"/>
                </w:tcPr>
                <w:p w14:paraId="5DA669E7">
                  <w:pPr>
                    <w:pStyle w:val="70"/>
                    <w:spacing w:line="360" w:lineRule="auto"/>
                    <w:rPr>
                      <w:color w:val="auto"/>
                      <w:lang w:val="en-US"/>
                    </w:rPr>
                  </w:pPr>
                  <w:r>
                    <w:rPr>
                      <w:rFonts w:hint="eastAsia"/>
                      <w:color w:val="auto"/>
                      <w:lang w:val="en-US"/>
                    </w:rPr>
                    <w:t>非甲烷总烃</w:t>
                  </w:r>
                </w:p>
              </w:tc>
              <w:tc>
                <w:tcPr>
                  <w:tcW w:w="470" w:type="pct"/>
                  <w:vMerge w:val="restart"/>
                  <w:vAlign w:val="center"/>
                </w:tcPr>
                <w:p w14:paraId="3EAAAB3C">
                  <w:pPr>
                    <w:pStyle w:val="70"/>
                    <w:spacing w:line="360" w:lineRule="auto"/>
                    <w:rPr>
                      <w:color w:val="auto"/>
                    </w:rPr>
                  </w:pPr>
                  <w:r>
                    <w:rPr>
                      <w:color w:val="auto"/>
                    </w:rPr>
                    <w:t>/</w:t>
                  </w:r>
                </w:p>
              </w:tc>
              <w:tc>
                <w:tcPr>
                  <w:tcW w:w="1112" w:type="pct"/>
                  <w:vAlign w:val="center"/>
                </w:tcPr>
                <w:p w14:paraId="5AE99D62">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color w:val="auto"/>
                    </w:rPr>
                  </w:pPr>
                  <w:r>
                    <w:rPr>
                      <w:rFonts w:hint="eastAsia"/>
                      <w:color w:val="auto"/>
                    </w:rPr>
                    <w:t>广东省</w:t>
                  </w:r>
                  <w:r>
                    <w:rPr>
                      <w:rFonts w:hint="eastAsia"/>
                      <w:color w:val="auto"/>
                      <w:lang w:val="en-US" w:eastAsia="zh-CN"/>
                    </w:rPr>
                    <w:t>地方标准</w:t>
                  </w:r>
                  <w:r>
                    <w:rPr>
                      <w:rFonts w:hint="eastAsia"/>
                      <w:color w:val="auto"/>
                    </w:rPr>
                    <w:t>《大气污染物排放限值》（DB44/27-2001）第二时段无组织排放监控</w:t>
                  </w:r>
                  <w:r>
                    <w:rPr>
                      <w:rFonts w:hint="eastAsia"/>
                      <w:color w:val="auto"/>
                      <w:lang w:val="en-US"/>
                    </w:rPr>
                    <w:t>限值</w:t>
                  </w:r>
                </w:p>
              </w:tc>
              <w:tc>
                <w:tcPr>
                  <w:tcW w:w="714" w:type="pct"/>
                  <w:vAlign w:val="center"/>
                </w:tcPr>
                <w:p w14:paraId="2334F7D7">
                  <w:pPr>
                    <w:pStyle w:val="70"/>
                    <w:spacing w:line="360" w:lineRule="auto"/>
                    <w:rPr>
                      <w:rFonts w:hint="eastAsia" w:ascii="Times New Roman" w:hAnsi="Times New Roman" w:eastAsia="宋体" w:cs="Times New Roman"/>
                      <w:color w:val="auto"/>
                      <w:lang w:val="en-US"/>
                    </w:rPr>
                  </w:pPr>
                  <w:r>
                    <w:rPr>
                      <w:rFonts w:hint="eastAsia" w:ascii="Times New Roman" w:hAnsi="Times New Roman" w:eastAsia="宋体" w:cs="Times New Roman"/>
                      <w:color w:val="auto"/>
                      <w:lang w:val="en-US"/>
                    </w:rPr>
                    <w:t>4.0</w:t>
                  </w:r>
                </w:p>
              </w:tc>
              <w:tc>
                <w:tcPr>
                  <w:tcW w:w="684" w:type="pct"/>
                  <w:vAlign w:val="center"/>
                </w:tcPr>
                <w:p w14:paraId="6A65A45F">
                  <w:pPr>
                    <w:pStyle w:val="70"/>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0.0</w:t>
                  </w:r>
                  <w:r>
                    <w:rPr>
                      <w:rFonts w:hint="eastAsia" w:cs="Times New Roman"/>
                      <w:color w:val="auto"/>
                      <w:lang w:val="en-US" w:eastAsia="zh-CN"/>
                    </w:rPr>
                    <w:t>172</w:t>
                  </w:r>
                  <w:r>
                    <w:rPr>
                      <w:rFonts w:hint="default" w:ascii="Times New Roman" w:hAnsi="Times New Roman" w:eastAsia="宋体" w:cs="Times New Roman"/>
                      <w:color w:val="auto"/>
                      <w:lang w:val="en-US" w:eastAsia="zh-CN"/>
                    </w:rPr>
                    <w:t xml:space="preserve"> </w:t>
                  </w:r>
                </w:p>
              </w:tc>
            </w:tr>
            <w:tr w14:paraId="5F3D8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continue"/>
                  <w:vAlign w:val="center"/>
                </w:tcPr>
                <w:p w14:paraId="30FB72F8">
                  <w:pPr>
                    <w:pStyle w:val="70"/>
                    <w:spacing w:line="360" w:lineRule="auto"/>
                    <w:rPr>
                      <w:color w:val="auto"/>
                    </w:rPr>
                  </w:pPr>
                </w:p>
              </w:tc>
              <w:tc>
                <w:tcPr>
                  <w:tcW w:w="241" w:type="pct"/>
                  <w:vMerge w:val="continue"/>
                  <w:vAlign w:val="center"/>
                </w:tcPr>
                <w:p w14:paraId="17165984">
                  <w:pPr>
                    <w:pStyle w:val="70"/>
                    <w:spacing w:line="360" w:lineRule="auto"/>
                    <w:rPr>
                      <w:color w:val="auto"/>
                    </w:rPr>
                  </w:pPr>
                </w:p>
              </w:tc>
              <w:tc>
                <w:tcPr>
                  <w:tcW w:w="756" w:type="pct"/>
                  <w:vMerge w:val="continue"/>
                  <w:vAlign w:val="center"/>
                </w:tcPr>
                <w:p w14:paraId="2BBD305E">
                  <w:pPr>
                    <w:pStyle w:val="70"/>
                    <w:spacing w:line="360" w:lineRule="auto"/>
                    <w:rPr>
                      <w:rFonts w:hint="eastAsia"/>
                      <w:color w:val="auto"/>
                    </w:rPr>
                  </w:pPr>
                </w:p>
              </w:tc>
              <w:tc>
                <w:tcPr>
                  <w:tcW w:w="763" w:type="pct"/>
                  <w:vAlign w:val="center"/>
                </w:tcPr>
                <w:p w14:paraId="7BA891C6">
                  <w:pPr>
                    <w:pStyle w:val="70"/>
                    <w:spacing w:line="360" w:lineRule="auto"/>
                    <w:rPr>
                      <w:rFonts w:hint="eastAsia"/>
                      <w:color w:val="auto"/>
                    </w:rPr>
                  </w:pPr>
                  <w:r>
                    <w:rPr>
                      <w:rFonts w:hint="eastAsia"/>
                      <w:color w:val="auto"/>
                      <w:lang w:val="en-US" w:eastAsia="zh-CN"/>
                    </w:rPr>
                    <w:t>臭气浓度</w:t>
                  </w:r>
                </w:p>
              </w:tc>
              <w:tc>
                <w:tcPr>
                  <w:tcW w:w="470" w:type="pct"/>
                  <w:vMerge w:val="continue"/>
                  <w:vAlign w:val="center"/>
                </w:tcPr>
                <w:p w14:paraId="4799A5AF">
                  <w:pPr>
                    <w:pStyle w:val="70"/>
                    <w:spacing w:line="360" w:lineRule="auto"/>
                    <w:rPr>
                      <w:rFonts w:hint="eastAsia"/>
                      <w:color w:val="auto"/>
                    </w:rPr>
                  </w:pPr>
                </w:p>
              </w:tc>
              <w:tc>
                <w:tcPr>
                  <w:tcW w:w="1112" w:type="pct"/>
                  <w:vAlign w:val="center"/>
                </w:tcPr>
                <w:p w14:paraId="08A9521A">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rFonts w:hint="eastAsia"/>
                      <w:color w:val="auto"/>
                    </w:rPr>
                  </w:pPr>
                  <w:r>
                    <w:rPr>
                      <w:rFonts w:hint="eastAsia"/>
                      <w:color w:val="auto"/>
                      <w:lang w:val="en-US" w:eastAsia="zh-CN"/>
                    </w:rPr>
                    <w:t>恶臭污染物排放标准》（GB 14554-93）表1恶臭污染物厂界标准值</w:t>
                  </w:r>
                </w:p>
              </w:tc>
              <w:tc>
                <w:tcPr>
                  <w:tcW w:w="714" w:type="pct"/>
                  <w:vAlign w:val="center"/>
                </w:tcPr>
                <w:p w14:paraId="7A7FFC2C">
                  <w:pPr>
                    <w:pStyle w:val="70"/>
                    <w:spacing w:line="360" w:lineRule="auto"/>
                    <w:rPr>
                      <w:rFonts w:hint="eastAsia"/>
                      <w:color w:val="auto"/>
                    </w:rPr>
                  </w:pPr>
                  <w:r>
                    <w:rPr>
                      <w:rFonts w:hint="eastAsia"/>
                      <w:color w:val="auto"/>
                    </w:rPr>
                    <w:t>2</w:t>
                  </w:r>
                  <w:r>
                    <w:rPr>
                      <w:color w:val="auto"/>
                    </w:rPr>
                    <w:t>0</w:t>
                  </w:r>
                  <w:r>
                    <w:rPr>
                      <w:rFonts w:hint="eastAsia"/>
                      <w:color w:val="auto"/>
                    </w:rPr>
                    <w:t>（无量纲）</w:t>
                  </w:r>
                </w:p>
              </w:tc>
              <w:tc>
                <w:tcPr>
                  <w:tcW w:w="684" w:type="pct"/>
                  <w:vAlign w:val="center"/>
                </w:tcPr>
                <w:p w14:paraId="48244CCA">
                  <w:pPr>
                    <w:jc w:val="center"/>
                    <w:rPr>
                      <w:rFonts w:hint="eastAsia" w:eastAsia="宋体"/>
                      <w:color w:val="auto"/>
                      <w:lang w:val="en-US" w:eastAsia="zh-CN"/>
                    </w:rPr>
                  </w:pPr>
                  <w:r>
                    <w:rPr>
                      <w:rFonts w:hint="eastAsia"/>
                      <w:color w:val="auto"/>
                      <w:lang w:val="en-US" w:eastAsia="zh-CN"/>
                    </w:rPr>
                    <w:t>少量</w:t>
                  </w:r>
                </w:p>
              </w:tc>
            </w:tr>
            <w:tr w14:paraId="1429A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restart"/>
                  <w:vAlign w:val="center"/>
                </w:tcPr>
                <w:p w14:paraId="506F9974">
                  <w:pPr>
                    <w:pStyle w:val="70"/>
                    <w:spacing w:line="360" w:lineRule="auto"/>
                    <w:rPr>
                      <w:rFonts w:hint="eastAsia" w:eastAsia="宋体"/>
                      <w:color w:val="auto"/>
                      <w:lang w:val="en-US" w:eastAsia="zh-CN"/>
                    </w:rPr>
                  </w:pPr>
                  <w:r>
                    <w:rPr>
                      <w:rFonts w:hint="eastAsia"/>
                      <w:color w:val="auto"/>
                      <w:lang w:val="en-US" w:eastAsia="zh-CN"/>
                    </w:rPr>
                    <w:t>2</w:t>
                  </w:r>
                </w:p>
              </w:tc>
              <w:tc>
                <w:tcPr>
                  <w:tcW w:w="241" w:type="pct"/>
                  <w:vMerge w:val="continue"/>
                  <w:vAlign w:val="center"/>
                </w:tcPr>
                <w:p w14:paraId="446CCF53">
                  <w:pPr>
                    <w:pStyle w:val="70"/>
                    <w:spacing w:line="360" w:lineRule="auto"/>
                    <w:rPr>
                      <w:color w:val="auto"/>
                    </w:rPr>
                  </w:pPr>
                </w:p>
              </w:tc>
              <w:tc>
                <w:tcPr>
                  <w:tcW w:w="756" w:type="pct"/>
                  <w:vMerge w:val="restart"/>
                  <w:vAlign w:val="center"/>
                </w:tcPr>
                <w:p w14:paraId="1EC0F6D6">
                  <w:pPr>
                    <w:pStyle w:val="70"/>
                    <w:spacing w:line="360" w:lineRule="auto"/>
                    <w:rPr>
                      <w:color w:val="auto"/>
                      <w:lang w:val="en-US"/>
                    </w:rPr>
                  </w:pPr>
                  <w:r>
                    <w:rPr>
                      <w:rFonts w:hint="eastAsia"/>
                      <w:color w:val="auto"/>
                    </w:rPr>
                    <w:t>液化石油气燃烧</w:t>
                  </w:r>
                </w:p>
              </w:tc>
              <w:tc>
                <w:tcPr>
                  <w:tcW w:w="763" w:type="pct"/>
                  <w:vAlign w:val="center"/>
                </w:tcPr>
                <w:p w14:paraId="31ED3E45">
                  <w:pPr>
                    <w:pStyle w:val="70"/>
                    <w:spacing w:line="360" w:lineRule="auto"/>
                    <w:rPr>
                      <w:color w:val="auto"/>
                      <w:lang w:val="en-US"/>
                    </w:rPr>
                  </w:pPr>
                  <w:r>
                    <w:rPr>
                      <w:color w:val="auto"/>
                    </w:rPr>
                    <w:t>SO</w:t>
                  </w:r>
                  <w:r>
                    <w:rPr>
                      <w:color w:val="auto"/>
                      <w:vertAlign w:val="subscript"/>
                    </w:rPr>
                    <w:t>2</w:t>
                  </w:r>
                </w:p>
              </w:tc>
              <w:tc>
                <w:tcPr>
                  <w:tcW w:w="470" w:type="pct"/>
                  <w:vMerge w:val="continue"/>
                  <w:vAlign w:val="center"/>
                </w:tcPr>
                <w:p w14:paraId="3FBD7065">
                  <w:pPr>
                    <w:pStyle w:val="70"/>
                    <w:spacing w:line="360" w:lineRule="auto"/>
                    <w:rPr>
                      <w:color w:val="auto"/>
                    </w:rPr>
                  </w:pPr>
                </w:p>
              </w:tc>
              <w:tc>
                <w:tcPr>
                  <w:tcW w:w="1112" w:type="pct"/>
                  <w:vMerge w:val="restart"/>
                  <w:vAlign w:val="center"/>
                </w:tcPr>
                <w:p w14:paraId="1ADFCC33">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color w:val="auto"/>
                    </w:rPr>
                  </w:pPr>
                  <w:r>
                    <w:rPr>
                      <w:rFonts w:hint="eastAsia"/>
                      <w:color w:val="auto"/>
                    </w:rPr>
                    <w:t>广东省</w:t>
                  </w:r>
                  <w:r>
                    <w:rPr>
                      <w:rFonts w:hint="eastAsia"/>
                      <w:color w:val="auto"/>
                      <w:lang w:val="en-US" w:eastAsia="zh-CN"/>
                    </w:rPr>
                    <w:t>地方标准</w:t>
                  </w:r>
                  <w:r>
                    <w:rPr>
                      <w:rFonts w:hint="eastAsia"/>
                      <w:color w:val="auto"/>
                    </w:rPr>
                    <w:t>《大气污染物排放限值》（DB44/27-2001）第二时段无组织排放监控</w:t>
                  </w:r>
                  <w:r>
                    <w:rPr>
                      <w:rFonts w:hint="eastAsia"/>
                      <w:color w:val="auto"/>
                      <w:lang w:val="en-US"/>
                    </w:rPr>
                    <w:t>限值</w:t>
                  </w:r>
                </w:p>
              </w:tc>
              <w:tc>
                <w:tcPr>
                  <w:tcW w:w="714" w:type="pct"/>
                  <w:vAlign w:val="center"/>
                </w:tcPr>
                <w:p w14:paraId="310114FB">
                  <w:pPr>
                    <w:pStyle w:val="70"/>
                    <w:spacing w:line="360" w:lineRule="auto"/>
                    <w:rPr>
                      <w:color w:val="auto"/>
                      <w:lang w:val="en-US"/>
                    </w:rPr>
                  </w:pPr>
                  <w:r>
                    <w:rPr>
                      <w:rFonts w:hint="eastAsia"/>
                      <w:color w:val="auto"/>
                      <w:lang w:val="en-US"/>
                    </w:rPr>
                    <w:t>1</w:t>
                  </w:r>
                  <w:r>
                    <w:rPr>
                      <w:color w:val="auto"/>
                      <w:lang w:val="en-US"/>
                    </w:rPr>
                    <w:t>.0</w:t>
                  </w:r>
                </w:p>
              </w:tc>
              <w:tc>
                <w:tcPr>
                  <w:tcW w:w="684" w:type="pct"/>
                  <w:vAlign w:val="center"/>
                </w:tcPr>
                <w:p w14:paraId="73E5B72A">
                  <w:pPr>
                    <w:pStyle w:val="70"/>
                    <w:spacing w:line="360" w:lineRule="auto"/>
                    <w:rPr>
                      <w:rFonts w:hint="eastAsia"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0.00</w:t>
                  </w:r>
                  <w:r>
                    <w:rPr>
                      <w:rFonts w:hint="eastAsia" w:cs="Times New Roman"/>
                      <w:color w:val="auto"/>
                      <w:lang w:val="en-US" w:eastAsia="zh-CN"/>
                    </w:rPr>
                    <w:t>65</w:t>
                  </w:r>
                  <w:r>
                    <w:rPr>
                      <w:rFonts w:hint="default" w:ascii="Times New Roman" w:hAnsi="Times New Roman" w:eastAsia="宋体" w:cs="Times New Roman"/>
                      <w:color w:val="auto"/>
                      <w:lang w:val="en-US" w:eastAsia="zh-CN"/>
                    </w:rPr>
                    <w:t xml:space="preserve"> </w:t>
                  </w:r>
                </w:p>
              </w:tc>
            </w:tr>
            <w:tr w14:paraId="54CF9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continue"/>
                  <w:vAlign w:val="center"/>
                </w:tcPr>
                <w:p w14:paraId="17ACDCC7">
                  <w:pPr>
                    <w:pStyle w:val="70"/>
                    <w:spacing w:line="360" w:lineRule="auto"/>
                    <w:rPr>
                      <w:color w:val="auto"/>
                    </w:rPr>
                  </w:pPr>
                </w:p>
              </w:tc>
              <w:tc>
                <w:tcPr>
                  <w:tcW w:w="241" w:type="pct"/>
                  <w:vMerge w:val="continue"/>
                  <w:vAlign w:val="center"/>
                </w:tcPr>
                <w:p w14:paraId="0703F3BC">
                  <w:pPr>
                    <w:pStyle w:val="70"/>
                    <w:spacing w:line="360" w:lineRule="auto"/>
                    <w:rPr>
                      <w:color w:val="auto"/>
                    </w:rPr>
                  </w:pPr>
                </w:p>
              </w:tc>
              <w:tc>
                <w:tcPr>
                  <w:tcW w:w="756" w:type="pct"/>
                  <w:vMerge w:val="continue"/>
                  <w:vAlign w:val="center"/>
                </w:tcPr>
                <w:p w14:paraId="36A532EC">
                  <w:pPr>
                    <w:pStyle w:val="70"/>
                    <w:spacing w:line="360" w:lineRule="auto"/>
                    <w:rPr>
                      <w:color w:val="auto"/>
                      <w:lang w:val="en-US"/>
                    </w:rPr>
                  </w:pPr>
                </w:p>
              </w:tc>
              <w:tc>
                <w:tcPr>
                  <w:tcW w:w="763" w:type="pct"/>
                  <w:vAlign w:val="center"/>
                </w:tcPr>
                <w:p w14:paraId="20DA7CEF">
                  <w:pPr>
                    <w:pStyle w:val="70"/>
                    <w:spacing w:line="360" w:lineRule="auto"/>
                    <w:rPr>
                      <w:color w:val="auto"/>
                      <w:lang w:val="en-US"/>
                    </w:rPr>
                  </w:pPr>
                  <w:r>
                    <w:rPr>
                      <w:color w:val="auto"/>
                    </w:rPr>
                    <w:t>NOx</w:t>
                  </w:r>
                </w:p>
              </w:tc>
              <w:tc>
                <w:tcPr>
                  <w:tcW w:w="470" w:type="pct"/>
                  <w:vMerge w:val="continue"/>
                  <w:vAlign w:val="center"/>
                </w:tcPr>
                <w:p w14:paraId="538E1BA1">
                  <w:pPr>
                    <w:pStyle w:val="70"/>
                    <w:spacing w:line="360" w:lineRule="auto"/>
                    <w:rPr>
                      <w:color w:val="auto"/>
                    </w:rPr>
                  </w:pPr>
                </w:p>
              </w:tc>
              <w:tc>
                <w:tcPr>
                  <w:tcW w:w="1112" w:type="pct"/>
                  <w:vMerge w:val="continue"/>
                  <w:vAlign w:val="center"/>
                </w:tcPr>
                <w:p w14:paraId="149EC387">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color w:val="auto"/>
                    </w:rPr>
                  </w:pPr>
                </w:p>
              </w:tc>
              <w:tc>
                <w:tcPr>
                  <w:tcW w:w="714" w:type="pct"/>
                  <w:vAlign w:val="center"/>
                </w:tcPr>
                <w:p w14:paraId="2965A8F1">
                  <w:pPr>
                    <w:pStyle w:val="70"/>
                    <w:spacing w:line="360" w:lineRule="auto"/>
                    <w:rPr>
                      <w:color w:val="auto"/>
                      <w:lang w:val="en-US"/>
                    </w:rPr>
                  </w:pPr>
                  <w:r>
                    <w:rPr>
                      <w:rFonts w:hint="eastAsia"/>
                      <w:color w:val="auto"/>
                      <w:lang w:val="en-US"/>
                    </w:rPr>
                    <w:t>0</w:t>
                  </w:r>
                  <w:r>
                    <w:rPr>
                      <w:color w:val="auto"/>
                      <w:lang w:val="en-US"/>
                    </w:rPr>
                    <w:t>.4</w:t>
                  </w:r>
                </w:p>
              </w:tc>
              <w:tc>
                <w:tcPr>
                  <w:tcW w:w="684" w:type="pct"/>
                  <w:vAlign w:val="center"/>
                </w:tcPr>
                <w:p w14:paraId="68851827">
                  <w:pPr>
                    <w:pStyle w:val="70"/>
                    <w:spacing w:line="360" w:lineRule="auto"/>
                    <w:rPr>
                      <w:rFonts w:hint="eastAsia"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0.0</w:t>
                  </w:r>
                  <w:r>
                    <w:rPr>
                      <w:rFonts w:hint="eastAsia" w:cs="Times New Roman"/>
                      <w:color w:val="auto"/>
                      <w:lang w:val="en-US" w:eastAsia="zh-CN"/>
                    </w:rPr>
                    <w:t>564</w:t>
                  </w:r>
                  <w:r>
                    <w:rPr>
                      <w:rFonts w:hint="default" w:ascii="Times New Roman" w:hAnsi="Times New Roman" w:eastAsia="宋体" w:cs="Times New Roman"/>
                      <w:color w:val="auto"/>
                      <w:lang w:val="en-US" w:eastAsia="zh-CN"/>
                    </w:rPr>
                    <w:t xml:space="preserve"> </w:t>
                  </w:r>
                </w:p>
              </w:tc>
            </w:tr>
            <w:tr w14:paraId="10E03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continue"/>
                  <w:vAlign w:val="center"/>
                </w:tcPr>
                <w:p w14:paraId="3E639B59">
                  <w:pPr>
                    <w:pStyle w:val="70"/>
                    <w:spacing w:line="360" w:lineRule="auto"/>
                    <w:rPr>
                      <w:color w:val="auto"/>
                    </w:rPr>
                  </w:pPr>
                </w:p>
              </w:tc>
              <w:tc>
                <w:tcPr>
                  <w:tcW w:w="241" w:type="pct"/>
                  <w:vMerge w:val="continue"/>
                  <w:vAlign w:val="center"/>
                </w:tcPr>
                <w:p w14:paraId="52F314A4">
                  <w:pPr>
                    <w:pStyle w:val="70"/>
                    <w:spacing w:line="360" w:lineRule="auto"/>
                    <w:rPr>
                      <w:color w:val="auto"/>
                    </w:rPr>
                  </w:pPr>
                </w:p>
              </w:tc>
              <w:tc>
                <w:tcPr>
                  <w:tcW w:w="756" w:type="pct"/>
                  <w:vMerge w:val="continue"/>
                  <w:vAlign w:val="center"/>
                </w:tcPr>
                <w:p w14:paraId="2389D12F">
                  <w:pPr>
                    <w:pStyle w:val="70"/>
                    <w:spacing w:line="360" w:lineRule="auto"/>
                    <w:rPr>
                      <w:color w:val="auto"/>
                      <w:lang w:val="en-US"/>
                    </w:rPr>
                  </w:pPr>
                </w:p>
              </w:tc>
              <w:tc>
                <w:tcPr>
                  <w:tcW w:w="763" w:type="pct"/>
                  <w:vAlign w:val="center"/>
                </w:tcPr>
                <w:p w14:paraId="3552CBB7">
                  <w:pPr>
                    <w:pStyle w:val="70"/>
                    <w:spacing w:line="360" w:lineRule="auto"/>
                    <w:rPr>
                      <w:color w:val="auto"/>
                      <w:lang w:val="en-US"/>
                    </w:rPr>
                  </w:pPr>
                  <w:r>
                    <w:rPr>
                      <w:rFonts w:hint="eastAsia"/>
                      <w:color w:val="auto"/>
                    </w:rPr>
                    <w:t>颗粒物</w:t>
                  </w:r>
                </w:p>
              </w:tc>
              <w:tc>
                <w:tcPr>
                  <w:tcW w:w="470" w:type="pct"/>
                  <w:vMerge w:val="continue"/>
                  <w:vAlign w:val="center"/>
                </w:tcPr>
                <w:p w14:paraId="44CF5F29">
                  <w:pPr>
                    <w:pStyle w:val="70"/>
                    <w:spacing w:line="360" w:lineRule="auto"/>
                    <w:rPr>
                      <w:color w:val="auto"/>
                    </w:rPr>
                  </w:pPr>
                </w:p>
              </w:tc>
              <w:tc>
                <w:tcPr>
                  <w:tcW w:w="1112" w:type="pct"/>
                  <w:vMerge w:val="continue"/>
                  <w:vAlign w:val="center"/>
                </w:tcPr>
                <w:p w14:paraId="17B50667">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color w:val="auto"/>
                    </w:rPr>
                  </w:pPr>
                </w:p>
              </w:tc>
              <w:tc>
                <w:tcPr>
                  <w:tcW w:w="714" w:type="pct"/>
                  <w:vAlign w:val="center"/>
                </w:tcPr>
                <w:p w14:paraId="41CE6225">
                  <w:pPr>
                    <w:pStyle w:val="70"/>
                    <w:spacing w:line="360" w:lineRule="auto"/>
                    <w:rPr>
                      <w:color w:val="auto"/>
                      <w:lang w:val="en-US"/>
                    </w:rPr>
                  </w:pPr>
                  <w:r>
                    <w:rPr>
                      <w:color w:val="auto"/>
                      <w:lang w:val="en-US"/>
                    </w:rPr>
                    <w:t>1.0</w:t>
                  </w:r>
                </w:p>
              </w:tc>
              <w:tc>
                <w:tcPr>
                  <w:tcW w:w="684" w:type="pct"/>
                  <w:vAlign w:val="center"/>
                </w:tcPr>
                <w:p w14:paraId="615C0D78">
                  <w:pPr>
                    <w:pStyle w:val="70"/>
                    <w:spacing w:line="360" w:lineRule="auto"/>
                    <w:rPr>
                      <w:rFonts w:hint="eastAsia"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0.00</w:t>
                  </w:r>
                  <w:r>
                    <w:rPr>
                      <w:rFonts w:hint="eastAsia" w:cs="Times New Roman"/>
                      <w:color w:val="auto"/>
                      <w:lang w:val="en-US" w:eastAsia="zh-CN"/>
                    </w:rPr>
                    <w:t>21</w:t>
                  </w:r>
                  <w:r>
                    <w:rPr>
                      <w:rFonts w:hint="default" w:ascii="Times New Roman" w:hAnsi="Times New Roman" w:eastAsia="宋体" w:cs="Times New Roman"/>
                      <w:color w:val="auto"/>
                      <w:lang w:val="en-US" w:eastAsia="zh-CN"/>
                    </w:rPr>
                    <w:t xml:space="preserve"> </w:t>
                  </w:r>
                </w:p>
              </w:tc>
            </w:tr>
            <w:tr w14:paraId="54667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restart"/>
                  <w:vAlign w:val="center"/>
                </w:tcPr>
                <w:p w14:paraId="1F7544D9">
                  <w:pPr>
                    <w:pStyle w:val="70"/>
                    <w:spacing w:line="360" w:lineRule="auto"/>
                    <w:rPr>
                      <w:rFonts w:hint="eastAsia" w:eastAsia="宋体"/>
                      <w:color w:val="auto"/>
                      <w:lang w:eastAsia="zh-CN"/>
                    </w:rPr>
                  </w:pPr>
                  <w:r>
                    <w:rPr>
                      <w:rFonts w:hint="eastAsia"/>
                      <w:color w:val="auto"/>
                      <w:lang w:val="en-US" w:eastAsia="zh-CN"/>
                    </w:rPr>
                    <w:t>3</w:t>
                  </w:r>
                </w:p>
              </w:tc>
              <w:tc>
                <w:tcPr>
                  <w:tcW w:w="241" w:type="pct"/>
                  <w:vMerge w:val="continue"/>
                  <w:vAlign w:val="center"/>
                </w:tcPr>
                <w:p w14:paraId="591E8884">
                  <w:pPr>
                    <w:pStyle w:val="70"/>
                    <w:spacing w:line="360" w:lineRule="auto"/>
                    <w:rPr>
                      <w:color w:val="auto"/>
                    </w:rPr>
                  </w:pPr>
                </w:p>
              </w:tc>
              <w:tc>
                <w:tcPr>
                  <w:tcW w:w="756" w:type="pct"/>
                  <w:vMerge w:val="restart"/>
                  <w:vAlign w:val="center"/>
                </w:tcPr>
                <w:p w14:paraId="3C855442">
                  <w:pPr>
                    <w:pStyle w:val="70"/>
                    <w:spacing w:line="360" w:lineRule="auto"/>
                    <w:rPr>
                      <w:color w:val="auto"/>
                    </w:rPr>
                  </w:pPr>
                  <w:r>
                    <w:rPr>
                      <w:rFonts w:hint="eastAsia"/>
                      <w:color w:val="auto"/>
                    </w:rPr>
                    <w:t>手动线固化工序</w:t>
                  </w:r>
                </w:p>
              </w:tc>
              <w:tc>
                <w:tcPr>
                  <w:tcW w:w="763" w:type="pct"/>
                  <w:vAlign w:val="center"/>
                </w:tcPr>
                <w:p w14:paraId="68FB9331">
                  <w:pPr>
                    <w:pStyle w:val="70"/>
                    <w:spacing w:line="360" w:lineRule="auto"/>
                    <w:rPr>
                      <w:rFonts w:hint="default" w:eastAsia="宋体"/>
                      <w:color w:val="auto"/>
                      <w:lang w:val="en-US" w:eastAsia="zh-CN"/>
                    </w:rPr>
                  </w:pPr>
                  <w:r>
                    <w:rPr>
                      <w:rFonts w:hint="eastAsia"/>
                      <w:color w:val="auto"/>
                      <w:lang w:val="en-US" w:eastAsia="zh-CN"/>
                    </w:rPr>
                    <w:t>非甲烷总烃</w:t>
                  </w:r>
                </w:p>
              </w:tc>
              <w:tc>
                <w:tcPr>
                  <w:tcW w:w="470" w:type="pct"/>
                  <w:vMerge w:val="continue"/>
                  <w:vAlign w:val="center"/>
                </w:tcPr>
                <w:p w14:paraId="46F37684">
                  <w:pPr>
                    <w:pStyle w:val="70"/>
                    <w:spacing w:line="360" w:lineRule="auto"/>
                    <w:rPr>
                      <w:color w:val="auto"/>
                    </w:rPr>
                  </w:pPr>
                </w:p>
              </w:tc>
              <w:tc>
                <w:tcPr>
                  <w:tcW w:w="1112" w:type="pct"/>
                  <w:vMerge w:val="continue"/>
                  <w:vAlign w:val="center"/>
                </w:tcPr>
                <w:p w14:paraId="19F2E7CF">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color w:val="auto"/>
                    </w:rPr>
                  </w:pPr>
                </w:p>
              </w:tc>
              <w:tc>
                <w:tcPr>
                  <w:tcW w:w="714" w:type="pct"/>
                  <w:vAlign w:val="center"/>
                </w:tcPr>
                <w:p w14:paraId="7E05A53D">
                  <w:pPr>
                    <w:pStyle w:val="70"/>
                    <w:spacing w:line="360" w:lineRule="auto"/>
                    <w:rPr>
                      <w:rFonts w:hint="eastAsia"/>
                      <w:color w:val="auto"/>
                      <w:kern w:val="0"/>
                    </w:rPr>
                  </w:pPr>
                  <w:r>
                    <w:rPr>
                      <w:rFonts w:hint="eastAsia"/>
                      <w:color w:val="auto"/>
                      <w:lang w:val="en-US" w:eastAsia="zh-CN"/>
                    </w:rPr>
                    <w:t>4</w:t>
                  </w:r>
                  <w:r>
                    <w:rPr>
                      <w:color w:val="auto"/>
                      <w:lang w:val="en-US"/>
                    </w:rPr>
                    <w:t>.0</w:t>
                  </w:r>
                </w:p>
              </w:tc>
              <w:tc>
                <w:tcPr>
                  <w:tcW w:w="684" w:type="pct"/>
                  <w:vAlign w:val="center"/>
                </w:tcPr>
                <w:p w14:paraId="5E9F7A7E">
                  <w:pPr>
                    <w:keepNext w:val="0"/>
                    <w:keepLines w:val="0"/>
                    <w:widowControl/>
                    <w:suppressLineNumbers w:val="0"/>
                    <w:jc w:val="center"/>
                    <w:textAlignment w:val="center"/>
                    <w:rPr>
                      <w:rFonts w:hint="default" w:eastAsia="宋体"/>
                      <w:color w:val="auto"/>
                      <w:kern w:val="0"/>
                      <w:lang w:val="en-US" w:eastAsia="zh-CN"/>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cs="Times New Roman"/>
                      <w:i w:val="0"/>
                      <w:iCs w:val="0"/>
                      <w:color w:val="auto"/>
                      <w:kern w:val="0"/>
                      <w:sz w:val="21"/>
                      <w:szCs w:val="21"/>
                      <w:u w:val="none"/>
                      <w:lang w:val="en-US" w:eastAsia="zh-CN" w:bidi="ar"/>
                    </w:rPr>
                    <w:t>10</w:t>
                  </w:r>
                </w:p>
              </w:tc>
            </w:tr>
            <w:tr w14:paraId="27D54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Merge w:val="continue"/>
                  <w:vAlign w:val="center"/>
                </w:tcPr>
                <w:p w14:paraId="0A77A73A">
                  <w:pPr>
                    <w:pStyle w:val="70"/>
                    <w:spacing w:line="360" w:lineRule="auto"/>
                    <w:rPr>
                      <w:color w:val="auto"/>
                    </w:rPr>
                  </w:pPr>
                </w:p>
              </w:tc>
              <w:tc>
                <w:tcPr>
                  <w:tcW w:w="241" w:type="pct"/>
                  <w:vMerge w:val="continue"/>
                  <w:vAlign w:val="center"/>
                </w:tcPr>
                <w:p w14:paraId="1624096D">
                  <w:pPr>
                    <w:pStyle w:val="70"/>
                    <w:spacing w:line="360" w:lineRule="auto"/>
                    <w:rPr>
                      <w:color w:val="auto"/>
                    </w:rPr>
                  </w:pPr>
                </w:p>
              </w:tc>
              <w:tc>
                <w:tcPr>
                  <w:tcW w:w="756" w:type="pct"/>
                  <w:vMerge w:val="continue"/>
                  <w:vAlign w:val="center"/>
                </w:tcPr>
                <w:p w14:paraId="06491462">
                  <w:pPr>
                    <w:pStyle w:val="70"/>
                    <w:spacing w:line="360" w:lineRule="auto"/>
                    <w:rPr>
                      <w:rFonts w:hint="eastAsia"/>
                      <w:color w:val="auto"/>
                    </w:rPr>
                  </w:pPr>
                </w:p>
              </w:tc>
              <w:tc>
                <w:tcPr>
                  <w:tcW w:w="763" w:type="pct"/>
                  <w:vAlign w:val="center"/>
                </w:tcPr>
                <w:p w14:paraId="0E4AA4D0">
                  <w:pPr>
                    <w:pStyle w:val="70"/>
                    <w:spacing w:line="360" w:lineRule="auto"/>
                    <w:rPr>
                      <w:rFonts w:hint="default" w:eastAsia="宋体"/>
                      <w:color w:val="auto"/>
                      <w:lang w:val="en-US" w:eastAsia="zh-CN"/>
                    </w:rPr>
                  </w:pPr>
                  <w:r>
                    <w:rPr>
                      <w:rFonts w:hint="eastAsia"/>
                      <w:color w:val="auto"/>
                      <w:lang w:val="en-US" w:eastAsia="zh-CN"/>
                    </w:rPr>
                    <w:t>臭气浓度</w:t>
                  </w:r>
                </w:p>
              </w:tc>
              <w:tc>
                <w:tcPr>
                  <w:tcW w:w="470" w:type="pct"/>
                  <w:vMerge w:val="continue"/>
                  <w:vAlign w:val="center"/>
                </w:tcPr>
                <w:p w14:paraId="7ED962C4">
                  <w:pPr>
                    <w:pStyle w:val="70"/>
                    <w:spacing w:line="360" w:lineRule="auto"/>
                    <w:rPr>
                      <w:rFonts w:hint="eastAsia"/>
                      <w:color w:val="auto"/>
                    </w:rPr>
                  </w:pPr>
                </w:p>
              </w:tc>
              <w:tc>
                <w:tcPr>
                  <w:tcW w:w="1112" w:type="pct"/>
                  <w:vAlign w:val="center"/>
                </w:tcPr>
                <w:p w14:paraId="00104D11">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rFonts w:hint="eastAsia"/>
                      <w:color w:val="auto"/>
                    </w:rPr>
                  </w:pPr>
                  <w:r>
                    <w:rPr>
                      <w:rFonts w:hint="eastAsia"/>
                      <w:color w:val="auto"/>
                      <w:lang w:val="en-US" w:eastAsia="zh-CN"/>
                    </w:rPr>
                    <w:t>恶臭污染物排放标准》（GB 14554-93）表1恶臭污染物厂界标准值</w:t>
                  </w:r>
                </w:p>
              </w:tc>
              <w:tc>
                <w:tcPr>
                  <w:tcW w:w="714" w:type="pct"/>
                  <w:vAlign w:val="center"/>
                </w:tcPr>
                <w:p w14:paraId="69BAF9A9">
                  <w:pPr>
                    <w:pStyle w:val="70"/>
                    <w:spacing w:line="360" w:lineRule="auto"/>
                    <w:rPr>
                      <w:rFonts w:hint="eastAsia"/>
                      <w:color w:val="auto"/>
                    </w:rPr>
                  </w:pPr>
                  <w:r>
                    <w:rPr>
                      <w:rFonts w:hint="eastAsia"/>
                      <w:color w:val="auto"/>
                    </w:rPr>
                    <w:t>2</w:t>
                  </w:r>
                  <w:r>
                    <w:rPr>
                      <w:color w:val="auto"/>
                    </w:rPr>
                    <w:t>0</w:t>
                  </w:r>
                  <w:r>
                    <w:rPr>
                      <w:rFonts w:hint="eastAsia"/>
                      <w:color w:val="auto"/>
                    </w:rPr>
                    <w:t>（无量纲）</w:t>
                  </w:r>
                </w:p>
              </w:tc>
              <w:tc>
                <w:tcPr>
                  <w:tcW w:w="684" w:type="pct"/>
                  <w:vAlign w:val="center"/>
                </w:tcPr>
                <w:p w14:paraId="1A7265AE">
                  <w:pPr>
                    <w:jc w:val="center"/>
                    <w:rPr>
                      <w:rFonts w:hint="eastAsia" w:eastAsia="宋体"/>
                      <w:color w:val="auto"/>
                      <w:lang w:val="en-US" w:eastAsia="zh-CN"/>
                    </w:rPr>
                  </w:pPr>
                  <w:r>
                    <w:rPr>
                      <w:rFonts w:hint="eastAsia"/>
                      <w:color w:val="auto"/>
                      <w:lang w:val="en-US" w:eastAsia="zh-CN"/>
                    </w:rPr>
                    <w:t>少量</w:t>
                  </w:r>
                </w:p>
              </w:tc>
            </w:tr>
            <w:tr w14:paraId="2BC00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Align w:val="center"/>
                </w:tcPr>
                <w:p w14:paraId="0DB45B58">
                  <w:pPr>
                    <w:pStyle w:val="70"/>
                    <w:spacing w:line="360" w:lineRule="auto"/>
                    <w:rPr>
                      <w:rFonts w:hint="eastAsia" w:eastAsia="宋体"/>
                      <w:color w:val="auto"/>
                      <w:lang w:eastAsia="zh-CN"/>
                    </w:rPr>
                  </w:pPr>
                  <w:r>
                    <w:rPr>
                      <w:rFonts w:hint="eastAsia"/>
                      <w:color w:val="auto"/>
                      <w:lang w:val="en-US" w:eastAsia="zh-CN"/>
                    </w:rPr>
                    <w:t>4</w:t>
                  </w:r>
                </w:p>
              </w:tc>
              <w:tc>
                <w:tcPr>
                  <w:tcW w:w="241" w:type="pct"/>
                  <w:vMerge w:val="continue"/>
                  <w:vAlign w:val="center"/>
                </w:tcPr>
                <w:p w14:paraId="171247FB">
                  <w:pPr>
                    <w:pStyle w:val="70"/>
                    <w:spacing w:line="360" w:lineRule="auto"/>
                    <w:rPr>
                      <w:color w:val="auto"/>
                    </w:rPr>
                  </w:pPr>
                </w:p>
              </w:tc>
              <w:tc>
                <w:tcPr>
                  <w:tcW w:w="756" w:type="pct"/>
                  <w:vAlign w:val="center"/>
                </w:tcPr>
                <w:p w14:paraId="31FB1869">
                  <w:pPr>
                    <w:pStyle w:val="70"/>
                    <w:spacing w:line="360" w:lineRule="auto"/>
                    <w:rPr>
                      <w:color w:val="auto"/>
                    </w:rPr>
                  </w:pPr>
                  <w:r>
                    <w:rPr>
                      <w:rFonts w:hint="eastAsia"/>
                      <w:color w:val="auto"/>
                      <w:lang w:val="en-US" w:eastAsia="zh-CN"/>
                    </w:rPr>
                    <w:t>自动线</w:t>
                  </w:r>
                  <w:r>
                    <w:rPr>
                      <w:color w:val="auto"/>
                    </w:rPr>
                    <w:t>喷粉工序</w:t>
                  </w:r>
                </w:p>
              </w:tc>
              <w:tc>
                <w:tcPr>
                  <w:tcW w:w="763" w:type="pct"/>
                  <w:vAlign w:val="center"/>
                </w:tcPr>
                <w:p w14:paraId="238BB10D">
                  <w:pPr>
                    <w:pStyle w:val="70"/>
                    <w:spacing w:line="360" w:lineRule="auto"/>
                    <w:rPr>
                      <w:color w:val="auto"/>
                    </w:rPr>
                  </w:pPr>
                  <w:r>
                    <w:rPr>
                      <w:color w:val="auto"/>
                    </w:rPr>
                    <w:t>颗粒物</w:t>
                  </w:r>
                </w:p>
              </w:tc>
              <w:tc>
                <w:tcPr>
                  <w:tcW w:w="470" w:type="pct"/>
                  <w:vMerge w:val="continue"/>
                  <w:vAlign w:val="center"/>
                </w:tcPr>
                <w:p w14:paraId="45ED2019">
                  <w:pPr>
                    <w:pStyle w:val="70"/>
                    <w:spacing w:line="360" w:lineRule="auto"/>
                    <w:rPr>
                      <w:color w:val="auto"/>
                    </w:rPr>
                  </w:pPr>
                </w:p>
              </w:tc>
              <w:tc>
                <w:tcPr>
                  <w:tcW w:w="1112" w:type="pct"/>
                  <w:vMerge w:val="restart"/>
                  <w:vAlign w:val="center"/>
                </w:tcPr>
                <w:p w14:paraId="0E86F932">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color w:val="auto"/>
                    </w:rPr>
                  </w:pPr>
                  <w:r>
                    <w:rPr>
                      <w:rFonts w:hint="eastAsia"/>
                      <w:color w:val="auto"/>
                    </w:rPr>
                    <w:t>广东省</w:t>
                  </w:r>
                  <w:r>
                    <w:rPr>
                      <w:rFonts w:hint="eastAsia"/>
                      <w:color w:val="auto"/>
                      <w:lang w:val="en-US" w:eastAsia="zh-CN"/>
                    </w:rPr>
                    <w:t>地方标准</w:t>
                  </w:r>
                  <w:r>
                    <w:rPr>
                      <w:rFonts w:hint="eastAsia"/>
                      <w:color w:val="auto"/>
                    </w:rPr>
                    <w:t>《大气污染物排放限值》（DB44/27-2001）第二时段无组织排放监控</w:t>
                  </w:r>
                  <w:r>
                    <w:rPr>
                      <w:rFonts w:hint="eastAsia"/>
                      <w:color w:val="auto"/>
                      <w:lang w:val="en-US"/>
                    </w:rPr>
                    <w:t>限值</w:t>
                  </w:r>
                </w:p>
              </w:tc>
              <w:tc>
                <w:tcPr>
                  <w:tcW w:w="714" w:type="pct"/>
                  <w:vAlign w:val="center"/>
                </w:tcPr>
                <w:p w14:paraId="0E4AD54D">
                  <w:pPr>
                    <w:pStyle w:val="70"/>
                    <w:spacing w:line="360" w:lineRule="auto"/>
                    <w:rPr>
                      <w:color w:val="auto"/>
                      <w:kern w:val="0"/>
                    </w:rPr>
                  </w:pPr>
                  <w:r>
                    <w:rPr>
                      <w:rFonts w:hint="eastAsia"/>
                      <w:color w:val="auto"/>
                      <w:kern w:val="0"/>
                    </w:rPr>
                    <w:t>1</w:t>
                  </w:r>
                  <w:r>
                    <w:rPr>
                      <w:color w:val="auto"/>
                      <w:kern w:val="0"/>
                    </w:rPr>
                    <w:t>.0</w:t>
                  </w:r>
                </w:p>
              </w:tc>
              <w:tc>
                <w:tcPr>
                  <w:tcW w:w="684" w:type="pct"/>
                  <w:vAlign w:val="center"/>
                </w:tcPr>
                <w:p w14:paraId="2F7AEAF8">
                  <w:pPr>
                    <w:pStyle w:val="70"/>
                    <w:spacing w:line="360" w:lineRule="auto"/>
                    <w:rPr>
                      <w:rFonts w:hint="default" w:ascii="Times New Roman" w:hAnsi="Times New Roman" w:eastAsia="宋体" w:cs="Times New Roman"/>
                      <w:color w:val="auto"/>
                      <w:lang w:val="en-US" w:eastAsia="zh-CN"/>
                    </w:rPr>
                  </w:pPr>
                  <w:r>
                    <w:rPr>
                      <w:rFonts w:hint="eastAsia" w:cs="Times New Roman"/>
                      <w:color w:val="auto"/>
                      <w:lang w:val="en-US" w:eastAsia="zh-CN"/>
                    </w:rPr>
                    <w:t>1</w:t>
                  </w:r>
                  <w:r>
                    <w:rPr>
                      <w:rFonts w:hint="default" w:ascii="Times New Roman" w:hAnsi="Times New Roman" w:eastAsia="宋体" w:cs="Times New Roman"/>
                      <w:color w:val="auto"/>
                      <w:lang w:val="en-US" w:eastAsia="zh-CN"/>
                    </w:rPr>
                    <w:t>.</w:t>
                  </w:r>
                  <w:r>
                    <w:rPr>
                      <w:rFonts w:hint="eastAsia" w:cs="Times New Roman"/>
                      <w:color w:val="auto"/>
                      <w:lang w:val="en-US" w:eastAsia="zh-CN"/>
                    </w:rPr>
                    <w:t>5015</w:t>
                  </w:r>
                  <w:r>
                    <w:rPr>
                      <w:rFonts w:hint="default" w:ascii="Times New Roman" w:hAnsi="Times New Roman" w:eastAsia="宋体" w:cs="Times New Roman"/>
                      <w:color w:val="auto"/>
                      <w:lang w:val="en-US" w:eastAsia="zh-CN"/>
                    </w:rPr>
                    <w:t xml:space="preserve"> </w:t>
                  </w:r>
                </w:p>
              </w:tc>
            </w:tr>
            <w:tr w14:paraId="4A31A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7" w:type="pct"/>
                  <w:vAlign w:val="center"/>
                </w:tcPr>
                <w:p w14:paraId="630233DC">
                  <w:pPr>
                    <w:pStyle w:val="70"/>
                    <w:spacing w:line="360" w:lineRule="auto"/>
                    <w:rPr>
                      <w:rFonts w:hint="default"/>
                      <w:color w:val="auto"/>
                      <w:lang w:val="en-US" w:eastAsia="zh-CN"/>
                    </w:rPr>
                  </w:pPr>
                  <w:r>
                    <w:rPr>
                      <w:rFonts w:hint="eastAsia"/>
                      <w:color w:val="auto"/>
                      <w:lang w:val="en-US" w:eastAsia="zh-CN"/>
                    </w:rPr>
                    <w:t>5</w:t>
                  </w:r>
                </w:p>
              </w:tc>
              <w:tc>
                <w:tcPr>
                  <w:tcW w:w="241" w:type="pct"/>
                  <w:vAlign w:val="center"/>
                </w:tcPr>
                <w:p w14:paraId="027F91EE">
                  <w:pPr>
                    <w:pStyle w:val="70"/>
                    <w:spacing w:line="360" w:lineRule="auto"/>
                    <w:rPr>
                      <w:color w:val="auto"/>
                    </w:rPr>
                  </w:pPr>
                </w:p>
              </w:tc>
              <w:tc>
                <w:tcPr>
                  <w:tcW w:w="756" w:type="pct"/>
                  <w:vAlign w:val="center"/>
                </w:tcPr>
                <w:p w14:paraId="3442CF31">
                  <w:pPr>
                    <w:pStyle w:val="70"/>
                    <w:spacing w:line="360" w:lineRule="auto"/>
                    <w:rPr>
                      <w:color w:val="auto"/>
                    </w:rPr>
                  </w:pPr>
                  <w:r>
                    <w:rPr>
                      <w:rFonts w:hint="eastAsia"/>
                      <w:color w:val="auto"/>
                      <w:lang w:val="en-US" w:eastAsia="zh-CN"/>
                    </w:rPr>
                    <w:t>手动线</w:t>
                  </w:r>
                  <w:r>
                    <w:rPr>
                      <w:color w:val="auto"/>
                    </w:rPr>
                    <w:t>喷粉工序</w:t>
                  </w:r>
                </w:p>
              </w:tc>
              <w:tc>
                <w:tcPr>
                  <w:tcW w:w="763" w:type="pct"/>
                  <w:vAlign w:val="center"/>
                </w:tcPr>
                <w:p w14:paraId="038F5654">
                  <w:pPr>
                    <w:pStyle w:val="70"/>
                    <w:spacing w:line="360" w:lineRule="auto"/>
                    <w:rPr>
                      <w:color w:val="auto"/>
                    </w:rPr>
                  </w:pPr>
                  <w:r>
                    <w:rPr>
                      <w:color w:val="auto"/>
                    </w:rPr>
                    <w:t>颗粒物</w:t>
                  </w:r>
                </w:p>
              </w:tc>
              <w:tc>
                <w:tcPr>
                  <w:tcW w:w="470" w:type="pct"/>
                  <w:vAlign w:val="center"/>
                </w:tcPr>
                <w:p w14:paraId="259AC6D3">
                  <w:pPr>
                    <w:pStyle w:val="70"/>
                    <w:spacing w:line="360" w:lineRule="auto"/>
                    <w:rPr>
                      <w:color w:val="auto"/>
                    </w:rPr>
                  </w:pPr>
                </w:p>
              </w:tc>
              <w:tc>
                <w:tcPr>
                  <w:tcW w:w="1112" w:type="pct"/>
                  <w:vMerge w:val="continue"/>
                  <w:vAlign w:val="center"/>
                </w:tcPr>
                <w:p w14:paraId="6F6D9A95">
                  <w:pPr>
                    <w:pStyle w:val="70"/>
                    <w:spacing w:line="360" w:lineRule="auto"/>
                    <w:rPr>
                      <w:color w:val="auto"/>
                    </w:rPr>
                  </w:pPr>
                </w:p>
              </w:tc>
              <w:tc>
                <w:tcPr>
                  <w:tcW w:w="714" w:type="pct"/>
                  <w:vAlign w:val="center"/>
                </w:tcPr>
                <w:p w14:paraId="131BF550">
                  <w:pPr>
                    <w:pStyle w:val="70"/>
                    <w:spacing w:line="360" w:lineRule="auto"/>
                    <w:rPr>
                      <w:rFonts w:hint="eastAsia"/>
                      <w:color w:val="auto"/>
                      <w:kern w:val="0"/>
                    </w:rPr>
                  </w:pPr>
                  <w:r>
                    <w:rPr>
                      <w:rFonts w:hint="eastAsia"/>
                      <w:color w:val="auto"/>
                      <w:kern w:val="0"/>
                    </w:rPr>
                    <w:t>1</w:t>
                  </w:r>
                  <w:r>
                    <w:rPr>
                      <w:color w:val="auto"/>
                      <w:kern w:val="0"/>
                    </w:rPr>
                    <w:t>.0</w:t>
                  </w:r>
                </w:p>
              </w:tc>
              <w:tc>
                <w:tcPr>
                  <w:tcW w:w="684" w:type="pct"/>
                  <w:vAlign w:val="center"/>
                </w:tcPr>
                <w:p w14:paraId="484ED1B3">
                  <w:pPr>
                    <w:pStyle w:val="70"/>
                    <w:spacing w:line="360" w:lineRule="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w:t>
                  </w:r>
                  <w:r>
                    <w:rPr>
                      <w:rFonts w:hint="eastAsia" w:cs="Times New Roman"/>
                      <w:color w:val="auto"/>
                      <w:lang w:val="en-US" w:eastAsia="zh-CN"/>
                    </w:rPr>
                    <w:t>1785</w:t>
                  </w:r>
                </w:p>
              </w:tc>
            </w:tr>
            <w:tr w14:paraId="659DA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0" w:type="pct"/>
                  <w:gridSpan w:val="8"/>
                  <w:vAlign w:val="center"/>
                </w:tcPr>
                <w:p w14:paraId="0FEA331D">
                  <w:pPr>
                    <w:pStyle w:val="70"/>
                    <w:spacing w:line="360" w:lineRule="auto"/>
                    <w:rPr>
                      <w:color w:val="auto"/>
                    </w:rPr>
                  </w:pPr>
                  <w:r>
                    <w:rPr>
                      <w:rFonts w:hint="eastAsia"/>
                      <w:color w:val="auto"/>
                    </w:rPr>
                    <w:t>无组织排放总计</w:t>
                  </w:r>
                </w:p>
              </w:tc>
            </w:tr>
            <w:tr w14:paraId="76856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018" w:type="pct"/>
                  <w:gridSpan w:val="4"/>
                  <w:vMerge w:val="restart"/>
                  <w:vAlign w:val="center"/>
                </w:tcPr>
                <w:p w14:paraId="0EBF1DFC">
                  <w:pPr>
                    <w:pStyle w:val="70"/>
                    <w:spacing w:line="360" w:lineRule="auto"/>
                    <w:rPr>
                      <w:color w:val="auto"/>
                    </w:rPr>
                  </w:pPr>
                  <w:r>
                    <w:rPr>
                      <w:rFonts w:hint="eastAsia"/>
                      <w:color w:val="auto"/>
                    </w:rPr>
                    <w:t>无组织排放总计</w:t>
                  </w:r>
                </w:p>
              </w:tc>
              <w:tc>
                <w:tcPr>
                  <w:tcW w:w="1582" w:type="pct"/>
                  <w:gridSpan w:val="2"/>
                  <w:vAlign w:val="center"/>
                </w:tcPr>
                <w:p w14:paraId="0D6C2F57">
                  <w:pPr>
                    <w:pStyle w:val="70"/>
                    <w:spacing w:line="360" w:lineRule="auto"/>
                    <w:rPr>
                      <w:rFonts w:ascii="宋体" w:hAnsi="宋体" w:cs="宋体"/>
                      <w:color w:val="auto"/>
                      <w:kern w:val="0"/>
                    </w:rPr>
                  </w:pPr>
                  <w:r>
                    <w:rPr>
                      <w:color w:val="auto"/>
                    </w:rPr>
                    <w:t>非甲烷总烃</w:t>
                  </w:r>
                </w:p>
              </w:tc>
              <w:tc>
                <w:tcPr>
                  <w:tcW w:w="1398" w:type="pct"/>
                  <w:gridSpan w:val="2"/>
                  <w:vAlign w:val="center"/>
                </w:tcPr>
                <w:p w14:paraId="0F99636C">
                  <w:pPr>
                    <w:keepNext w:val="0"/>
                    <w:keepLines w:val="0"/>
                    <w:widowControl/>
                    <w:suppressLineNumbers w:val="0"/>
                    <w:jc w:val="center"/>
                    <w:textAlignment w:val="center"/>
                    <w:rPr>
                      <w:color w:val="auto"/>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182</w:t>
                  </w:r>
                  <w:r>
                    <w:rPr>
                      <w:rFonts w:hint="default" w:ascii="Times New Roman" w:hAnsi="Times New Roman" w:eastAsia="宋体" w:cs="Times New Roman"/>
                      <w:i w:val="0"/>
                      <w:iCs w:val="0"/>
                      <w:color w:val="auto"/>
                      <w:kern w:val="0"/>
                      <w:sz w:val="21"/>
                      <w:szCs w:val="21"/>
                      <w:u w:val="none"/>
                      <w:lang w:val="en-US" w:eastAsia="zh-CN" w:bidi="ar"/>
                    </w:rPr>
                    <w:t xml:space="preserve"> </w:t>
                  </w:r>
                </w:p>
              </w:tc>
            </w:tr>
            <w:tr w14:paraId="35D78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018" w:type="pct"/>
                  <w:gridSpan w:val="4"/>
                  <w:vMerge w:val="continue"/>
                  <w:vAlign w:val="center"/>
                </w:tcPr>
                <w:p w14:paraId="7095B1CF">
                  <w:pPr>
                    <w:pStyle w:val="70"/>
                    <w:spacing w:line="360" w:lineRule="auto"/>
                    <w:rPr>
                      <w:color w:val="auto"/>
                    </w:rPr>
                  </w:pPr>
                </w:p>
              </w:tc>
              <w:tc>
                <w:tcPr>
                  <w:tcW w:w="1582" w:type="pct"/>
                  <w:gridSpan w:val="2"/>
                  <w:vAlign w:val="center"/>
                </w:tcPr>
                <w:p w14:paraId="68DCEAD9">
                  <w:pPr>
                    <w:pStyle w:val="70"/>
                    <w:spacing w:line="360" w:lineRule="auto"/>
                    <w:rPr>
                      <w:color w:val="auto"/>
                    </w:rPr>
                  </w:pPr>
                  <w:r>
                    <w:rPr>
                      <w:color w:val="auto"/>
                    </w:rPr>
                    <w:t>SO</w:t>
                  </w:r>
                  <w:r>
                    <w:rPr>
                      <w:color w:val="auto"/>
                      <w:vertAlign w:val="subscript"/>
                    </w:rPr>
                    <w:t>2</w:t>
                  </w:r>
                </w:p>
              </w:tc>
              <w:tc>
                <w:tcPr>
                  <w:tcW w:w="2350" w:type="dxa"/>
                  <w:gridSpan w:val="2"/>
                  <w:vAlign w:val="center"/>
                </w:tcPr>
                <w:p w14:paraId="0CE947C4">
                  <w:pPr>
                    <w:pStyle w:val="70"/>
                    <w:spacing w:line="360" w:lineRule="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lang w:val="en-US" w:eastAsia="zh-CN"/>
                    </w:rPr>
                    <w:t>0.00</w:t>
                  </w:r>
                  <w:r>
                    <w:rPr>
                      <w:rFonts w:hint="eastAsia" w:cs="Times New Roman"/>
                      <w:color w:val="auto"/>
                      <w:lang w:val="en-US" w:eastAsia="zh-CN"/>
                    </w:rPr>
                    <w:t>65</w:t>
                  </w:r>
                  <w:r>
                    <w:rPr>
                      <w:rFonts w:hint="default" w:ascii="Times New Roman" w:hAnsi="Times New Roman" w:eastAsia="宋体" w:cs="Times New Roman"/>
                      <w:color w:val="auto"/>
                      <w:lang w:val="en-US" w:eastAsia="zh-CN"/>
                    </w:rPr>
                    <w:t xml:space="preserve"> </w:t>
                  </w:r>
                </w:p>
              </w:tc>
            </w:tr>
            <w:tr w14:paraId="48647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018" w:type="pct"/>
                  <w:gridSpan w:val="4"/>
                  <w:vMerge w:val="continue"/>
                  <w:vAlign w:val="center"/>
                </w:tcPr>
                <w:p w14:paraId="09BA56A1">
                  <w:pPr>
                    <w:pStyle w:val="70"/>
                    <w:spacing w:line="360" w:lineRule="auto"/>
                    <w:rPr>
                      <w:color w:val="auto"/>
                    </w:rPr>
                  </w:pPr>
                </w:p>
              </w:tc>
              <w:tc>
                <w:tcPr>
                  <w:tcW w:w="1582" w:type="pct"/>
                  <w:gridSpan w:val="2"/>
                  <w:vAlign w:val="center"/>
                </w:tcPr>
                <w:p w14:paraId="566F3AEB">
                  <w:pPr>
                    <w:pStyle w:val="70"/>
                    <w:spacing w:line="360" w:lineRule="auto"/>
                    <w:rPr>
                      <w:color w:val="auto"/>
                    </w:rPr>
                  </w:pPr>
                  <w:r>
                    <w:rPr>
                      <w:color w:val="auto"/>
                    </w:rPr>
                    <w:t>NOx</w:t>
                  </w:r>
                </w:p>
              </w:tc>
              <w:tc>
                <w:tcPr>
                  <w:tcW w:w="2350" w:type="dxa"/>
                  <w:gridSpan w:val="2"/>
                  <w:vAlign w:val="center"/>
                </w:tcPr>
                <w:p w14:paraId="12B8507B">
                  <w:pPr>
                    <w:pStyle w:val="70"/>
                    <w:spacing w:line="360" w:lineRule="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lang w:val="en-US" w:eastAsia="zh-CN"/>
                    </w:rPr>
                    <w:t>0.0</w:t>
                  </w:r>
                  <w:r>
                    <w:rPr>
                      <w:rFonts w:hint="eastAsia" w:cs="Times New Roman"/>
                      <w:color w:val="auto"/>
                      <w:lang w:val="en-US" w:eastAsia="zh-CN"/>
                    </w:rPr>
                    <w:t>564</w:t>
                  </w:r>
                  <w:r>
                    <w:rPr>
                      <w:rFonts w:hint="default" w:ascii="Times New Roman" w:hAnsi="Times New Roman" w:eastAsia="宋体" w:cs="Times New Roman"/>
                      <w:color w:val="auto"/>
                      <w:lang w:val="en-US" w:eastAsia="zh-CN"/>
                    </w:rPr>
                    <w:t xml:space="preserve"> </w:t>
                  </w:r>
                </w:p>
              </w:tc>
            </w:tr>
            <w:tr w14:paraId="64F4E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018" w:type="pct"/>
                  <w:gridSpan w:val="4"/>
                  <w:vMerge w:val="continue"/>
                  <w:vAlign w:val="center"/>
                </w:tcPr>
                <w:p w14:paraId="74188C03">
                  <w:pPr>
                    <w:pStyle w:val="70"/>
                    <w:spacing w:line="360" w:lineRule="auto"/>
                    <w:rPr>
                      <w:color w:val="auto"/>
                    </w:rPr>
                  </w:pPr>
                </w:p>
              </w:tc>
              <w:tc>
                <w:tcPr>
                  <w:tcW w:w="1582" w:type="pct"/>
                  <w:gridSpan w:val="2"/>
                  <w:vAlign w:val="center"/>
                </w:tcPr>
                <w:p w14:paraId="34DAE69B">
                  <w:pPr>
                    <w:pStyle w:val="70"/>
                    <w:spacing w:line="360" w:lineRule="auto"/>
                    <w:rPr>
                      <w:rFonts w:ascii="宋体" w:hAnsi="宋体" w:cs="宋体"/>
                      <w:color w:val="auto"/>
                      <w:kern w:val="0"/>
                    </w:rPr>
                  </w:pPr>
                  <w:r>
                    <w:rPr>
                      <w:color w:val="auto"/>
                    </w:rPr>
                    <w:t>颗粒物</w:t>
                  </w:r>
                </w:p>
              </w:tc>
              <w:tc>
                <w:tcPr>
                  <w:tcW w:w="1398" w:type="pct"/>
                  <w:gridSpan w:val="2"/>
                  <w:vAlign w:val="center"/>
                </w:tcPr>
                <w:p w14:paraId="30844D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6821</w:t>
                  </w:r>
                </w:p>
              </w:tc>
            </w:tr>
            <w:tr w14:paraId="75F5F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018" w:type="pct"/>
                  <w:gridSpan w:val="4"/>
                  <w:vMerge w:val="continue"/>
                  <w:vAlign w:val="center"/>
                </w:tcPr>
                <w:p w14:paraId="4510F3E0">
                  <w:pPr>
                    <w:pStyle w:val="70"/>
                    <w:spacing w:line="360" w:lineRule="auto"/>
                    <w:rPr>
                      <w:color w:val="auto"/>
                    </w:rPr>
                  </w:pPr>
                </w:p>
              </w:tc>
              <w:tc>
                <w:tcPr>
                  <w:tcW w:w="1582" w:type="pct"/>
                  <w:gridSpan w:val="2"/>
                  <w:vAlign w:val="center"/>
                </w:tcPr>
                <w:p w14:paraId="44FB7B43">
                  <w:pPr>
                    <w:pStyle w:val="70"/>
                    <w:spacing w:line="360" w:lineRule="auto"/>
                    <w:rPr>
                      <w:rFonts w:hint="default" w:eastAsia="宋体"/>
                      <w:color w:val="auto"/>
                      <w:lang w:val="en-US" w:eastAsia="zh-CN"/>
                    </w:rPr>
                  </w:pPr>
                  <w:r>
                    <w:rPr>
                      <w:rFonts w:hint="eastAsia"/>
                      <w:color w:val="auto"/>
                      <w:lang w:val="en-US" w:eastAsia="zh-CN"/>
                    </w:rPr>
                    <w:t>臭气浓度</w:t>
                  </w:r>
                </w:p>
              </w:tc>
              <w:tc>
                <w:tcPr>
                  <w:tcW w:w="1398" w:type="pct"/>
                  <w:gridSpan w:val="2"/>
                  <w:vAlign w:val="center"/>
                </w:tcPr>
                <w:p w14:paraId="6EC13A5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少量</w:t>
                  </w:r>
                </w:p>
              </w:tc>
            </w:tr>
          </w:tbl>
          <w:p w14:paraId="380D5077">
            <w:pPr>
              <w:pStyle w:val="9"/>
              <w:spacing w:line="360" w:lineRule="auto"/>
              <w:ind w:left="630" w:leftChars="0" w:firstLineChars="0"/>
              <w:rPr>
                <w:color w:val="auto"/>
                <w:szCs w:val="21"/>
                <w:lang w:val="en-US"/>
              </w:rPr>
            </w:pPr>
            <w:r>
              <w:rPr>
                <w:rFonts w:hint="eastAsia"/>
                <w:color w:val="auto"/>
                <w:sz w:val="24"/>
                <w:szCs w:val="24"/>
              </w:rPr>
              <w:t>大</w:t>
            </w:r>
            <w:r>
              <w:rPr>
                <w:rFonts w:hint="eastAsia"/>
                <w:color w:val="auto"/>
                <w:szCs w:val="21"/>
              </w:rPr>
              <w:t>气污染物年排放量核算表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
              <w:gridCol w:w="2062"/>
              <w:gridCol w:w="1739"/>
              <w:gridCol w:w="1741"/>
              <w:gridCol w:w="2039"/>
            </w:tblGrid>
            <w:tr w14:paraId="0BA66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489" w:type="pct"/>
                  <w:vAlign w:val="center"/>
                </w:tcPr>
                <w:p w14:paraId="0830882F">
                  <w:pPr>
                    <w:pStyle w:val="70"/>
                    <w:spacing w:line="360" w:lineRule="auto"/>
                    <w:rPr>
                      <w:color w:val="auto"/>
                    </w:rPr>
                  </w:pPr>
                  <w:r>
                    <w:rPr>
                      <w:rFonts w:hint="eastAsia"/>
                      <w:color w:val="auto"/>
                    </w:rPr>
                    <w:t>序号</w:t>
                  </w:r>
                </w:p>
              </w:tc>
              <w:tc>
                <w:tcPr>
                  <w:tcW w:w="1226" w:type="pct"/>
                  <w:vAlign w:val="center"/>
                </w:tcPr>
                <w:p w14:paraId="3E0CD84A">
                  <w:pPr>
                    <w:pStyle w:val="70"/>
                    <w:spacing w:line="360" w:lineRule="auto"/>
                    <w:rPr>
                      <w:color w:val="auto"/>
                    </w:rPr>
                  </w:pPr>
                  <w:r>
                    <w:rPr>
                      <w:rFonts w:hint="eastAsia"/>
                      <w:color w:val="auto"/>
                    </w:rPr>
                    <w:t>污染物</w:t>
                  </w:r>
                </w:p>
              </w:tc>
              <w:tc>
                <w:tcPr>
                  <w:tcW w:w="1034" w:type="pct"/>
                  <w:vAlign w:val="center"/>
                </w:tcPr>
                <w:p w14:paraId="1FE1212B">
                  <w:pPr>
                    <w:pStyle w:val="70"/>
                    <w:spacing w:line="360" w:lineRule="auto"/>
                    <w:rPr>
                      <w:color w:val="auto"/>
                    </w:rPr>
                  </w:pPr>
                  <w:r>
                    <w:rPr>
                      <w:rFonts w:hint="eastAsia"/>
                      <w:color w:val="auto"/>
                    </w:rPr>
                    <w:t>有组织年排放量</w:t>
                  </w:r>
                  <w:r>
                    <w:rPr>
                      <w:color w:val="auto"/>
                    </w:rPr>
                    <w:t>/</w:t>
                  </w:r>
                  <w:r>
                    <w:rPr>
                      <w:rFonts w:hint="eastAsia"/>
                      <w:color w:val="auto"/>
                    </w:rPr>
                    <w:t>（</w:t>
                  </w:r>
                  <w:r>
                    <w:rPr>
                      <w:color w:val="auto"/>
                    </w:rPr>
                    <w:t>t/a</w:t>
                  </w:r>
                  <w:r>
                    <w:rPr>
                      <w:rFonts w:hint="eastAsia"/>
                      <w:color w:val="auto"/>
                    </w:rPr>
                    <w:t>）</w:t>
                  </w:r>
                </w:p>
              </w:tc>
              <w:tc>
                <w:tcPr>
                  <w:tcW w:w="1035" w:type="pct"/>
                  <w:vAlign w:val="center"/>
                </w:tcPr>
                <w:p w14:paraId="7E7A47F0">
                  <w:pPr>
                    <w:pStyle w:val="70"/>
                    <w:spacing w:line="360" w:lineRule="auto"/>
                    <w:rPr>
                      <w:color w:val="auto"/>
                    </w:rPr>
                  </w:pPr>
                  <w:r>
                    <w:rPr>
                      <w:rFonts w:hint="eastAsia"/>
                      <w:color w:val="auto"/>
                    </w:rPr>
                    <w:t>无组织年排放量</w:t>
                  </w:r>
                  <w:r>
                    <w:rPr>
                      <w:color w:val="auto"/>
                    </w:rPr>
                    <w:t>/</w:t>
                  </w:r>
                  <w:r>
                    <w:rPr>
                      <w:rFonts w:hint="eastAsia"/>
                      <w:color w:val="auto"/>
                    </w:rPr>
                    <w:t>（</w:t>
                  </w:r>
                  <w:r>
                    <w:rPr>
                      <w:color w:val="auto"/>
                    </w:rPr>
                    <w:t>t/a</w:t>
                  </w:r>
                  <w:r>
                    <w:rPr>
                      <w:rFonts w:hint="eastAsia"/>
                      <w:color w:val="auto"/>
                    </w:rPr>
                    <w:t>）</w:t>
                  </w:r>
                </w:p>
              </w:tc>
              <w:tc>
                <w:tcPr>
                  <w:tcW w:w="1213" w:type="pct"/>
                  <w:vAlign w:val="center"/>
                </w:tcPr>
                <w:p w14:paraId="7A5DB967">
                  <w:pPr>
                    <w:pStyle w:val="70"/>
                    <w:spacing w:line="360" w:lineRule="auto"/>
                    <w:rPr>
                      <w:color w:val="auto"/>
                    </w:rPr>
                  </w:pPr>
                  <w:r>
                    <w:rPr>
                      <w:rFonts w:hint="eastAsia"/>
                      <w:color w:val="auto"/>
                    </w:rPr>
                    <w:t>年排放量</w:t>
                  </w:r>
                  <w:r>
                    <w:rPr>
                      <w:color w:val="auto"/>
                    </w:rPr>
                    <w:t>/</w:t>
                  </w:r>
                  <w:r>
                    <w:rPr>
                      <w:rFonts w:hint="eastAsia"/>
                      <w:color w:val="auto"/>
                    </w:rPr>
                    <w:t>（</w:t>
                  </w:r>
                  <w:r>
                    <w:rPr>
                      <w:color w:val="auto"/>
                    </w:rPr>
                    <w:t>t/a</w:t>
                  </w:r>
                  <w:r>
                    <w:rPr>
                      <w:rFonts w:hint="eastAsia"/>
                      <w:color w:val="auto"/>
                    </w:rPr>
                    <w:t>）</w:t>
                  </w:r>
                </w:p>
              </w:tc>
            </w:tr>
            <w:tr w14:paraId="5B5A4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89" w:type="pct"/>
                  <w:noWrap/>
                  <w:vAlign w:val="center"/>
                </w:tcPr>
                <w:p w14:paraId="02AD5B1B">
                  <w:pPr>
                    <w:pStyle w:val="70"/>
                    <w:spacing w:line="360" w:lineRule="auto"/>
                    <w:rPr>
                      <w:color w:val="auto"/>
                    </w:rPr>
                  </w:pPr>
                  <w:r>
                    <w:rPr>
                      <w:color w:val="auto"/>
                    </w:rPr>
                    <w:t>1</w:t>
                  </w:r>
                </w:p>
              </w:tc>
              <w:tc>
                <w:tcPr>
                  <w:tcW w:w="1226" w:type="pct"/>
                  <w:vAlign w:val="center"/>
                </w:tcPr>
                <w:p w14:paraId="6638AABD">
                  <w:pPr>
                    <w:pStyle w:val="70"/>
                    <w:spacing w:line="360" w:lineRule="auto"/>
                    <w:rPr>
                      <w:rFonts w:ascii="宋体" w:hAnsi="宋体" w:cs="宋体"/>
                      <w:color w:val="auto"/>
                      <w:kern w:val="0"/>
                    </w:rPr>
                  </w:pPr>
                  <w:r>
                    <w:rPr>
                      <w:rFonts w:hint="eastAsia"/>
                      <w:color w:val="auto"/>
                      <w:lang w:val="en-US" w:eastAsia="zh-CN"/>
                    </w:rPr>
                    <w:t>TVOC、</w:t>
                  </w:r>
                  <w:r>
                    <w:rPr>
                      <w:color w:val="auto"/>
                    </w:rPr>
                    <w:t>非甲烷总烃</w:t>
                  </w:r>
                </w:p>
              </w:tc>
              <w:tc>
                <w:tcPr>
                  <w:tcW w:w="1739" w:type="dxa"/>
                  <w:noWrap/>
                  <w:vAlign w:val="center"/>
                </w:tcPr>
                <w:p w14:paraId="0FCFF3B6">
                  <w:pPr>
                    <w:keepNext w:val="0"/>
                    <w:keepLines w:val="0"/>
                    <w:widowControl/>
                    <w:suppressLineNumbers w:val="0"/>
                    <w:spacing w:before="74"/>
                    <w:jc w:val="center"/>
                    <w:textAlignment w:val="center"/>
                    <w:rPr>
                      <w:color w:val="auto"/>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312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741" w:type="dxa"/>
                  <w:noWrap/>
                  <w:vAlign w:val="center"/>
                </w:tcPr>
                <w:p w14:paraId="5AA462C9">
                  <w:pPr>
                    <w:keepNext w:val="0"/>
                    <w:keepLines w:val="0"/>
                    <w:widowControl/>
                    <w:suppressLineNumbers w:val="0"/>
                    <w:jc w:val="center"/>
                    <w:textAlignment w:val="center"/>
                    <w:rPr>
                      <w:color w:val="auto"/>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182</w:t>
                  </w:r>
                  <w:r>
                    <w:rPr>
                      <w:rFonts w:hint="default" w:ascii="Times New Roman" w:hAnsi="Times New Roman" w:eastAsia="宋体" w:cs="Times New Roman"/>
                      <w:i w:val="0"/>
                      <w:iCs w:val="0"/>
                      <w:color w:val="auto"/>
                      <w:kern w:val="0"/>
                      <w:sz w:val="21"/>
                      <w:szCs w:val="21"/>
                      <w:u w:val="none"/>
                      <w:lang w:val="en-US" w:eastAsia="zh-CN" w:bidi="ar"/>
                    </w:rPr>
                    <w:t xml:space="preserve"> </w:t>
                  </w:r>
                </w:p>
              </w:tc>
              <w:tc>
                <w:tcPr>
                  <w:tcW w:w="1213" w:type="pct"/>
                  <w:noWrap/>
                  <w:vAlign w:val="center"/>
                </w:tcPr>
                <w:p w14:paraId="4B06466D">
                  <w:pPr>
                    <w:keepNext w:val="0"/>
                    <w:keepLines w:val="0"/>
                    <w:widowControl/>
                    <w:suppressLineNumbers w:val="0"/>
                    <w:jc w:val="center"/>
                    <w:textAlignment w:val="center"/>
                    <w:rPr>
                      <w:rFonts w:hint="default" w:ascii="Times New Roman" w:hAnsi="Times New Roman" w:eastAsia="等线" w:cs="Times New Roman"/>
                      <w:color w:val="auto"/>
                      <w:lang w:val="en-US"/>
                    </w:rPr>
                  </w:pPr>
                  <w:r>
                    <w:rPr>
                      <w:rFonts w:hint="default" w:ascii="Times New Roman" w:hAnsi="Times New Roman" w:eastAsia="宋体" w:cs="Times New Roman"/>
                      <w:i w:val="0"/>
                      <w:iCs w:val="0"/>
                      <w:color w:val="auto"/>
                      <w:kern w:val="0"/>
                      <w:sz w:val="21"/>
                      <w:szCs w:val="21"/>
                      <w:u w:val="none"/>
                      <w:lang w:val="en-US" w:eastAsia="zh-CN" w:bidi="ar"/>
                    </w:rPr>
                    <w:t>0.044</w:t>
                  </w:r>
                  <w:r>
                    <w:rPr>
                      <w:rFonts w:hint="eastAsia" w:cs="Times New Roman"/>
                      <w:i w:val="0"/>
                      <w:iCs w:val="0"/>
                      <w:color w:val="auto"/>
                      <w:kern w:val="0"/>
                      <w:sz w:val="21"/>
                      <w:szCs w:val="21"/>
                      <w:u w:val="none"/>
                      <w:lang w:val="en-US" w:eastAsia="zh-CN" w:bidi="ar"/>
                    </w:rPr>
                    <w:t>2</w:t>
                  </w:r>
                </w:p>
              </w:tc>
            </w:tr>
            <w:tr w14:paraId="1EEFA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89" w:type="pct"/>
                  <w:noWrap/>
                  <w:vAlign w:val="center"/>
                </w:tcPr>
                <w:p w14:paraId="552D5155">
                  <w:pPr>
                    <w:pStyle w:val="70"/>
                    <w:spacing w:line="360" w:lineRule="auto"/>
                    <w:rPr>
                      <w:color w:val="auto"/>
                    </w:rPr>
                  </w:pPr>
                  <w:r>
                    <w:rPr>
                      <w:rFonts w:hint="eastAsia"/>
                      <w:color w:val="auto"/>
                    </w:rPr>
                    <w:t>2</w:t>
                  </w:r>
                </w:p>
              </w:tc>
              <w:tc>
                <w:tcPr>
                  <w:tcW w:w="1226" w:type="pct"/>
                  <w:vAlign w:val="center"/>
                </w:tcPr>
                <w:p w14:paraId="02FC8170">
                  <w:pPr>
                    <w:pStyle w:val="70"/>
                    <w:spacing w:line="360" w:lineRule="auto"/>
                    <w:rPr>
                      <w:color w:val="auto"/>
                    </w:rPr>
                  </w:pPr>
                  <w:r>
                    <w:rPr>
                      <w:color w:val="auto"/>
                    </w:rPr>
                    <w:t>SO</w:t>
                  </w:r>
                  <w:r>
                    <w:rPr>
                      <w:color w:val="auto"/>
                      <w:vertAlign w:val="subscript"/>
                    </w:rPr>
                    <w:t>2</w:t>
                  </w:r>
                </w:p>
              </w:tc>
              <w:tc>
                <w:tcPr>
                  <w:tcW w:w="1739" w:type="dxa"/>
                  <w:noWrap/>
                  <w:vAlign w:val="center"/>
                </w:tcPr>
                <w:p w14:paraId="092E5C60">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259</w:t>
                  </w:r>
                </w:p>
              </w:tc>
              <w:tc>
                <w:tcPr>
                  <w:tcW w:w="1741" w:type="dxa"/>
                  <w:noWrap/>
                  <w:vAlign w:val="center"/>
                </w:tcPr>
                <w:p w14:paraId="11D17465">
                  <w:pPr>
                    <w:pStyle w:val="70"/>
                    <w:spacing w:line="360" w:lineRule="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lang w:val="en-US" w:eastAsia="zh-CN"/>
                    </w:rPr>
                    <w:t>0.00</w:t>
                  </w:r>
                  <w:r>
                    <w:rPr>
                      <w:rFonts w:hint="eastAsia" w:cs="Times New Roman"/>
                      <w:color w:val="auto"/>
                      <w:lang w:val="en-US" w:eastAsia="zh-CN"/>
                    </w:rPr>
                    <w:t>65</w:t>
                  </w:r>
                  <w:r>
                    <w:rPr>
                      <w:rFonts w:hint="default" w:ascii="Times New Roman" w:hAnsi="Times New Roman" w:eastAsia="宋体" w:cs="Times New Roman"/>
                      <w:color w:val="auto"/>
                      <w:lang w:val="en-US" w:eastAsia="zh-CN"/>
                    </w:rPr>
                    <w:t xml:space="preserve"> </w:t>
                  </w:r>
                </w:p>
              </w:tc>
              <w:tc>
                <w:tcPr>
                  <w:tcW w:w="2039" w:type="dxa"/>
                  <w:noWrap/>
                  <w:vAlign w:val="center"/>
                </w:tcPr>
                <w:p w14:paraId="26510F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0.0324</w:t>
                  </w:r>
                </w:p>
              </w:tc>
            </w:tr>
            <w:tr w14:paraId="09828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89" w:type="pct"/>
                  <w:noWrap/>
                  <w:vAlign w:val="center"/>
                </w:tcPr>
                <w:p w14:paraId="3B4A28C8">
                  <w:pPr>
                    <w:pStyle w:val="70"/>
                    <w:spacing w:line="360" w:lineRule="auto"/>
                    <w:rPr>
                      <w:color w:val="auto"/>
                    </w:rPr>
                  </w:pPr>
                  <w:r>
                    <w:rPr>
                      <w:rFonts w:hint="eastAsia"/>
                      <w:color w:val="auto"/>
                    </w:rPr>
                    <w:t>3</w:t>
                  </w:r>
                </w:p>
              </w:tc>
              <w:tc>
                <w:tcPr>
                  <w:tcW w:w="1226" w:type="pct"/>
                  <w:vAlign w:val="center"/>
                </w:tcPr>
                <w:p w14:paraId="0F85DF8D">
                  <w:pPr>
                    <w:pStyle w:val="70"/>
                    <w:spacing w:line="360" w:lineRule="auto"/>
                    <w:rPr>
                      <w:color w:val="auto"/>
                    </w:rPr>
                  </w:pPr>
                  <w:r>
                    <w:rPr>
                      <w:color w:val="auto"/>
                    </w:rPr>
                    <w:t>NOx</w:t>
                  </w:r>
                </w:p>
              </w:tc>
              <w:tc>
                <w:tcPr>
                  <w:tcW w:w="1739" w:type="dxa"/>
                  <w:noWrap/>
                  <w:vAlign w:val="center"/>
                </w:tcPr>
                <w:p w14:paraId="57BDE627">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2254</w:t>
                  </w:r>
                </w:p>
              </w:tc>
              <w:tc>
                <w:tcPr>
                  <w:tcW w:w="1741" w:type="dxa"/>
                  <w:noWrap/>
                  <w:vAlign w:val="center"/>
                </w:tcPr>
                <w:p w14:paraId="09B39CD9">
                  <w:pPr>
                    <w:pStyle w:val="70"/>
                    <w:spacing w:line="360" w:lineRule="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lang w:val="en-US" w:eastAsia="zh-CN"/>
                    </w:rPr>
                    <w:t>0.0</w:t>
                  </w:r>
                  <w:r>
                    <w:rPr>
                      <w:rFonts w:hint="eastAsia" w:cs="Times New Roman"/>
                      <w:color w:val="auto"/>
                      <w:lang w:val="en-US" w:eastAsia="zh-CN"/>
                    </w:rPr>
                    <w:t>564</w:t>
                  </w:r>
                  <w:r>
                    <w:rPr>
                      <w:rFonts w:hint="default" w:ascii="Times New Roman" w:hAnsi="Times New Roman" w:eastAsia="宋体" w:cs="Times New Roman"/>
                      <w:color w:val="auto"/>
                      <w:lang w:val="en-US" w:eastAsia="zh-CN"/>
                    </w:rPr>
                    <w:t xml:space="preserve"> </w:t>
                  </w:r>
                </w:p>
              </w:tc>
              <w:tc>
                <w:tcPr>
                  <w:tcW w:w="2039" w:type="dxa"/>
                  <w:noWrap/>
                  <w:vAlign w:val="center"/>
                </w:tcPr>
                <w:p w14:paraId="4E234A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0.2818</w:t>
                  </w:r>
                </w:p>
              </w:tc>
            </w:tr>
            <w:tr w14:paraId="18601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89" w:type="pct"/>
                  <w:noWrap/>
                  <w:vAlign w:val="center"/>
                </w:tcPr>
                <w:p w14:paraId="62A1365C">
                  <w:pPr>
                    <w:pStyle w:val="70"/>
                    <w:spacing w:line="360" w:lineRule="auto"/>
                    <w:rPr>
                      <w:color w:val="auto"/>
                    </w:rPr>
                  </w:pPr>
                  <w:r>
                    <w:rPr>
                      <w:color w:val="auto"/>
                    </w:rPr>
                    <w:t>4</w:t>
                  </w:r>
                </w:p>
              </w:tc>
              <w:tc>
                <w:tcPr>
                  <w:tcW w:w="1226" w:type="pct"/>
                  <w:noWrap/>
                  <w:vAlign w:val="center"/>
                </w:tcPr>
                <w:p w14:paraId="746E69D6">
                  <w:pPr>
                    <w:pStyle w:val="70"/>
                    <w:spacing w:line="360" w:lineRule="auto"/>
                    <w:rPr>
                      <w:rFonts w:ascii="宋体" w:hAnsi="宋体" w:cs="宋体"/>
                      <w:color w:val="auto"/>
                      <w:kern w:val="0"/>
                    </w:rPr>
                  </w:pPr>
                  <w:r>
                    <w:rPr>
                      <w:color w:val="auto"/>
                    </w:rPr>
                    <w:t>颗粒物</w:t>
                  </w:r>
                </w:p>
              </w:tc>
              <w:tc>
                <w:tcPr>
                  <w:tcW w:w="1739" w:type="dxa"/>
                  <w:noWrap/>
                  <w:vAlign w:val="center"/>
                </w:tcPr>
                <w:p w14:paraId="5286D86F">
                  <w:pPr>
                    <w:keepNext w:val="0"/>
                    <w:keepLines w:val="0"/>
                    <w:widowControl/>
                    <w:suppressLineNumbers w:val="0"/>
                    <w:spacing w:before="74"/>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1643</w:t>
                  </w:r>
                </w:p>
              </w:tc>
              <w:tc>
                <w:tcPr>
                  <w:tcW w:w="1741" w:type="dxa"/>
                  <w:noWrap/>
                  <w:vAlign w:val="center"/>
                </w:tcPr>
                <w:p w14:paraId="0BA030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6</w:t>
                  </w:r>
                  <w:r>
                    <w:rPr>
                      <w:rFonts w:hint="default" w:ascii="Times New Roman" w:hAnsi="Times New Roman" w:eastAsia="宋体" w:cs="Times New Roman"/>
                      <w:i w:val="0"/>
                      <w:iCs w:val="0"/>
                      <w:color w:val="auto"/>
                      <w:kern w:val="0"/>
                      <w:sz w:val="21"/>
                      <w:szCs w:val="21"/>
                      <w:u w:val="none"/>
                      <w:lang w:val="en-US" w:eastAsia="zh-CN" w:bidi="ar"/>
                    </w:rPr>
                    <w:t>8</w:t>
                  </w:r>
                  <w:r>
                    <w:rPr>
                      <w:rFonts w:hint="eastAsia" w:cs="Times New Roman"/>
                      <w:i w:val="0"/>
                      <w:iCs w:val="0"/>
                      <w:color w:val="auto"/>
                      <w:kern w:val="0"/>
                      <w:sz w:val="21"/>
                      <w:szCs w:val="21"/>
                      <w:u w:val="none"/>
                      <w:lang w:val="en-US" w:eastAsia="zh-CN" w:bidi="ar"/>
                    </w:rPr>
                    <w:t>21</w:t>
                  </w:r>
                </w:p>
              </w:tc>
              <w:tc>
                <w:tcPr>
                  <w:tcW w:w="2039" w:type="dxa"/>
                  <w:noWrap/>
                  <w:vAlign w:val="center"/>
                </w:tcPr>
                <w:p w14:paraId="2FEBC9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8464</w:t>
                  </w:r>
                </w:p>
              </w:tc>
            </w:tr>
            <w:tr w14:paraId="09AFB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489" w:type="pct"/>
                  <w:noWrap/>
                  <w:vAlign w:val="center"/>
                </w:tcPr>
                <w:p w14:paraId="57D2233D">
                  <w:pPr>
                    <w:pStyle w:val="70"/>
                    <w:spacing w:line="360" w:lineRule="auto"/>
                    <w:jc w:val="center"/>
                    <w:rPr>
                      <w:rFonts w:hint="eastAsia" w:eastAsia="宋体"/>
                      <w:color w:val="auto"/>
                      <w:lang w:val="en-US" w:eastAsia="zh-CN"/>
                    </w:rPr>
                  </w:pPr>
                  <w:r>
                    <w:rPr>
                      <w:rFonts w:hint="eastAsia"/>
                      <w:color w:val="auto"/>
                      <w:lang w:val="en-US" w:eastAsia="zh-CN"/>
                    </w:rPr>
                    <w:t>5</w:t>
                  </w:r>
                </w:p>
              </w:tc>
              <w:tc>
                <w:tcPr>
                  <w:tcW w:w="1226" w:type="pct"/>
                  <w:noWrap/>
                  <w:vAlign w:val="center"/>
                </w:tcPr>
                <w:p w14:paraId="5CC88E0E">
                  <w:pPr>
                    <w:pStyle w:val="70"/>
                    <w:spacing w:before="74" w:line="360" w:lineRule="auto"/>
                    <w:jc w:val="center"/>
                    <w:rPr>
                      <w:color w:val="auto"/>
                    </w:rPr>
                  </w:pPr>
                  <w:r>
                    <w:rPr>
                      <w:rFonts w:hint="eastAsia"/>
                      <w:color w:val="auto"/>
                      <w:sz w:val="21"/>
                      <w:lang w:val="en-US" w:eastAsia="zh-CN"/>
                    </w:rPr>
                    <w:t>臭气浓度</w:t>
                  </w:r>
                </w:p>
              </w:tc>
              <w:tc>
                <w:tcPr>
                  <w:tcW w:w="1034" w:type="pct"/>
                  <w:noWrap/>
                  <w:vAlign w:val="center"/>
                </w:tcPr>
                <w:p w14:paraId="16E57733">
                  <w:pPr>
                    <w:pStyle w:val="70"/>
                    <w:spacing w:before="74" w:line="360" w:lineRule="auto"/>
                    <w:jc w:val="center"/>
                    <w:rPr>
                      <w:bCs/>
                      <w:color w:val="auto"/>
                      <w:sz w:val="21"/>
                    </w:rPr>
                  </w:pPr>
                  <w:r>
                    <w:rPr>
                      <w:rFonts w:hint="eastAsia"/>
                      <w:bCs/>
                      <w:color w:val="auto"/>
                      <w:sz w:val="21"/>
                      <w:lang w:val="en-US" w:eastAsia="zh-CN"/>
                    </w:rPr>
                    <w:t>少量</w:t>
                  </w:r>
                </w:p>
              </w:tc>
              <w:tc>
                <w:tcPr>
                  <w:tcW w:w="1035" w:type="pct"/>
                  <w:noWrap/>
                  <w:vAlign w:val="center"/>
                </w:tcPr>
                <w:p w14:paraId="36E6D737">
                  <w:pPr>
                    <w:pStyle w:val="70"/>
                    <w:spacing w:line="360" w:lineRule="auto"/>
                    <w:jc w:val="center"/>
                    <w:rPr>
                      <w:rFonts w:hint="default"/>
                      <w:color w:val="auto"/>
                      <w:highlight w:val="none"/>
                      <w:lang w:val="en-US" w:eastAsia="zh-CN"/>
                    </w:rPr>
                  </w:pPr>
                  <w:r>
                    <w:rPr>
                      <w:rFonts w:hint="eastAsia"/>
                      <w:color w:val="auto"/>
                      <w:highlight w:val="none"/>
                      <w:lang w:val="en-US" w:eastAsia="zh-CN"/>
                    </w:rPr>
                    <w:t>少量</w:t>
                  </w:r>
                </w:p>
              </w:tc>
              <w:tc>
                <w:tcPr>
                  <w:tcW w:w="1213" w:type="pct"/>
                  <w:noWrap/>
                  <w:vAlign w:val="center"/>
                </w:tcPr>
                <w:p w14:paraId="49B07D3E">
                  <w:pPr>
                    <w:keepNext w:val="0"/>
                    <w:keepLines w:val="0"/>
                    <w:widowControl/>
                    <w:suppressLineNumbers w:val="0"/>
                    <w:spacing w:line="360" w:lineRule="auto"/>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少量</w:t>
                  </w:r>
                </w:p>
              </w:tc>
            </w:tr>
          </w:tbl>
          <w:p w14:paraId="06D38FE4">
            <w:pPr>
              <w:pStyle w:val="9"/>
              <w:spacing w:line="360" w:lineRule="auto"/>
              <w:ind w:left="630" w:leftChars="0" w:firstLineChars="0"/>
              <w:rPr>
                <w:color w:val="auto"/>
                <w:szCs w:val="21"/>
                <w:highlight w:val="none"/>
                <w:lang w:val="en-US"/>
              </w:rPr>
            </w:pPr>
            <w:r>
              <w:rPr>
                <w:rFonts w:hint="eastAsia"/>
                <w:color w:val="auto"/>
                <w:szCs w:val="21"/>
                <w:highlight w:val="none"/>
              </w:rPr>
              <w:t>污染源非正常排放量核算表</w:t>
            </w:r>
          </w:p>
          <w:tbl>
            <w:tblPr>
              <w:tblStyle w:val="16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28" w:type="dxa"/>
                <w:bottom w:w="0" w:type="dxa"/>
                <w:right w:w="28" w:type="dxa"/>
              </w:tblCellMar>
            </w:tblPr>
            <w:tblGrid>
              <w:gridCol w:w="451"/>
              <w:gridCol w:w="571"/>
              <w:gridCol w:w="992"/>
              <w:gridCol w:w="1134"/>
              <w:gridCol w:w="1371"/>
              <w:gridCol w:w="1253"/>
              <w:gridCol w:w="934"/>
              <w:gridCol w:w="891"/>
              <w:gridCol w:w="806"/>
            </w:tblGrid>
            <w:tr w14:paraId="1685F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281" w:hRule="atLeast"/>
                <w:tblHeader/>
                <w:jc w:val="center"/>
              </w:trPr>
              <w:tc>
                <w:tcPr>
                  <w:tcW w:w="268" w:type="pct"/>
                  <w:shd w:val="clear" w:color="auto" w:fill="auto"/>
                  <w:vAlign w:val="center"/>
                </w:tcPr>
                <w:p w14:paraId="37EF0ECE">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序号</w:t>
                  </w:r>
                </w:p>
              </w:tc>
              <w:tc>
                <w:tcPr>
                  <w:tcW w:w="339" w:type="pct"/>
                  <w:shd w:val="clear" w:color="auto" w:fill="auto"/>
                  <w:vAlign w:val="center"/>
                </w:tcPr>
                <w:p w14:paraId="3D4EC0CE">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污染源</w:t>
                  </w:r>
                </w:p>
              </w:tc>
              <w:tc>
                <w:tcPr>
                  <w:tcW w:w="590" w:type="pct"/>
                  <w:shd w:val="clear" w:color="auto" w:fill="auto"/>
                  <w:vAlign w:val="center"/>
                </w:tcPr>
                <w:p w14:paraId="05F45DFC">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非正常排放原因</w:t>
                  </w:r>
                </w:p>
              </w:tc>
              <w:tc>
                <w:tcPr>
                  <w:tcW w:w="674" w:type="pct"/>
                  <w:shd w:val="clear" w:color="auto" w:fill="auto"/>
                  <w:vAlign w:val="center"/>
                </w:tcPr>
                <w:p w14:paraId="25013C79">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污染物</w:t>
                  </w:r>
                </w:p>
              </w:tc>
              <w:tc>
                <w:tcPr>
                  <w:tcW w:w="815" w:type="pct"/>
                  <w:shd w:val="clear" w:color="auto" w:fill="auto"/>
                  <w:vAlign w:val="center"/>
                </w:tcPr>
                <w:p w14:paraId="0A0EB644">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非正常排放浓度/(</w:t>
                  </w:r>
                  <w:r>
                    <w:rPr>
                      <w:rFonts w:eastAsia="宋体"/>
                      <w:color w:val="auto"/>
                      <w:sz w:val="21"/>
                    </w:rPr>
                    <w:t>mg/m</w:t>
                  </w:r>
                  <w:r>
                    <w:rPr>
                      <w:rFonts w:eastAsia="宋体"/>
                      <w:color w:val="auto"/>
                      <w:sz w:val="21"/>
                      <w:vertAlign w:val="superscript"/>
                    </w:rPr>
                    <w:t>3</w:t>
                  </w:r>
                  <w:r>
                    <w:rPr>
                      <w:rFonts w:eastAsia="宋体"/>
                      <w:color w:val="auto"/>
                      <w:sz w:val="21"/>
                    </w:rPr>
                    <w:t>)</w:t>
                  </w:r>
                </w:p>
              </w:tc>
              <w:tc>
                <w:tcPr>
                  <w:tcW w:w="745" w:type="pct"/>
                  <w:shd w:val="clear" w:color="auto" w:fill="auto"/>
                  <w:vAlign w:val="center"/>
                </w:tcPr>
                <w:p w14:paraId="7D13EE96">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非正常排放速率/(</w:t>
                  </w:r>
                  <w:r>
                    <w:rPr>
                      <w:rFonts w:eastAsia="宋体"/>
                      <w:color w:val="auto"/>
                      <w:sz w:val="21"/>
                    </w:rPr>
                    <w:t>kg/h</w:t>
                  </w:r>
                  <w:r>
                    <w:rPr>
                      <w:rFonts w:hint="eastAsia" w:eastAsia="宋体"/>
                      <w:color w:val="auto"/>
                      <w:sz w:val="21"/>
                    </w:rPr>
                    <w:t>）</w:t>
                  </w:r>
                </w:p>
              </w:tc>
              <w:tc>
                <w:tcPr>
                  <w:tcW w:w="555" w:type="pct"/>
                  <w:shd w:val="clear" w:color="auto" w:fill="auto"/>
                  <w:vAlign w:val="center"/>
                </w:tcPr>
                <w:p w14:paraId="4C4BD5FC">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单次持续时间/</w:t>
                  </w:r>
                  <w:r>
                    <w:rPr>
                      <w:rFonts w:eastAsia="宋体"/>
                      <w:color w:val="auto"/>
                      <w:sz w:val="21"/>
                    </w:rPr>
                    <w:t>h</w:t>
                  </w:r>
                </w:p>
              </w:tc>
              <w:tc>
                <w:tcPr>
                  <w:tcW w:w="530" w:type="pct"/>
                  <w:shd w:val="clear" w:color="auto" w:fill="auto"/>
                  <w:vAlign w:val="center"/>
                </w:tcPr>
                <w:p w14:paraId="591D9082">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年发生频次/次</w:t>
                  </w:r>
                </w:p>
              </w:tc>
              <w:tc>
                <w:tcPr>
                  <w:tcW w:w="479" w:type="pct"/>
                  <w:shd w:val="clear" w:color="auto" w:fill="auto"/>
                  <w:vAlign w:val="center"/>
                </w:tcPr>
                <w:p w14:paraId="7830321E">
                  <w:pPr>
                    <w:pStyle w:val="70"/>
                    <w:wordWrap/>
                    <w:spacing w:before="74" w:beforeLines="0" w:beforeAutospacing="0" w:afterLines="0" w:afterAutospacing="0" w:line="360" w:lineRule="auto"/>
                    <w:ind w:left="0" w:leftChars="0" w:right="0" w:rightChars="0" w:firstLine="0" w:firstLineChars="0"/>
                    <w:rPr>
                      <w:rFonts w:eastAsia="宋体"/>
                      <w:color w:val="auto"/>
                      <w:sz w:val="21"/>
                    </w:rPr>
                  </w:pPr>
                  <w:r>
                    <w:rPr>
                      <w:rFonts w:hint="eastAsia" w:eastAsia="宋体"/>
                      <w:color w:val="auto"/>
                      <w:sz w:val="21"/>
                    </w:rPr>
                    <w:t>应对措施</w:t>
                  </w:r>
                </w:p>
              </w:tc>
            </w:tr>
            <w:tr w14:paraId="0ACFF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312" w:hRule="atLeast"/>
                <w:jc w:val="center"/>
              </w:trPr>
              <w:tc>
                <w:tcPr>
                  <w:tcW w:w="268" w:type="pct"/>
                  <w:shd w:val="clear" w:color="auto" w:fill="auto"/>
                  <w:vAlign w:val="center"/>
                </w:tcPr>
                <w:p w14:paraId="6823112D">
                  <w:pPr>
                    <w:pStyle w:val="70"/>
                    <w:spacing w:before="74" w:line="360" w:lineRule="auto"/>
                    <w:rPr>
                      <w:color w:val="auto"/>
                      <w:sz w:val="21"/>
                    </w:rPr>
                  </w:pPr>
                  <w:r>
                    <w:rPr>
                      <w:rFonts w:hint="eastAsia"/>
                      <w:color w:val="auto"/>
                      <w:sz w:val="21"/>
                    </w:rPr>
                    <w:t>1</w:t>
                  </w:r>
                </w:p>
              </w:tc>
              <w:tc>
                <w:tcPr>
                  <w:tcW w:w="339" w:type="pct"/>
                  <w:shd w:val="clear" w:color="auto" w:fill="auto"/>
                  <w:vAlign w:val="center"/>
                </w:tcPr>
                <w:p w14:paraId="2639FE0D">
                  <w:pPr>
                    <w:pStyle w:val="70"/>
                    <w:spacing w:before="74" w:line="360" w:lineRule="auto"/>
                    <w:rPr>
                      <w:color w:val="auto"/>
                      <w:sz w:val="21"/>
                    </w:rPr>
                  </w:pPr>
                  <w:r>
                    <w:rPr>
                      <w:rFonts w:hint="eastAsia"/>
                      <w:color w:val="auto"/>
                      <w:sz w:val="21"/>
                    </w:rPr>
                    <w:t>G</w:t>
                  </w:r>
                  <w:r>
                    <w:rPr>
                      <w:color w:val="auto"/>
                      <w:sz w:val="21"/>
                    </w:rPr>
                    <w:t>1</w:t>
                  </w:r>
                </w:p>
              </w:tc>
              <w:tc>
                <w:tcPr>
                  <w:tcW w:w="590" w:type="pct"/>
                  <w:vMerge w:val="restart"/>
                  <w:shd w:val="clear" w:color="auto" w:fill="auto"/>
                  <w:vAlign w:val="center"/>
                </w:tcPr>
                <w:p w14:paraId="4F091520">
                  <w:pPr>
                    <w:pStyle w:val="70"/>
                    <w:spacing w:before="74" w:line="360" w:lineRule="auto"/>
                    <w:rPr>
                      <w:color w:val="auto"/>
                      <w:sz w:val="21"/>
                    </w:rPr>
                  </w:pPr>
                  <w:r>
                    <w:rPr>
                      <w:color w:val="auto"/>
                      <w:sz w:val="21"/>
                    </w:rPr>
                    <w:t>治理设备故障</w:t>
                  </w:r>
                  <w:r>
                    <w:rPr>
                      <w:rFonts w:hint="eastAsia"/>
                      <w:color w:val="auto"/>
                      <w:sz w:val="21"/>
                    </w:rPr>
                    <w:t>，</w:t>
                  </w:r>
                  <w:r>
                    <w:rPr>
                      <w:color w:val="auto"/>
                      <w:sz w:val="21"/>
                    </w:rPr>
                    <w:t>对废气治理效率为</w:t>
                  </w:r>
                  <w:r>
                    <w:rPr>
                      <w:rFonts w:hint="eastAsia"/>
                      <w:color w:val="auto"/>
                      <w:sz w:val="21"/>
                    </w:rPr>
                    <w:t>0</w:t>
                  </w:r>
                </w:p>
              </w:tc>
              <w:tc>
                <w:tcPr>
                  <w:tcW w:w="674" w:type="pct"/>
                  <w:shd w:val="clear" w:color="auto" w:fill="auto"/>
                  <w:vAlign w:val="center"/>
                </w:tcPr>
                <w:p w14:paraId="6D9D63EC">
                  <w:pPr>
                    <w:pStyle w:val="70"/>
                    <w:spacing w:before="74" w:line="360" w:lineRule="auto"/>
                    <w:rPr>
                      <w:rFonts w:hint="default" w:ascii="宋体" w:hAnsi="宋体" w:eastAsia="宋体" w:cs="宋体"/>
                      <w:color w:val="auto"/>
                      <w:kern w:val="0"/>
                      <w:sz w:val="21"/>
                      <w:lang w:val="en-US" w:eastAsia="zh-CN"/>
                    </w:rPr>
                  </w:pPr>
                  <w:r>
                    <w:rPr>
                      <w:rFonts w:hint="eastAsia"/>
                      <w:color w:val="auto"/>
                      <w:sz w:val="21"/>
                      <w:lang w:val="en-US" w:eastAsia="zh-CN"/>
                    </w:rPr>
                    <w:t>颗粒物</w:t>
                  </w:r>
                </w:p>
              </w:tc>
              <w:tc>
                <w:tcPr>
                  <w:tcW w:w="815" w:type="pct"/>
                  <w:shd w:val="clear" w:color="auto" w:fill="auto"/>
                  <w:vAlign w:val="center"/>
                </w:tcPr>
                <w:p w14:paraId="64B8B011">
                  <w:pPr>
                    <w:pStyle w:val="70"/>
                    <w:spacing w:before="74" w:line="360" w:lineRule="auto"/>
                    <w:rPr>
                      <w:rFonts w:hint="default" w:eastAsia="宋体"/>
                      <w:color w:val="auto"/>
                      <w:sz w:val="21"/>
                      <w:lang w:val="en-US" w:eastAsia="zh-CN"/>
                    </w:rPr>
                  </w:pPr>
                  <w:r>
                    <w:rPr>
                      <w:rFonts w:hint="eastAsia"/>
                      <w:color w:val="auto"/>
                      <w:sz w:val="21"/>
                      <w:lang w:val="en-US" w:eastAsia="zh-CN"/>
                    </w:rPr>
                    <w:t>151.125</w:t>
                  </w:r>
                </w:p>
              </w:tc>
              <w:tc>
                <w:tcPr>
                  <w:tcW w:w="745" w:type="pct"/>
                  <w:shd w:val="clear" w:color="auto" w:fill="auto"/>
                  <w:vAlign w:val="center"/>
                </w:tcPr>
                <w:p w14:paraId="61CF2FE0">
                  <w:pPr>
                    <w:pStyle w:val="70"/>
                    <w:spacing w:before="74" w:line="360" w:lineRule="auto"/>
                    <w:rPr>
                      <w:rFonts w:hint="default" w:eastAsia="宋体"/>
                      <w:color w:val="auto"/>
                      <w:sz w:val="21"/>
                      <w:lang w:val="en-US" w:eastAsia="zh-CN"/>
                    </w:rPr>
                  </w:pPr>
                  <w:r>
                    <w:rPr>
                      <w:rFonts w:hint="eastAsia"/>
                      <w:color w:val="auto"/>
                      <w:sz w:val="21"/>
                      <w:lang w:val="en-US" w:eastAsia="zh-CN"/>
                    </w:rPr>
                    <w:t>2.2669</w:t>
                  </w:r>
                </w:p>
              </w:tc>
              <w:tc>
                <w:tcPr>
                  <w:tcW w:w="555" w:type="pct"/>
                  <w:shd w:val="clear" w:color="auto" w:fill="auto"/>
                  <w:vAlign w:val="center"/>
                </w:tcPr>
                <w:p w14:paraId="62A0EF5D">
                  <w:pPr>
                    <w:pStyle w:val="70"/>
                    <w:spacing w:before="74" w:line="360" w:lineRule="auto"/>
                    <w:rPr>
                      <w:color w:val="auto"/>
                      <w:sz w:val="21"/>
                    </w:rPr>
                  </w:pPr>
                  <w:r>
                    <w:rPr>
                      <w:rFonts w:hint="eastAsia"/>
                      <w:color w:val="auto"/>
                      <w:sz w:val="21"/>
                    </w:rPr>
                    <w:t>/</w:t>
                  </w:r>
                </w:p>
              </w:tc>
              <w:tc>
                <w:tcPr>
                  <w:tcW w:w="530" w:type="pct"/>
                  <w:shd w:val="clear" w:color="auto" w:fill="auto"/>
                  <w:vAlign w:val="center"/>
                </w:tcPr>
                <w:p w14:paraId="598AABFA">
                  <w:pPr>
                    <w:pStyle w:val="70"/>
                    <w:spacing w:before="74" w:line="360" w:lineRule="auto"/>
                    <w:rPr>
                      <w:color w:val="auto"/>
                      <w:sz w:val="21"/>
                      <w:lang w:val="en-US"/>
                    </w:rPr>
                  </w:pPr>
                  <w:r>
                    <w:rPr>
                      <w:rFonts w:hint="eastAsia"/>
                      <w:color w:val="auto"/>
                      <w:sz w:val="21"/>
                      <w:lang w:val="en-US"/>
                    </w:rPr>
                    <w:t>/</w:t>
                  </w:r>
                </w:p>
              </w:tc>
              <w:tc>
                <w:tcPr>
                  <w:tcW w:w="479" w:type="pct"/>
                  <w:vMerge w:val="restart"/>
                  <w:shd w:val="clear" w:color="auto" w:fill="auto"/>
                  <w:vAlign w:val="center"/>
                </w:tcPr>
                <w:p w14:paraId="26F49C26">
                  <w:pPr>
                    <w:pStyle w:val="70"/>
                    <w:spacing w:before="74" w:line="360" w:lineRule="auto"/>
                    <w:rPr>
                      <w:color w:val="auto"/>
                    </w:rPr>
                  </w:pPr>
                  <w:r>
                    <w:rPr>
                      <w:color w:val="auto"/>
                      <w:sz w:val="21"/>
                    </w:rPr>
                    <w:t>停止生产</w:t>
                  </w:r>
                  <w:r>
                    <w:rPr>
                      <w:rFonts w:hint="eastAsia"/>
                      <w:color w:val="auto"/>
                      <w:sz w:val="21"/>
                    </w:rPr>
                    <w:t>，</w:t>
                  </w:r>
                  <w:r>
                    <w:rPr>
                      <w:color w:val="auto"/>
                      <w:sz w:val="21"/>
                    </w:rPr>
                    <w:t>检修治理设备</w:t>
                  </w:r>
                </w:p>
              </w:tc>
            </w:tr>
            <w:tr w14:paraId="09853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427" w:hRule="atLeast"/>
                <w:jc w:val="center"/>
              </w:trPr>
              <w:tc>
                <w:tcPr>
                  <w:tcW w:w="268" w:type="pct"/>
                  <w:vMerge w:val="restart"/>
                  <w:shd w:val="clear" w:color="auto" w:fill="auto"/>
                  <w:vAlign w:val="center"/>
                </w:tcPr>
                <w:p w14:paraId="7253FA33">
                  <w:pPr>
                    <w:pStyle w:val="70"/>
                    <w:spacing w:before="74" w:line="360" w:lineRule="auto"/>
                    <w:rPr>
                      <w:color w:val="auto"/>
                    </w:rPr>
                  </w:pPr>
                  <w:r>
                    <w:rPr>
                      <w:rFonts w:hint="eastAsia"/>
                      <w:color w:val="auto"/>
                      <w:sz w:val="21"/>
                    </w:rPr>
                    <w:t>2</w:t>
                  </w:r>
                </w:p>
              </w:tc>
              <w:tc>
                <w:tcPr>
                  <w:tcW w:w="339" w:type="pct"/>
                  <w:vMerge w:val="restart"/>
                  <w:shd w:val="clear" w:color="auto" w:fill="auto"/>
                  <w:vAlign w:val="center"/>
                </w:tcPr>
                <w:p w14:paraId="6149FA16">
                  <w:pPr>
                    <w:pStyle w:val="70"/>
                    <w:spacing w:before="74" w:line="360" w:lineRule="auto"/>
                    <w:rPr>
                      <w:color w:val="auto"/>
                      <w:sz w:val="21"/>
                    </w:rPr>
                  </w:pPr>
                  <w:r>
                    <w:rPr>
                      <w:rFonts w:hint="eastAsia"/>
                      <w:color w:val="auto"/>
                      <w:sz w:val="21"/>
                    </w:rPr>
                    <w:t>G</w:t>
                  </w:r>
                  <w:r>
                    <w:rPr>
                      <w:color w:val="auto"/>
                      <w:sz w:val="21"/>
                    </w:rPr>
                    <w:t>2</w:t>
                  </w:r>
                </w:p>
              </w:tc>
              <w:tc>
                <w:tcPr>
                  <w:tcW w:w="590" w:type="pct"/>
                  <w:vMerge w:val="continue"/>
                  <w:shd w:val="clear" w:color="auto" w:fill="auto"/>
                  <w:vAlign w:val="center"/>
                </w:tcPr>
                <w:p w14:paraId="423072C8">
                  <w:pPr>
                    <w:pStyle w:val="70"/>
                    <w:spacing w:before="74" w:line="360" w:lineRule="auto"/>
                    <w:rPr>
                      <w:color w:val="auto"/>
                      <w:sz w:val="21"/>
                    </w:rPr>
                  </w:pPr>
                </w:p>
              </w:tc>
              <w:tc>
                <w:tcPr>
                  <w:tcW w:w="674" w:type="pct"/>
                  <w:shd w:val="clear" w:color="auto" w:fill="auto"/>
                  <w:vAlign w:val="center"/>
                </w:tcPr>
                <w:p w14:paraId="15B6FADF">
                  <w:pPr>
                    <w:pStyle w:val="70"/>
                    <w:spacing w:before="74" w:line="360" w:lineRule="auto"/>
                    <w:rPr>
                      <w:color w:val="auto"/>
                    </w:rPr>
                  </w:pPr>
                  <w:r>
                    <w:rPr>
                      <w:rFonts w:hint="eastAsia"/>
                      <w:color w:val="auto"/>
                      <w:sz w:val="21"/>
                      <w:lang w:val="en-US" w:eastAsia="zh-CN"/>
                    </w:rPr>
                    <w:t>TVOC、</w:t>
                  </w:r>
                  <w:r>
                    <w:rPr>
                      <w:color w:val="auto"/>
                      <w:sz w:val="21"/>
                    </w:rPr>
                    <w:t>非甲烷总烃</w:t>
                  </w:r>
                </w:p>
              </w:tc>
              <w:tc>
                <w:tcPr>
                  <w:tcW w:w="815" w:type="pct"/>
                  <w:shd w:val="clear" w:color="auto" w:fill="auto"/>
                  <w:vAlign w:val="center"/>
                </w:tcPr>
                <w:p w14:paraId="3B352AD2">
                  <w:pPr>
                    <w:pStyle w:val="70"/>
                    <w:spacing w:before="74" w:line="360" w:lineRule="auto"/>
                    <w:rPr>
                      <w:rFonts w:hint="default" w:eastAsia="宋体"/>
                      <w:color w:val="auto"/>
                      <w:lang w:val="en-US" w:eastAsia="zh-CN"/>
                    </w:rPr>
                  </w:pPr>
                  <w:r>
                    <w:rPr>
                      <w:rFonts w:hint="eastAsia"/>
                      <w:bCs/>
                      <w:color w:val="auto"/>
                      <w:sz w:val="21"/>
                      <w:lang w:val="en-US" w:eastAsia="zh-CN"/>
                    </w:rPr>
                    <w:t>8.8916</w:t>
                  </w:r>
                </w:p>
              </w:tc>
              <w:tc>
                <w:tcPr>
                  <w:tcW w:w="745" w:type="pct"/>
                  <w:shd w:val="clear" w:color="auto" w:fill="auto"/>
                  <w:vAlign w:val="center"/>
                </w:tcPr>
                <w:p w14:paraId="6F75F940">
                  <w:pPr>
                    <w:pStyle w:val="70"/>
                    <w:spacing w:before="74" w:line="360" w:lineRule="auto"/>
                    <w:rPr>
                      <w:rFonts w:hint="default" w:eastAsia="宋体"/>
                      <w:color w:val="auto"/>
                      <w:lang w:val="en-US" w:eastAsia="zh-CN"/>
                    </w:rPr>
                  </w:pPr>
                  <w:r>
                    <w:rPr>
                      <w:rFonts w:hint="eastAsia"/>
                      <w:bCs/>
                      <w:color w:val="auto"/>
                      <w:sz w:val="21"/>
                    </w:rPr>
                    <w:t>0.0</w:t>
                  </w:r>
                  <w:r>
                    <w:rPr>
                      <w:rFonts w:hint="eastAsia"/>
                      <w:bCs/>
                      <w:color w:val="auto"/>
                      <w:sz w:val="21"/>
                      <w:lang w:val="en-US" w:eastAsia="zh-CN"/>
                    </w:rPr>
                    <w:t>592</w:t>
                  </w:r>
                </w:p>
              </w:tc>
              <w:tc>
                <w:tcPr>
                  <w:tcW w:w="555" w:type="pct"/>
                  <w:shd w:val="clear" w:color="auto" w:fill="auto"/>
                  <w:vAlign w:val="center"/>
                </w:tcPr>
                <w:p w14:paraId="25C4CEDC">
                  <w:pPr>
                    <w:pStyle w:val="70"/>
                    <w:spacing w:before="74" w:line="360" w:lineRule="auto"/>
                    <w:rPr>
                      <w:color w:val="auto"/>
                    </w:rPr>
                  </w:pPr>
                  <w:r>
                    <w:rPr>
                      <w:rFonts w:hint="eastAsia"/>
                      <w:color w:val="auto"/>
                      <w:sz w:val="21"/>
                    </w:rPr>
                    <w:t>/</w:t>
                  </w:r>
                </w:p>
              </w:tc>
              <w:tc>
                <w:tcPr>
                  <w:tcW w:w="530" w:type="pct"/>
                  <w:shd w:val="clear" w:color="auto" w:fill="auto"/>
                  <w:vAlign w:val="center"/>
                </w:tcPr>
                <w:p w14:paraId="500A3705">
                  <w:pPr>
                    <w:pStyle w:val="70"/>
                    <w:spacing w:before="74" w:line="360" w:lineRule="auto"/>
                    <w:rPr>
                      <w:color w:val="auto"/>
                      <w:lang w:val="en-US"/>
                    </w:rPr>
                  </w:pPr>
                  <w:r>
                    <w:rPr>
                      <w:rFonts w:hint="eastAsia"/>
                      <w:color w:val="auto"/>
                      <w:sz w:val="21"/>
                    </w:rPr>
                    <w:t>/</w:t>
                  </w:r>
                </w:p>
              </w:tc>
              <w:tc>
                <w:tcPr>
                  <w:tcW w:w="479" w:type="pct"/>
                  <w:vMerge w:val="continue"/>
                  <w:shd w:val="clear" w:color="auto" w:fill="auto"/>
                  <w:vAlign w:val="center"/>
                </w:tcPr>
                <w:p w14:paraId="624E32DF">
                  <w:pPr>
                    <w:pStyle w:val="70"/>
                    <w:spacing w:before="74" w:line="360" w:lineRule="auto"/>
                    <w:rPr>
                      <w:color w:val="auto"/>
                    </w:rPr>
                  </w:pPr>
                </w:p>
              </w:tc>
            </w:tr>
            <w:tr w14:paraId="23024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427" w:hRule="atLeast"/>
                <w:jc w:val="center"/>
              </w:trPr>
              <w:tc>
                <w:tcPr>
                  <w:tcW w:w="268" w:type="pct"/>
                  <w:vMerge w:val="continue"/>
                  <w:shd w:val="clear" w:color="auto" w:fill="auto"/>
                  <w:vAlign w:val="center"/>
                </w:tcPr>
                <w:p w14:paraId="598031BE">
                  <w:pPr>
                    <w:pStyle w:val="70"/>
                    <w:spacing w:before="74" w:line="360" w:lineRule="auto"/>
                    <w:rPr>
                      <w:color w:val="auto"/>
                    </w:rPr>
                  </w:pPr>
                </w:p>
              </w:tc>
              <w:tc>
                <w:tcPr>
                  <w:tcW w:w="339" w:type="pct"/>
                  <w:vMerge w:val="continue"/>
                  <w:shd w:val="clear" w:color="auto" w:fill="auto"/>
                  <w:vAlign w:val="center"/>
                </w:tcPr>
                <w:p w14:paraId="255988CC">
                  <w:pPr>
                    <w:pStyle w:val="70"/>
                    <w:spacing w:before="74" w:line="360" w:lineRule="auto"/>
                    <w:rPr>
                      <w:color w:val="auto"/>
                    </w:rPr>
                  </w:pPr>
                </w:p>
              </w:tc>
              <w:tc>
                <w:tcPr>
                  <w:tcW w:w="590" w:type="pct"/>
                  <w:vMerge w:val="continue"/>
                  <w:shd w:val="clear" w:color="auto" w:fill="auto"/>
                  <w:vAlign w:val="center"/>
                </w:tcPr>
                <w:p w14:paraId="33093990">
                  <w:pPr>
                    <w:pStyle w:val="70"/>
                    <w:spacing w:before="74" w:line="360" w:lineRule="auto"/>
                    <w:rPr>
                      <w:color w:val="auto"/>
                    </w:rPr>
                  </w:pPr>
                </w:p>
              </w:tc>
              <w:tc>
                <w:tcPr>
                  <w:tcW w:w="674" w:type="pct"/>
                  <w:shd w:val="clear" w:color="auto" w:fill="auto"/>
                  <w:vAlign w:val="center"/>
                </w:tcPr>
                <w:p w14:paraId="4B555D89">
                  <w:pPr>
                    <w:pStyle w:val="70"/>
                    <w:spacing w:before="74" w:line="360" w:lineRule="auto"/>
                    <w:rPr>
                      <w:color w:val="auto"/>
                      <w:sz w:val="21"/>
                    </w:rPr>
                  </w:pPr>
                  <w:r>
                    <w:rPr>
                      <w:color w:val="auto"/>
                      <w:sz w:val="21"/>
                    </w:rPr>
                    <w:t>SO</w:t>
                  </w:r>
                  <w:r>
                    <w:rPr>
                      <w:color w:val="auto"/>
                      <w:sz w:val="21"/>
                      <w:vertAlign w:val="subscript"/>
                    </w:rPr>
                    <w:t>2</w:t>
                  </w:r>
                </w:p>
              </w:tc>
              <w:tc>
                <w:tcPr>
                  <w:tcW w:w="815" w:type="pct"/>
                  <w:shd w:val="clear" w:color="auto" w:fill="auto"/>
                  <w:vAlign w:val="center"/>
                </w:tcPr>
                <w:p w14:paraId="4D84547F">
                  <w:pPr>
                    <w:pStyle w:val="70"/>
                    <w:spacing w:before="74" w:line="360" w:lineRule="auto"/>
                    <w:rPr>
                      <w:rFonts w:hint="default" w:eastAsia="宋体"/>
                      <w:color w:val="auto"/>
                      <w:sz w:val="21"/>
                      <w:lang w:val="en-US" w:eastAsia="zh-CN"/>
                    </w:rPr>
                  </w:pPr>
                  <w:r>
                    <w:rPr>
                      <w:rFonts w:hint="eastAsia"/>
                      <w:color w:val="auto"/>
                      <w:sz w:val="21"/>
                      <w:lang w:val="en-US" w:eastAsia="zh-CN"/>
                    </w:rPr>
                    <w:t>1.6221</w:t>
                  </w:r>
                </w:p>
              </w:tc>
              <w:tc>
                <w:tcPr>
                  <w:tcW w:w="745" w:type="pct"/>
                  <w:shd w:val="clear" w:color="auto" w:fill="auto"/>
                  <w:vAlign w:val="center"/>
                </w:tcPr>
                <w:p w14:paraId="6C64445E">
                  <w:pPr>
                    <w:pStyle w:val="70"/>
                    <w:spacing w:before="74" w:line="360" w:lineRule="auto"/>
                    <w:rPr>
                      <w:rFonts w:hint="default" w:eastAsia="宋体"/>
                      <w:color w:val="auto"/>
                      <w:sz w:val="21"/>
                      <w:lang w:val="en-US" w:eastAsia="zh-CN"/>
                    </w:rPr>
                  </w:pPr>
                  <w:r>
                    <w:rPr>
                      <w:rFonts w:hint="eastAsia"/>
                      <w:color w:val="auto"/>
                      <w:sz w:val="21"/>
                      <w:lang w:val="en-US" w:eastAsia="zh-CN"/>
                    </w:rPr>
                    <w:t>0.0108</w:t>
                  </w:r>
                </w:p>
              </w:tc>
              <w:tc>
                <w:tcPr>
                  <w:tcW w:w="934" w:type="dxa"/>
                  <w:shd w:val="clear" w:color="auto" w:fill="auto"/>
                  <w:vAlign w:val="center"/>
                </w:tcPr>
                <w:p w14:paraId="0B4E1739">
                  <w:pPr>
                    <w:pStyle w:val="70"/>
                    <w:spacing w:before="74" w:line="360" w:lineRule="auto"/>
                    <w:rPr>
                      <w:color w:val="auto"/>
                      <w:sz w:val="21"/>
                    </w:rPr>
                  </w:pPr>
                  <w:r>
                    <w:rPr>
                      <w:rFonts w:hint="eastAsia"/>
                      <w:color w:val="auto"/>
                      <w:sz w:val="21"/>
                    </w:rPr>
                    <w:t>/</w:t>
                  </w:r>
                </w:p>
              </w:tc>
              <w:tc>
                <w:tcPr>
                  <w:tcW w:w="891" w:type="dxa"/>
                  <w:shd w:val="clear" w:color="auto" w:fill="auto"/>
                  <w:vAlign w:val="center"/>
                </w:tcPr>
                <w:p w14:paraId="76232086">
                  <w:pPr>
                    <w:pStyle w:val="70"/>
                    <w:spacing w:before="74" w:line="360" w:lineRule="auto"/>
                    <w:rPr>
                      <w:color w:val="auto"/>
                      <w:sz w:val="21"/>
                    </w:rPr>
                  </w:pPr>
                  <w:r>
                    <w:rPr>
                      <w:rFonts w:hint="eastAsia"/>
                      <w:color w:val="auto"/>
                      <w:sz w:val="21"/>
                      <w:lang w:val="en-US"/>
                    </w:rPr>
                    <w:t>/</w:t>
                  </w:r>
                </w:p>
              </w:tc>
              <w:tc>
                <w:tcPr>
                  <w:tcW w:w="479" w:type="pct"/>
                  <w:vMerge w:val="continue"/>
                  <w:shd w:val="clear" w:color="auto" w:fill="auto"/>
                  <w:vAlign w:val="center"/>
                </w:tcPr>
                <w:p w14:paraId="30F27A98">
                  <w:pPr>
                    <w:pStyle w:val="70"/>
                    <w:spacing w:before="74" w:line="360" w:lineRule="auto"/>
                    <w:rPr>
                      <w:color w:val="auto"/>
                      <w:sz w:val="21"/>
                    </w:rPr>
                  </w:pPr>
                </w:p>
              </w:tc>
            </w:tr>
            <w:tr w14:paraId="7AEB1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427" w:hRule="atLeast"/>
                <w:jc w:val="center"/>
              </w:trPr>
              <w:tc>
                <w:tcPr>
                  <w:tcW w:w="268" w:type="pct"/>
                  <w:vMerge w:val="continue"/>
                  <w:shd w:val="clear" w:color="auto" w:fill="auto"/>
                  <w:vAlign w:val="center"/>
                </w:tcPr>
                <w:p w14:paraId="2916ACB0">
                  <w:pPr>
                    <w:pStyle w:val="70"/>
                    <w:spacing w:before="74" w:line="360" w:lineRule="auto"/>
                    <w:rPr>
                      <w:color w:val="auto"/>
                      <w:sz w:val="21"/>
                    </w:rPr>
                  </w:pPr>
                </w:p>
              </w:tc>
              <w:tc>
                <w:tcPr>
                  <w:tcW w:w="339" w:type="pct"/>
                  <w:vMerge w:val="continue"/>
                  <w:shd w:val="clear" w:color="auto" w:fill="auto"/>
                  <w:vAlign w:val="center"/>
                </w:tcPr>
                <w:p w14:paraId="548C5115">
                  <w:pPr>
                    <w:pStyle w:val="70"/>
                    <w:spacing w:before="74" w:line="360" w:lineRule="auto"/>
                    <w:rPr>
                      <w:color w:val="auto"/>
                      <w:sz w:val="21"/>
                    </w:rPr>
                  </w:pPr>
                </w:p>
              </w:tc>
              <w:tc>
                <w:tcPr>
                  <w:tcW w:w="590" w:type="pct"/>
                  <w:vMerge w:val="continue"/>
                  <w:shd w:val="clear" w:color="auto" w:fill="auto"/>
                  <w:vAlign w:val="center"/>
                </w:tcPr>
                <w:p w14:paraId="27BE86BF">
                  <w:pPr>
                    <w:pStyle w:val="70"/>
                    <w:spacing w:before="74" w:line="360" w:lineRule="auto"/>
                    <w:rPr>
                      <w:color w:val="auto"/>
                      <w:sz w:val="21"/>
                    </w:rPr>
                  </w:pPr>
                </w:p>
              </w:tc>
              <w:tc>
                <w:tcPr>
                  <w:tcW w:w="674" w:type="pct"/>
                  <w:shd w:val="clear" w:color="auto" w:fill="auto"/>
                  <w:vAlign w:val="center"/>
                </w:tcPr>
                <w:p w14:paraId="67307465">
                  <w:pPr>
                    <w:pStyle w:val="70"/>
                    <w:spacing w:before="74" w:line="360" w:lineRule="auto"/>
                    <w:rPr>
                      <w:color w:val="auto"/>
                      <w:sz w:val="21"/>
                    </w:rPr>
                  </w:pPr>
                  <w:r>
                    <w:rPr>
                      <w:color w:val="auto"/>
                      <w:sz w:val="21"/>
                    </w:rPr>
                    <w:t>NOx</w:t>
                  </w:r>
                </w:p>
              </w:tc>
              <w:tc>
                <w:tcPr>
                  <w:tcW w:w="815" w:type="pct"/>
                  <w:shd w:val="clear" w:color="auto" w:fill="auto"/>
                  <w:vAlign w:val="center"/>
                </w:tcPr>
                <w:p w14:paraId="24C16AE4">
                  <w:pPr>
                    <w:pStyle w:val="70"/>
                    <w:spacing w:before="74" w:line="360" w:lineRule="auto"/>
                    <w:rPr>
                      <w:rFonts w:hint="default" w:eastAsia="宋体"/>
                      <w:color w:val="auto"/>
                      <w:sz w:val="21"/>
                      <w:lang w:val="en-US" w:eastAsia="zh-CN"/>
                    </w:rPr>
                  </w:pPr>
                  <w:r>
                    <w:rPr>
                      <w:rFonts w:hint="eastAsia"/>
                      <w:color w:val="auto"/>
                      <w:sz w:val="21"/>
                      <w:lang w:val="en-US" w:eastAsia="zh-CN"/>
                    </w:rPr>
                    <w:t>14.1083</w:t>
                  </w:r>
                </w:p>
              </w:tc>
              <w:tc>
                <w:tcPr>
                  <w:tcW w:w="745" w:type="pct"/>
                  <w:shd w:val="clear" w:color="auto" w:fill="auto"/>
                  <w:vAlign w:val="center"/>
                </w:tcPr>
                <w:p w14:paraId="45B4D6E9">
                  <w:pPr>
                    <w:pStyle w:val="70"/>
                    <w:spacing w:before="74" w:line="360" w:lineRule="auto"/>
                    <w:rPr>
                      <w:rFonts w:hint="default" w:eastAsia="宋体"/>
                      <w:color w:val="auto"/>
                      <w:sz w:val="21"/>
                      <w:lang w:val="en-US" w:eastAsia="zh-CN"/>
                    </w:rPr>
                  </w:pPr>
                  <w:r>
                    <w:rPr>
                      <w:rFonts w:hint="eastAsia"/>
                      <w:color w:val="auto"/>
                      <w:sz w:val="21"/>
                      <w:lang w:val="en-US" w:eastAsia="zh-CN"/>
                    </w:rPr>
                    <w:t>0.0939</w:t>
                  </w:r>
                </w:p>
              </w:tc>
              <w:tc>
                <w:tcPr>
                  <w:tcW w:w="934" w:type="dxa"/>
                  <w:shd w:val="clear" w:color="auto" w:fill="auto"/>
                  <w:vAlign w:val="center"/>
                </w:tcPr>
                <w:p w14:paraId="73CFFA56">
                  <w:pPr>
                    <w:pStyle w:val="70"/>
                    <w:spacing w:before="74" w:line="360" w:lineRule="auto"/>
                    <w:rPr>
                      <w:color w:val="auto"/>
                      <w:sz w:val="21"/>
                    </w:rPr>
                  </w:pPr>
                  <w:r>
                    <w:rPr>
                      <w:rFonts w:hint="eastAsia"/>
                      <w:color w:val="auto"/>
                      <w:sz w:val="21"/>
                    </w:rPr>
                    <w:t>/</w:t>
                  </w:r>
                </w:p>
              </w:tc>
              <w:tc>
                <w:tcPr>
                  <w:tcW w:w="891" w:type="dxa"/>
                  <w:shd w:val="clear" w:color="auto" w:fill="auto"/>
                  <w:vAlign w:val="center"/>
                </w:tcPr>
                <w:p w14:paraId="3E02DA3A">
                  <w:pPr>
                    <w:pStyle w:val="70"/>
                    <w:spacing w:before="74" w:line="360" w:lineRule="auto"/>
                    <w:rPr>
                      <w:color w:val="auto"/>
                      <w:sz w:val="21"/>
                    </w:rPr>
                  </w:pPr>
                  <w:r>
                    <w:rPr>
                      <w:rFonts w:hint="eastAsia"/>
                      <w:color w:val="auto"/>
                      <w:sz w:val="21"/>
                      <w:lang w:val="en-US"/>
                    </w:rPr>
                    <w:t>/</w:t>
                  </w:r>
                </w:p>
              </w:tc>
              <w:tc>
                <w:tcPr>
                  <w:tcW w:w="479" w:type="pct"/>
                  <w:vMerge w:val="continue"/>
                  <w:shd w:val="clear" w:color="auto" w:fill="auto"/>
                  <w:vAlign w:val="center"/>
                </w:tcPr>
                <w:p w14:paraId="0EDAC962">
                  <w:pPr>
                    <w:pStyle w:val="70"/>
                    <w:spacing w:before="74" w:line="360" w:lineRule="auto"/>
                    <w:rPr>
                      <w:color w:val="auto"/>
                      <w:sz w:val="21"/>
                    </w:rPr>
                  </w:pPr>
                </w:p>
              </w:tc>
            </w:tr>
            <w:tr w14:paraId="7235C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427" w:hRule="atLeast"/>
                <w:jc w:val="center"/>
              </w:trPr>
              <w:tc>
                <w:tcPr>
                  <w:tcW w:w="268" w:type="pct"/>
                  <w:vMerge w:val="continue"/>
                  <w:shd w:val="clear" w:color="auto" w:fill="auto"/>
                  <w:vAlign w:val="center"/>
                </w:tcPr>
                <w:p w14:paraId="225030EF">
                  <w:pPr>
                    <w:pStyle w:val="70"/>
                    <w:spacing w:before="74" w:line="360" w:lineRule="auto"/>
                    <w:rPr>
                      <w:color w:val="auto"/>
                      <w:sz w:val="21"/>
                    </w:rPr>
                  </w:pPr>
                </w:p>
              </w:tc>
              <w:tc>
                <w:tcPr>
                  <w:tcW w:w="339" w:type="pct"/>
                  <w:vMerge w:val="continue"/>
                  <w:shd w:val="clear" w:color="auto" w:fill="auto"/>
                  <w:vAlign w:val="center"/>
                </w:tcPr>
                <w:p w14:paraId="38E74E38">
                  <w:pPr>
                    <w:pStyle w:val="70"/>
                    <w:spacing w:before="74" w:line="360" w:lineRule="auto"/>
                    <w:rPr>
                      <w:color w:val="auto"/>
                      <w:sz w:val="21"/>
                    </w:rPr>
                  </w:pPr>
                </w:p>
              </w:tc>
              <w:tc>
                <w:tcPr>
                  <w:tcW w:w="590" w:type="pct"/>
                  <w:vMerge w:val="continue"/>
                  <w:shd w:val="clear" w:color="auto" w:fill="auto"/>
                  <w:vAlign w:val="center"/>
                </w:tcPr>
                <w:p w14:paraId="25EB2E7D">
                  <w:pPr>
                    <w:pStyle w:val="70"/>
                    <w:spacing w:before="74" w:line="360" w:lineRule="auto"/>
                    <w:rPr>
                      <w:color w:val="auto"/>
                      <w:sz w:val="21"/>
                    </w:rPr>
                  </w:pPr>
                </w:p>
              </w:tc>
              <w:tc>
                <w:tcPr>
                  <w:tcW w:w="674" w:type="pct"/>
                  <w:shd w:val="clear" w:color="auto" w:fill="auto"/>
                  <w:vAlign w:val="center"/>
                </w:tcPr>
                <w:p w14:paraId="2EA4DC64">
                  <w:pPr>
                    <w:pStyle w:val="70"/>
                    <w:spacing w:before="74" w:line="360" w:lineRule="auto"/>
                    <w:rPr>
                      <w:color w:val="auto"/>
                      <w:sz w:val="21"/>
                    </w:rPr>
                  </w:pPr>
                  <w:r>
                    <w:rPr>
                      <w:color w:val="auto"/>
                      <w:sz w:val="21"/>
                    </w:rPr>
                    <w:t>颗粒物</w:t>
                  </w:r>
                </w:p>
              </w:tc>
              <w:tc>
                <w:tcPr>
                  <w:tcW w:w="815" w:type="pct"/>
                  <w:shd w:val="clear" w:color="auto" w:fill="auto"/>
                  <w:vAlign w:val="center"/>
                </w:tcPr>
                <w:p w14:paraId="734694D2">
                  <w:pPr>
                    <w:pStyle w:val="70"/>
                    <w:spacing w:before="74" w:line="360" w:lineRule="auto"/>
                    <w:rPr>
                      <w:rFonts w:hint="default" w:eastAsia="宋体"/>
                      <w:color w:val="auto"/>
                      <w:sz w:val="21"/>
                      <w:lang w:val="en-US" w:eastAsia="zh-CN"/>
                    </w:rPr>
                  </w:pPr>
                  <w:r>
                    <w:rPr>
                      <w:rFonts w:hint="eastAsia"/>
                      <w:color w:val="auto"/>
                      <w:sz w:val="21"/>
                      <w:lang w:val="en-US" w:eastAsia="zh-CN"/>
                    </w:rPr>
                    <w:t>0.5207</w:t>
                  </w:r>
                </w:p>
              </w:tc>
              <w:tc>
                <w:tcPr>
                  <w:tcW w:w="745" w:type="pct"/>
                  <w:shd w:val="clear" w:color="auto" w:fill="auto"/>
                  <w:vAlign w:val="center"/>
                </w:tcPr>
                <w:p w14:paraId="6548BB1C">
                  <w:pPr>
                    <w:pStyle w:val="70"/>
                    <w:spacing w:before="74" w:line="360" w:lineRule="auto"/>
                    <w:rPr>
                      <w:rFonts w:hint="default" w:eastAsia="宋体"/>
                      <w:color w:val="auto"/>
                      <w:sz w:val="21"/>
                      <w:lang w:val="en-US" w:eastAsia="zh-CN"/>
                    </w:rPr>
                  </w:pPr>
                  <w:r>
                    <w:rPr>
                      <w:rFonts w:hint="eastAsia"/>
                      <w:color w:val="auto"/>
                      <w:sz w:val="21"/>
                      <w:lang w:val="en-US" w:eastAsia="zh-CN"/>
                    </w:rPr>
                    <w:t>0.0035</w:t>
                  </w:r>
                </w:p>
              </w:tc>
              <w:tc>
                <w:tcPr>
                  <w:tcW w:w="934" w:type="dxa"/>
                  <w:shd w:val="clear" w:color="auto" w:fill="auto"/>
                  <w:vAlign w:val="center"/>
                </w:tcPr>
                <w:p w14:paraId="18D61FCA">
                  <w:pPr>
                    <w:pStyle w:val="70"/>
                    <w:spacing w:before="74" w:line="360" w:lineRule="auto"/>
                    <w:rPr>
                      <w:color w:val="auto"/>
                      <w:sz w:val="21"/>
                    </w:rPr>
                  </w:pPr>
                  <w:r>
                    <w:rPr>
                      <w:rFonts w:hint="eastAsia"/>
                      <w:color w:val="auto"/>
                      <w:sz w:val="21"/>
                    </w:rPr>
                    <w:t>/</w:t>
                  </w:r>
                </w:p>
              </w:tc>
              <w:tc>
                <w:tcPr>
                  <w:tcW w:w="891" w:type="dxa"/>
                  <w:shd w:val="clear" w:color="auto" w:fill="auto"/>
                  <w:vAlign w:val="center"/>
                </w:tcPr>
                <w:p w14:paraId="18F9B4D4">
                  <w:pPr>
                    <w:pStyle w:val="70"/>
                    <w:spacing w:before="74" w:line="360" w:lineRule="auto"/>
                    <w:rPr>
                      <w:color w:val="auto"/>
                      <w:sz w:val="21"/>
                    </w:rPr>
                  </w:pPr>
                  <w:r>
                    <w:rPr>
                      <w:rFonts w:hint="eastAsia"/>
                      <w:color w:val="auto"/>
                      <w:sz w:val="21"/>
                      <w:lang w:val="en-US"/>
                    </w:rPr>
                    <w:t>/</w:t>
                  </w:r>
                </w:p>
              </w:tc>
              <w:tc>
                <w:tcPr>
                  <w:tcW w:w="479" w:type="pct"/>
                  <w:vMerge w:val="continue"/>
                  <w:shd w:val="clear" w:color="auto" w:fill="auto"/>
                  <w:vAlign w:val="center"/>
                </w:tcPr>
                <w:p w14:paraId="7D1E1F6F">
                  <w:pPr>
                    <w:pStyle w:val="70"/>
                    <w:spacing w:before="74" w:line="360" w:lineRule="auto"/>
                    <w:rPr>
                      <w:color w:val="auto"/>
                      <w:sz w:val="21"/>
                    </w:rPr>
                  </w:pPr>
                </w:p>
              </w:tc>
            </w:tr>
            <w:tr w14:paraId="79BDB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27" w:hRule="atLeast"/>
                <w:jc w:val="center"/>
              </w:trPr>
              <w:tc>
                <w:tcPr>
                  <w:tcW w:w="268" w:type="pct"/>
                  <w:vMerge w:val="continue"/>
                  <w:shd w:val="clear" w:color="auto" w:fill="auto"/>
                  <w:vAlign w:val="center"/>
                </w:tcPr>
                <w:p w14:paraId="1EBE2390">
                  <w:pPr>
                    <w:pStyle w:val="70"/>
                    <w:spacing w:before="74" w:line="360" w:lineRule="auto"/>
                    <w:rPr>
                      <w:color w:val="auto"/>
                      <w:sz w:val="21"/>
                    </w:rPr>
                  </w:pPr>
                </w:p>
              </w:tc>
              <w:tc>
                <w:tcPr>
                  <w:tcW w:w="339" w:type="pct"/>
                  <w:vMerge w:val="continue"/>
                  <w:shd w:val="clear" w:color="auto" w:fill="auto"/>
                  <w:vAlign w:val="center"/>
                </w:tcPr>
                <w:p w14:paraId="77B4D091">
                  <w:pPr>
                    <w:pStyle w:val="70"/>
                    <w:spacing w:before="74" w:line="360" w:lineRule="auto"/>
                    <w:rPr>
                      <w:color w:val="auto"/>
                      <w:sz w:val="21"/>
                    </w:rPr>
                  </w:pPr>
                </w:p>
              </w:tc>
              <w:tc>
                <w:tcPr>
                  <w:tcW w:w="590" w:type="pct"/>
                  <w:vMerge w:val="continue"/>
                  <w:shd w:val="clear" w:color="auto" w:fill="auto"/>
                  <w:vAlign w:val="center"/>
                </w:tcPr>
                <w:p w14:paraId="11F9516E">
                  <w:pPr>
                    <w:pStyle w:val="70"/>
                    <w:spacing w:before="74" w:line="360" w:lineRule="auto"/>
                    <w:rPr>
                      <w:color w:val="auto"/>
                      <w:sz w:val="21"/>
                    </w:rPr>
                  </w:pPr>
                </w:p>
              </w:tc>
              <w:tc>
                <w:tcPr>
                  <w:tcW w:w="674" w:type="pct"/>
                  <w:shd w:val="clear" w:color="auto" w:fill="auto"/>
                  <w:vAlign w:val="center"/>
                </w:tcPr>
                <w:p w14:paraId="7ADA411A">
                  <w:pPr>
                    <w:pStyle w:val="70"/>
                    <w:spacing w:before="74" w:line="360" w:lineRule="auto"/>
                    <w:rPr>
                      <w:rFonts w:hint="default" w:eastAsia="宋体"/>
                      <w:color w:val="auto"/>
                      <w:sz w:val="21"/>
                      <w:lang w:val="en-US" w:eastAsia="zh-CN"/>
                    </w:rPr>
                  </w:pPr>
                  <w:r>
                    <w:rPr>
                      <w:rFonts w:hint="eastAsia"/>
                      <w:color w:val="auto"/>
                      <w:sz w:val="21"/>
                      <w:lang w:val="en-US" w:eastAsia="zh-CN"/>
                    </w:rPr>
                    <w:t>臭气浓度</w:t>
                  </w:r>
                </w:p>
              </w:tc>
              <w:tc>
                <w:tcPr>
                  <w:tcW w:w="1371" w:type="dxa"/>
                  <w:shd w:val="clear" w:color="auto" w:fill="auto"/>
                  <w:vAlign w:val="center"/>
                </w:tcPr>
                <w:p w14:paraId="36E441B6">
                  <w:pPr>
                    <w:pStyle w:val="70"/>
                    <w:spacing w:before="74" w:line="360" w:lineRule="auto"/>
                    <w:rPr>
                      <w:color w:val="auto"/>
                      <w:sz w:val="21"/>
                    </w:rPr>
                  </w:pPr>
                  <w:r>
                    <w:rPr>
                      <w:rFonts w:hint="eastAsia"/>
                      <w:color w:val="auto"/>
                      <w:sz w:val="21"/>
                    </w:rPr>
                    <w:t>/</w:t>
                  </w:r>
                </w:p>
              </w:tc>
              <w:tc>
                <w:tcPr>
                  <w:tcW w:w="1253" w:type="dxa"/>
                  <w:shd w:val="clear" w:color="auto" w:fill="auto"/>
                  <w:vAlign w:val="center"/>
                </w:tcPr>
                <w:p w14:paraId="6A3681A7">
                  <w:pPr>
                    <w:pStyle w:val="70"/>
                    <w:spacing w:before="74" w:line="360" w:lineRule="auto"/>
                    <w:rPr>
                      <w:color w:val="auto"/>
                      <w:sz w:val="21"/>
                    </w:rPr>
                  </w:pPr>
                  <w:r>
                    <w:rPr>
                      <w:rFonts w:hint="eastAsia"/>
                      <w:color w:val="auto"/>
                      <w:sz w:val="21"/>
                    </w:rPr>
                    <w:t>/</w:t>
                  </w:r>
                </w:p>
              </w:tc>
              <w:tc>
                <w:tcPr>
                  <w:tcW w:w="934" w:type="dxa"/>
                  <w:shd w:val="clear" w:color="auto" w:fill="auto"/>
                  <w:vAlign w:val="center"/>
                </w:tcPr>
                <w:p w14:paraId="22060807">
                  <w:pPr>
                    <w:pStyle w:val="70"/>
                    <w:spacing w:before="74" w:line="360" w:lineRule="auto"/>
                    <w:rPr>
                      <w:color w:val="auto"/>
                      <w:sz w:val="21"/>
                    </w:rPr>
                  </w:pPr>
                  <w:r>
                    <w:rPr>
                      <w:rFonts w:hint="eastAsia"/>
                      <w:color w:val="auto"/>
                      <w:sz w:val="21"/>
                    </w:rPr>
                    <w:t>/</w:t>
                  </w:r>
                </w:p>
              </w:tc>
              <w:tc>
                <w:tcPr>
                  <w:tcW w:w="891" w:type="dxa"/>
                  <w:shd w:val="clear" w:color="auto" w:fill="auto"/>
                  <w:vAlign w:val="center"/>
                </w:tcPr>
                <w:p w14:paraId="52BE5A86">
                  <w:pPr>
                    <w:pStyle w:val="70"/>
                    <w:spacing w:before="74" w:line="360" w:lineRule="auto"/>
                    <w:rPr>
                      <w:color w:val="auto"/>
                      <w:sz w:val="21"/>
                    </w:rPr>
                  </w:pPr>
                  <w:r>
                    <w:rPr>
                      <w:rFonts w:hint="eastAsia"/>
                      <w:color w:val="auto"/>
                      <w:sz w:val="21"/>
                    </w:rPr>
                    <w:t>/</w:t>
                  </w:r>
                </w:p>
              </w:tc>
              <w:tc>
                <w:tcPr>
                  <w:tcW w:w="479" w:type="pct"/>
                  <w:vMerge w:val="continue"/>
                  <w:shd w:val="clear" w:color="auto" w:fill="auto"/>
                  <w:vAlign w:val="center"/>
                </w:tcPr>
                <w:p w14:paraId="63379699">
                  <w:pPr>
                    <w:pStyle w:val="70"/>
                    <w:spacing w:before="74" w:line="360" w:lineRule="auto"/>
                    <w:rPr>
                      <w:color w:val="auto"/>
                      <w:sz w:val="21"/>
                    </w:rPr>
                  </w:pPr>
                </w:p>
              </w:tc>
            </w:tr>
            <w:tr w14:paraId="02531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27" w:hRule="atLeast"/>
                <w:jc w:val="center"/>
              </w:trPr>
              <w:tc>
                <w:tcPr>
                  <w:tcW w:w="268" w:type="pct"/>
                  <w:vMerge w:val="continue"/>
                  <w:shd w:val="clear" w:color="auto" w:fill="auto"/>
                  <w:vAlign w:val="center"/>
                </w:tcPr>
                <w:p w14:paraId="1CC56893">
                  <w:pPr>
                    <w:pStyle w:val="70"/>
                    <w:spacing w:before="74" w:line="360" w:lineRule="auto"/>
                    <w:rPr>
                      <w:color w:val="auto"/>
                      <w:sz w:val="21"/>
                    </w:rPr>
                  </w:pPr>
                </w:p>
              </w:tc>
              <w:tc>
                <w:tcPr>
                  <w:tcW w:w="339" w:type="pct"/>
                  <w:vMerge w:val="continue"/>
                  <w:shd w:val="clear" w:color="auto" w:fill="auto"/>
                  <w:vAlign w:val="center"/>
                </w:tcPr>
                <w:p w14:paraId="6481A795">
                  <w:pPr>
                    <w:pStyle w:val="70"/>
                    <w:spacing w:before="74" w:line="360" w:lineRule="auto"/>
                    <w:rPr>
                      <w:color w:val="auto"/>
                      <w:sz w:val="21"/>
                    </w:rPr>
                  </w:pPr>
                </w:p>
              </w:tc>
              <w:tc>
                <w:tcPr>
                  <w:tcW w:w="590" w:type="pct"/>
                  <w:vMerge w:val="continue"/>
                  <w:shd w:val="clear" w:color="auto" w:fill="auto"/>
                  <w:vAlign w:val="center"/>
                </w:tcPr>
                <w:p w14:paraId="5B064944">
                  <w:pPr>
                    <w:pStyle w:val="70"/>
                    <w:spacing w:before="74" w:line="360" w:lineRule="auto"/>
                    <w:rPr>
                      <w:color w:val="auto"/>
                      <w:sz w:val="21"/>
                    </w:rPr>
                  </w:pPr>
                </w:p>
              </w:tc>
              <w:tc>
                <w:tcPr>
                  <w:tcW w:w="674" w:type="pct"/>
                  <w:shd w:val="clear" w:color="auto" w:fill="auto"/>
                  <w:vAlign w:val="center"/>
                </w:tcPr>
                <w:p w14:paraId="26149C4D">
                  <w:pPr>
                    <w:pStyle w:val="70"/>
                    <w:spacing w:before="74" w:line="360" w:lineRule="auto"/>
                    <w:rPr>
                      <w:rFonts w:hint="default" w:eastAsia="宋体"/>
                      <w:color w:val="auto"/>
                      <w:sz w:val="21"/>
                      <w:lang w:val="en-US" w:eastAsia="zh-CN"/>
                    </w:rPr>
                  </w:pPr>
                  <w:r>
                    <w:rPr>
                      <w:rFonts w:hint="eastAsia"/>
                      <w:color w:val="auto"/>
                      <w:sz w:val="21"/>
                      <w:lang w:val="en-US" w:eastAsia="zh-CN"/>
                    </w:rPr>
                    <w:t>林格曼黑度</w:t>
                  </w:r>
                </w:p>
              </w:tc>
              <w:tc>
                <w:tcPr>
                  <w:tcW w:w="1371" w:type="dxa"/>
                  <w:shd w:val="clear" w:color="auto" w:fill="auto"/>
                  <w:vAlign w:val="center"/>
                </w:tcPr>
                <w:p w14:paraId="3EF3E096">
                  <w:pPr>
                    <w:pStyle w:val="70"/>
                    <w:spacing w:before="74" w:line="360" w:lineRule="auto"/>
                    <w:rPr>
                      <w:color w:val="auto"/>
                      <w:sz w:val="21"/>
                    </w:rPr>
                  </w:pPr>
                  <w:r>
                    <w:rPr>
                      <w:rFonts w:hint="eastAsia"/>
                      <w:color w:val="auto"/>
                      <w:sz w:val="21"/>
                    </w:rPr>
                    <w:t>/</w:t>
                  </w:r>
                </w:p>
              </w:tc>
              <w:tc>
                <w:tcPr>
                  <w:tcW w:w="1253" w:type="dxa"/>
                  <w:shd w:val="clear" w:color="auto" w:fill="auto"/>
                  <w:vAlign w:val="center"/>
                </w:tcPr>
                <w:p w14:paraId="0C5D28A1">
                  <w:pPr>
                    <w:pStyle w:val="70"/>
                    <w:spacing w:before="74" w:line="360" w:lineRule="auto"/>
                    <w:rPr>
                      <w:color w:val="auto"/>
                      <w:sz w:val="21"/>
                    </w:rPr>
                  </w:pPr>
                  <w:r>
                    <w:rPr>
                      <w:rFonts w:hint="eastAsia"/>
                      <w:color w:val="auto"/>
                      <w:sz w:val="21"/>
                    </w:rPr>
                    <w:t>/</w:t>
                  </w:r>
                </w:p>
              </w:tc>
              <w:tc>
                <w:tcPr>
                  <w:tcW w:w="934" w:type="dxa"/>
                  <w:shd w:val="clear" w:color="auto" w:fill="auto"/>
                  <w:vAlign w:val="center"/>
                </w:tcPr>
                <w:p w14:paraId="731593D3">
                  <w:pPr>
                    <w:pStyle w:val="70"/>
                    <w:spacing w:before="74" w:line="360" w:lineRule="auto"/>
                    <w:rPr>
                      <w:color w:val="auto"/>
                      <w:sz w:val="21"/>
                    </w:rPr>
                  </w:pPr>
                  <w:r>
                    <w:rPr>
                      <w:rFonts w:hint="eastAsia"/>
                      <w:color w:val="auto"/>
                      <w:sz w:val="21"/>
                    </w:rPr>
                    <w:t>/</w:t>
                  </w:r>
                </w:p>
              </w:tc>
              <w:tc>
                <w:tcPr>
                  <w:tcW w:w="891" w:type="dxa"/>
                  <w:shd w:val="clear" w:color="auto" w:fill="auto"/>
                  <w:vAlign w:val="center"/>
                </w:tcPr>
                <w:p w14:paraId="66C87118">
                  <w:pPr>
                    <w:pStyle w:val="70"/>
                    <w:spacing w:before="74" w:line="360" w:lineRule="auto"/>
                    <w:rPr>
                      <w:color w:val="auto"/>
                      <w:sz w:val="21"/>
                    </w:rPr>
                  </w:pPr>
                  <w:r>
                    <w:rPr>
                      <w:rFonts w:hint="eastAsia"/>
                      <w:color w:val="auto"/>
                      <w:sz w:val="21"/>
                    </w:rPr>
                    <w:t>/</w:t>
                  </w:r>
                </w:p>
              </w:tc>
              <w:tc>
                <w:tcPr>
                  <w:tcW w:w="479" w:type="pct"/>
                  <w:vMerge w:val="continue"/>
                  <w:shd w:val="clear" w:color="auto" w:fill="auto"/>
                  <w:vAlign w:val="center"/>
                </w:tcPr>
                <w:p w14:paraId="07473C27">
                  <w:pPr>
                    <w:pStyle w:val="70"/>
                    <w:spacing w:before="74" w:line="360" w:lineRule="auto"/>
                    <w:rPr>
                      <w:color w:val="auto"/>
                      <w:sz w:val="21"/>
                    </w:rPr>
                  </w:pPr>
                </w:p>
              </w:tc>
            </w:tr>
          </w:tbl>
          <w:p w14:paraId="42533D99">
            <w:pPr>
              <w:pStyle w:val="9"/>
              <w:spacing w:line="360" w:lineRule="auto"/>
              <w:ind w:left="630" w:leftChars="0" w:firstLineChars="0"/>
              <w:rPr>
                <w:color w:val="auto"/>
                <w:szCs w:val="21"/>
              </w:rPr>
            </w:pPr>
            <w:r>
              <w:rPr>
                <w:rFonts w:hint="eastAsia"/>
                <w:color w:val="auto"/>
                <w:szCs w:val="21"/>
              </w:rPr>
              <w:t>项目全厂废气排放口一览表</w:t>
            </w:r>
          </w:p>
          <w:tbl>
            <w:tblPr>
              <w:tblStyle w:val="35"/>
              <w:tblW w:w="85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
              <w:gridCol w:w="982"/>
              <w:gridCol w:w="842"/>
              <w:gridCol w:w="692"/>
              <w:gridCol w:w="629"/>
              <w:gridCol w:w="1095"/>
              <w:gridCol w:w="728"/>
              <w:gridCol w:w="750"/>
              <w:gridCol w:w="792"/>
              <w:gridCol w:w="792"/>
              <w:gridCol w:w="837"/>
            </w:tblGrid>
            <w:tr w14:paraId="33D76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40" w:type="dxa"/>
                  <w:vMerge w:val="restart"/>
                  <w:shd w:val="clear" w:color="auto" w:fill="auto"/>
                  <w:noWrap/>
                  <w:vAlign w:val="center"/>
                </w:tcPr>
                <w:p w14:paraId="3E6628D8">
                  <w:pPr>
                    <w:pStyle w:val="70"/>
                    <w:spacing w:line="360" w:lineRule="auto"/>
                    <w:rPr>
                      <w:color w:val="auto"/>
                    </w:rPr>
                  </w:pPr>
                  <w:r>
                    <w:rPr>
                      <w:rFonts w:hint="eastAsia"/>
                      <w:color w:val="auto"/>
                    </w:rPr>
                    <w:t>排放口编号</w:t>
                  </w:r>
                </w:p>
              </w:tc>
              <w:tc>
                <w:tcPr>
                  <w:tcW w:w="982" w:type="dxa"/>
                  <w:vMerge w:val="restart"/>
                  <w:shd w:val="clear" w:color="auto" w:fill="auto"/>
                  <w:noWrap/>
                  <w:vAlign w:val="center"/>
                </w:tcPr>
                <w:p w14:paraId="010A9C38">
                  <w:pPr>
                    <w:pStyle w:val="70"/>
                    <w:spacing w:line="360" w:lineRule="auto"/>
                    <w:rPr>
                      <w:color w:val="auto"/>
                    </w:rPr>
                  </w:pPr>
                  <w:r>
                    <w:rPr>
                      <w:rFonts w:hint="eastAsia"/>
                      <w:color w:val="auto"/>
                    </w:rPr>
                    <w:t>废气类型</w:t>
                  </w:r>
                </w:p>
              </w:tc>
              <w:tc>
                <w:tcPr>
                  <w:tcW w:w="842" w:type="dxa"/>
                  <w:vMerge w:val="restart"/>
                  <w:shd w:val="clear" w:color="auto" w:fill="auto"/>
                  <w:noWrap/>
                  <w:vAlign w:val="center"/>
                </w:tcPr>
                <w:p w14:paraId="0FF57FA9">
                  <w:pPr>
                    <w:pStyle w:val="70"/>
                    <w:spacing w:line="360" w:lineRule="auto"/>
                    <w:rPr>
                      <w:color w:val="auto"/>
                    </w:rPr>
                  </w:pPr>
                  <w:r>
                    <w:rPr>
                      <w:rFonts w:hint="eastAsia"/>
                      <w:color w:val="auto"/>
                    </w:rPr>
                    <w:t>污染</w:t>
                  </w:r>
                </w:p>
                <w:p w14:paraId="16D29749">
                  <w:pPr>
                    <w:pStyle w:val="70"/>
                    <w:spacing w:line="360" w:lineRule="auto"/>
                    <w:rPr>
                      <w:color w:val="auto"/>
                    </w:rPr>
                  </w:pPr>
                  <w:r>
                    <w:rPr>
                      <w:rFonts w:hint="eastAsia"/>
                      <w:color w:val="auto"/>
                    </w:rPr>
                    <w:t>物种类</w:t>
                  </w:r>
                </w:p>
              </w:tc>
              <w:tc>
                <w:tcPr>
                  <w:tcW w:w="1321" w:type="dxa"/>
                  <w:gridSpan w:val="2"/>
                  <w:shd w:val="clear" w:color="auto" w:fill="auto"/>
                  <w:noWrap/>
                  <w:vAlign w:val="center"/>
                </w:tcPr>
                <w:p w14:paraId="22328975">
                  <w:pPr>
                    <w:pStyle w:val="70"/>
                    <w:spacing w:line="360" w:lineRule="auto"/>
                    <w:rPr>
                      <w:color w:val="auto"/>
                    </w:rPr>
                  </w:pPr>
                  <w:r>
                    <w:rPr>
                      <w:rFonts w:hint="eastAsia"/>
                      <w:color w:val="auto"/>
                    </w:rPr>
                    <w:t>排放口地理坐标</w:t>
                  </w:r>
                </w:p>
              </w:tc>
              <w:tc>
                <w:tcPr>
                  <w:tcW w:w="1095" w:type="dxa"/>
                  <w:vMerge w:val="restart"/>
                  <w:vAlign w:val="center"/>
                </w:tcPr>
                <w:p w14:paraId="58EC5B4A">
                  <w:pPr>
                    <w:pStyle w:val="70"/>
                    <w:spacing w:line="360" w:lineRule="auto"/>
                    <w:rPr>
                      <w:color w:val="auto"/>
                    </w:rPr>
                  </w:pPr>
                  <w:r>
                    <w:rPr>
                      <w:rFonts w:hint="eastAsia"/>
                      <w:color w:val="auto"/>
                    </w:rPr>
                    <w:t>治理</w:t>
                  </w:r>
                  <w:r>
                    <w:rPr>
                      <w:color w:val="auto"/>
                    </w:rPr>
                    <w:t>措施</w:t>
                  </w:r>
                </w:p>
              </w:tc>
              <w:tc>
                <w:tcPr>
                  <w:tcW w:w="728" w:type="dxa"/>
                  <w:vMerge w:val="restart"/>
                  <w:vAlign w:val="center"/>
                </w:tcPr>
                <w:p w14:paraId="60948479">
                  <w:pPr>
                    <w:pStyle w:val="70"/>
                    <w:spacing w:line="360" w:lineRule="auto"/>
                    <w:rPr>
                      <w:color w:val="auto"/>
                    </w:rPr>
                  </w:pPr>
                  <w:r>
                    <w:rPr>
                      <w:rFonts w:hint="eastAsia"/>
                      <w:color w:val="auto"/>
                    </w:rPr>
                    <w:t>是否为</w:t>
                  </w:r>
                  <w:r>
                    <w:rPr>
                      <w:color w:val="auto"/>
                    </w:rPr>
                    <w:t>可行技术</w:t>
                  </w:r>
                </w:p>
              </w:tc>
              <w:tc>
                <w:tcPr>
                  <w:tcW w:w="750" w:type="dxa"/>
                  <w:vMerge w:val="restart"/>
                  <w:shd w:val="clear" w:color="auto" w:fill="auto"/>
                  <w:noWrap/>
                  <w:vAlign w:val="center"/>
                </w:tcPr>
                <w:p w14:paraId="402B6BEB">
                  <w:pPr>
                    <w:pStyle w:val="70"/>
                    <w:spacing w:line="360" w:lineRule="auto"/>
                    <w:rPr>
                      <w:color w:val="auto"/>
                    </w:rPr>
                  </w:pPr>
                  <w:r>
                    <w:rPr>
                      <w:rFonts w:hint="eastAsia"/>
                      <w:color w:val="auto"/>
                    </w:rPr>
                    <w:t>排气</w:t>
                  </w:r>
                </w:p>
                <w:p w14:paraId="60396792">
                  <w:pPr>
                    <w:pStyle w:val="70"/>
                    <w:spacing w:line="360" w:lineRule="auto"/>
                    <w:rPr>
                      <w:color w:val="auto"/>
                    </w:rPr>
                  </w:pPr>
                  <w:r>
                    <w:rPr>
                      <w:rFonts w:hint="eastAsia"/>
                      <w:color w:val="auto"/>
                    </w:rPr>
                    <w:t>量（m</w:t>
                  </w:r>
                  <w:r>
                    <w:rPr>
                      <w:rFonts w:hint="eastAsia"/>
                      <w:color w:val="auto"/>
                      <w:vertAlign w:val="superscript"/>
                    </w:rPr>
                    <w:t>3</w:t>
                  </w:r>
                  <w:r>
                    <w:rPr>
                      <w:rFonts w:hint="eastAsia"/>
                      <w:color w:val="auto"/>
                    </w:rPr>
                    <w:t>/h）</w:t>
                  </w:r>
                </w:p>
              </w:tc>
              <w:tc>
                <w:tcPr>
                  <w:tcW w:w="792" w:type="dxa"/>
                  <w:vMerge w:val="restart"/>
                  <w:vAlign w:val="center"/>
                </w:tcPr>
                <w:p w14:paraId="06A7B5E9">
                  <w:pPr>
                    <w:pStyle w:val="70"/>
                    <w:spacing w:line="360" w:lineRule="auto"/>
                    <w:rPr>
                      <w:color w:val="auto"/>
                    </w:rPr>
                  </w:pPr>
                  <w:r>
                    <w:rPr>
                      <w:rFonts w:hint="eastAsia"/>
                      <w:color w:val="auto"/>
                    </w:rPr>
                    <w:t>排气筒高度（m）</w:t>
                  </w:r>
                </w:p>
              </w:tc>
              <w:tc>
                <w:tcPr>
                  <w:tcW w:w="792" w:type="dxa"/>
                  <w:vMerge w:val="restart"/>
                  <w:shd w:val="clear" w:color="auto" w:fill="auto"/>
                  <w:noWrap/>
                  <w:vAlign w:val="center"/>
                </w:tcPr>
                <w:p w14:paraId="5CE5D4FB">
                  <w:pPr>
                    <w:pStyle w:val="70"/>
                    <w:spacing w:line="360" w:lineRule="auto"/>
                    <w:rPr>
                      <w:color w:val="auto"/>
                    </w:rPr>
                  </w:pPr>
                  <w:r>
                    <w:rPr>
                      <w:rFonts w:hint="eastAsia"/>
                      <w:color w:val="auto"/>
                    </w:rPr>
                    <w:t>排气</w:t>
                  </w:r>
                </w:p>
                <w:p w14:paraId="27C8B9F4">
                  <w:pPr>
                    <w:pStyle w:val="70"/>
                    <w:spacing w:line="360" w:lineRule="auto"/>
                    <w:rPr>
                      <w:color w:val="auto"/>
                    </w:rPr>
                  </w:pPr>
                  <w:r>
                    <w:rPr>
                      <w:rFonts w:hint="eastAsia"/>
                      <w:color w:val="auto"/>
                    </w:rPr>
                    <w:t>筒出</w:t>
                  </w:r>
                </w:p>
                <w:p w14:paraId="65FBD2EF">
                  <w:pPr>
                    <w:pStyle w:val="70"/>
                    <w:spacing w:line="360" w:lineRule="auto"/>
                    <w:rPr>
                      <w:color w:val="auto"/>
                    </w:rPr>
                  </w:pPr>
                  <w:r>
                    <w:rPr>
                      <w:rFonts w:hint="eastAsia"/>
                      <w:color w:val="auto"/>
                    </w:rPr>
                    <w:t>口内</w:t>
                  </w:r>
                </w:p>
                <w:p w14:paraId="67717CB4">
                  <w:pPr>
                    <w:pStyle w:val="70"/>
                    <w:spacing w:line="360" w:lineRule="auto"/>
                    <w:rPr>
                      <w:color w:val="auto"/>
                    </w:rPr>
                  </w:pPr>
                  <w:r>
                    <w:rPr>
                      <w:rFonts w:hint="eastAsia"/>
                      <w:color w:val="auto"/>
                    </w:rPr>
                    <w:t>径（m）</w:t>
                  </w:r>
                </w:p>
              </w:tc>
              <w:tc>
                <w:tcPr>
                  <w:tcW w:w="837" w:type="dxa"/>
                  <w:vMerge w:val="restart"/>
                  <w:shd w:val="clear" w:color="auto" w:fill="auto"/>
                  <w:noWrap/>
                  <w:vAlign w:val="center"/>
                </w:tcPr>
                <w:p w14:paraId="4B53964B">
                  <w:pPr>
                    <w:pStyle w:val="70"/>
                    <w:spacing w:line="360" w:lineRule="auto"/>
                    <w:rPr>
                      <w:color w:val="auto"/>
                    </w:rPr>
                  </w:pPr>
                  <w:r>
                    <w:rPr>
                      <w:rFonts w:hint="eastAsia"/>
                      <w:color w:val="auto"/>
                    </w:rPr>
                    <w:t>排气温度（℃）</w:t>
                  </w:r>
                </w:p>
              </w:tc>
            </w:tr>
            <w:tr w14:paraId="3B4E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440" w:type="dxa"/>
                  <w:vMerge w:val="continue"/>
                  <w:vAlign w:val="center"/>
                </w:tcPr>
                <w:p w14:paraId="3BD51DE0">
                  <w:pPr>
                    <w:pStyle w:val="70"/>
                    <w:spacing w:line="360" w:lineRule="auto"/>
                    <w:rPr>
                      <w:color w:val="auto"/>
                    </w:rPr>
                  </w:pPr>
                </w:p>
              </w:tc>
              <w:tc>
                <w:tcPr>
                  <w:tcW w:w="982" w:type="dxa"/>
                  <w:vMerge w:val="continue"/>
                  <w:vAlign w:val="center"/>
                </w:tcPr>
                <w:p w14:paraId="0563B885">
                  <w:pPr>
                    <w:pStyle w:val="70"/>
                    <w:spacing w:line="360" w:lineRule="auto"/>
                    <w:rPr>
                      <w:color w:val="auto"/>
                    </w:rPr>
                  </w:pPr>
                </w:p>
              </w:tc>
              <w:tc>
                <w:tcPr>
                  <w:tcW w:w="842" w:type="dxa"/>
                  <w:vMerge w:val="continue"/>
                  <w:vAlign w:val="center"/>
                </w:tcPr>
                <w:p w14:paraId="4C610927">
                  <w:pPr>
                    <w:pStyle w:val="70"/>
                    <w:spacing w:line="360" w:lineRule="auto"/>
                    <w:rPr>
                      <w:color w:val="auto"/>
                    </w:rPr>
                  </w:pPr>
                </w:p>
              </w:tc>
              <w:tc>
                <w:tcPr>
                  <w:tcW w:w="1321" w:type="dxa"/>
                  <w:gridSpan w:val="2"/>
                  <w:shd w:val="clear" w:color="auto" w:fill="auto"/>
                  <w:noWrap/>
                  <w:vAlign w:val="center"/>
                </w:tcPr>
                <w:p w14:paraId="7BA475E6">
                  <w:pPr>
                    <w:pStyle w:val="70"/>
                    <w:spacing w:line="360" w:lineRule="auto"/>
                    <w:rPr>
                      <w:color w:val="auto"/>
                    </w:rPr>
                  </w:pPr>
                  <w:r>
                    <w:rPr>
                      <w:rFonts w:hint="eastAsia"/>
                      <w:color w:val="auto"/>
                      <w:highlight w:val="none"/>
                    </w:rPr>
                    <w:t>经纬度</w:t>
                  </w:r>
                </w:p>
              </w:tc>
              <w:tc>
                <w:tcPr>
                  <w:tcW w:w="1095" w:type="dxa"/>
                  <w:vMerge w:val="continue"/>
                  <w:vAlign w:val="center"/>
                </w:tcPr>
                <w:p w14:paraId="54688DE7">
                  <w:pPr>
                    <w:pStyle w:val="70"/>
                    <w:spacing w:line="360" w:lineRule="auto"/>
                    <w:rPr>
                      <w:color w:val="auto"/>
                    </w:rPr>
                  </w:pPr>
                </w:p>
              </w:tc>
              <w:tc>
                <w:tcPr>
                  <w:tcW w:w="728" w:type="dxa"/>
                  <w:vMerge w:val="continue"/>
                  <w:vAlign w:val="center"/>
                </w:tcPr>
                <w:p w14:paraId="643698FA">
                  <w:pPr>
                    <w:pStyle w:val="70"/>
                    <w:spacing w:line="360" w:lineRule="auto"/>
                    <w:rPr>
                      <w:color w:val="auto"/>
                    </w:rPr>
                  </w:pPr>
                </w:p>
              </w:tc>
              <w:tc>
                <w:tcPr>
                  <w:tcW w:w="750" w:type="dxa"/>
                  <w:vMerge w:val="continue"/>
                  <w:vAlign w:val="center"/>
                </w:tcPr>
                <w:p w14:paraId="40FFEDCA">
                  <w:pPr>
                    <w:pStyle w:val="70"/>
                    <w:spacing w:line="360" w:lineRule="auto"/>
                    <w:rPr>
                      <w:color w:val="auto"/>
                    </w:rPr>
                  </w:pPr>
                </w:p>
              </w:tc>
              <w:tc>
                <w:tcPr>
                  <w:tcW w:w="792" w:type="dxa"/>
                  <w:vMerge w:val="continue"/>
                  <w:vAlign w:val="center"/>
                </w:tcPr>
                <w:p w14:paraId="25583609">
                  <w:pPr>
                    <w:pStyle w:val="70"/>
                    <w:spacing w:line="360" w:lineRule="auto"/>
                    <w:rPr>
                      <w:color w:val="auto"/>
                    </w:rPr>
                  </w:pPr>
                </w:p>
              </w:tc>
              <w:tc>
                <w:tcPr>
                  <w:tcW w:w="792" w:type="dxa"/>
                  <w:vMerge w:val="continue"/>
                  <w:vAlign w:val="center"/>
                </w:tcPr>
                <w:p w14:paraId="743E40C7">
                  <w:pPr>
                    <w:pStyle w:val="70"/>
                    <w:spacing w:line="360" w:lineRule="auto"/>
                    <w:rPr>
                      <w:color w:val="auto"/>
                    </w:rPr>
                  </w:pPr>
                </w:p>
              </w:tc>
              <w:tc>
                <w:tcPr>
                  <w:tcW w:w="837" w:type="dxa"/>
                  <w:vMerge w:val="continue"/>
                  <w:vAlign w:val="center"/>
                </w:tcPr>
                <w:p w14:paraId="242B1693">
                  <w:pPr>
                    <w:pStyle w:val="70"/>
                    <w:spacing w:line="360" w:lineRule="auto"/>
                    <w:rPr>
                      <w:color w:val="auto"/>
                    </w:rPr>
                  </w:pPr>
                </w:p>
              </w:tc>
            </w:tr>
            <w:tr w14:paraId="7BDD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40" w:type="dxa"/>
                  <w:shd w:val="clear" w:color="auto" w:fill="auto"/>
                  <w:noWrap/>
                  <w:vAlign w:val="center"/>
                </w:tcPr>
                <w:p w14:paraId="2135B02D">
                  <w:pPr>
                    <w:pStyle w:val="70"/>
                    <w:spacing w:line="360" w:lineRule="auto"/>
                    <w:rPr>
                      <w:color w:val="auto"/>
                    </w:rPr>
                  </w:pPr>
                  <w:r>
                    <w:rPr>
                      <w:rFonts w:hint="eastAsia"/>
                      <w:color w:val="auto"/>
                    </w:rPr>
                    <w:t>G</w:t>
                  </w:r>
                  <w:r>
                    <w:rPr>
                      <w:color w:val="auto"/>
                    </w:rPr>
                    <w:t>1</w:t>
                  </w:r>
                </w:p>
              </w:tc>
              <w:tc>
                <w:tcPr>
                  <w:tcW w:w="982" w:type="dxa"/>
                  <w:shd w:val="clear" w:color="auto" w:fill="auto"/>
                  <w:noWrap/>
                  <w:vAlign w:val="center"/>
                </w:tcPr>
                <w:p w14:paraId="12692DE8">
                  <w:pPr>
                    <w:pStyle w:val="70"/>
                    <w:spacing w:line="360" w:lineRule="auto"/>
                    <w:rPr>
                      <w:rFonts w:hint="eastAsia" w:eastAsia="宋体"/>
                      <w:color w:val="auto"/>
                      <w:highlight w:val="yellow"/>
                      <w:lang w:val="en-US" w:eastAsia="zh-CN"/>
                    </w:rPr>
                  </w:pPr>
                  <w:r>
                    <w:rPr>
                      <w:rFonts w:hint="eastAsia" w:ascii="Times New Roman" w:hAnsi="Times New Roman" w:eastAsia="宋体" w:cs="Times New Roman"/>
                      <w:color w:val="auto"/>
                      <w:sz w:val="21"/>
                      <w:szCs w:val="21"/>
                      <w:highlight w:val="none"/>
                      <w:lang w:val="en-US" w:eastAsia="zh-CN"/>
                    </w:rPr>
                    <w:t>手动线喷粉</w:t>
                  </w:r>
                  <w:r>
                    <w:rPr>
                      <w:rFonts w:hint="default" w:ascii="Times New Roman" w:hAnsi="Times New Roman" w:eastAsia="宋体" w:cs="Times New Roman"/>
                      <w:color w:val="auto"/>
                      <w:sz w:val="21"/>
                      <w:szCs w:val="21"/>
                      <w:highlight w:val="none"/>
                      <w:lang w:val="en-US" w:eastAsia="zh-CN"/>
                    </w:rPr>
                    <w:t>废气</w:t>
                  </w:r>
                  <w:r>
                    <w:rPr>
                      <w:rFonts w:hint="eastAsia" w:ascii="Times New Roman" w:hAnsi="Times New Roman" w:eastAsia="宋体" w:cs="Times New Roman"/>
                      <w:color w:val="auto"/>
                      <w:sz w:val="21"/>
                      <w:szCs w:val="21"/>
                      <w:highlight w:val="none"/>
                      <w:lang w:val="en-US" w:eastAsia="zh-CN"/>
                    </w:rPr>
                    <w:t>、自动线喷粉</w:t>
                  </w:r>
                  <w:r>
                    <w:rPr>
                      <w:rFonts w:hint="default" w:ascii="Times New Roman" w:hAnsi="Times New Roman" w:eastAsia="宋体" w:cs="Times New Roman"/>
                      <w:color w:val="auto"/>
                      <w:sz w:val="21"/>
                      <w:szCs w:val="21"/>
                      <w:highlight w:val="none"/>
                      <w:lang w:val="en-US" w:eastAsia="zh-CN"/>
                    </w:rPr>
                    <w:t>废气</w:t>
                  </w:r>
                </w:p>
              </w:tc>
              <w:tc>
                <w:tcPr>
                  <w:tcW w:w="842" w:type="dxa"/>
                  <w:shd w:val="clear" w:color="auto" w:fill="auto"/>
                  <w:noWrap/>
                  <w:vAlign w:val="center"/>
                </w:tcPr>
                <w:p w14:paraId="50565832">
                  <w:pPr>
                    <w:pStyle w:val="70"/>
                    <w:spacing w:line="360" w:lineRule="auto"/>
                    <w:rPr>
                      <w:rFonts w:hint="eastAsia" w:eastAsia="宋体"/>
                      <w:color w:val="auto"/>
                      <w:lang w:val="en-US" w:eastAsia="zh-CN"/>
                    </w:rPr>
                  </w:pPr>
                  <w:r>
                    <w:rPr>
                      <w:rFonts w:hint="eastAsia"/>
                      <w:color w:val="auto"/>
                      <w:lang w:val="en-US" w:eastAsia="zh-CN"/>
                    </w:rPr>
                    <w:t>颗粒物</w:t>
                  </w:r>
                </w:p>
              </w:tc>
              <w:tc>
                <w:tcPr>
                  <w:tcW w:w="692" w:type="dxa"/>
                  <w:shd w:val="clear" w:color="auto" w:fill="auto"/>
                  <w:noWrap/>
                  <w:vAlign w:val="center"/>
                </w:tcPr>
                <w:p w14:paraId="055DD120">
                  <w:pPr>
                    <w:pStyle w:val="70"/>
                    <w:spacing w:line="360" w:lineRule="auto"/>
                    <w:rPr>
                      <w:rFonts w:hint="default" w:eastAsia="宋体"/>
                      <w:color w:val="auto"/>
                      <w:highlight w:val="none"/>
                      <w:lang w:val="en-US" w:eastAsia="zh-CN"/>
                    </w:rPr>
                  </w:pPr>
                  <w:r>
                    <w:rPr>
                      <w:rFonts w:hint="eastAsia"/>
                      <w:color w:val="auto"/>
                      <w:highlight w:val="none"/>
                      <w:lang w:val="en-US"/>
                    </w:rPr>
                    <w:t>113.537</w:t>
                  </w:r>
                  <w:r>
                    <w:rPr>
                      <w:rFonts w:hint="eastAsia"/>
                      <w:color w:val="auto"/>
                      <w:highlight w:val="none"/>
                      <w:lang w:val="en-US" w:eastAsia="zh-CN"/>
                    </w:rPr>
                    <w:t>220</w:t>
                  </w:r>
                </w:p>
              </w:tc>
              <w:tc>
                <w:tcPr>
                  <w:tcW w:w="629" w:type="dxa"/>
                  <w:shd w:val="clear" w:color="auto" w:fill="auto"/>
                  <w:vAlign w:val="center"/>
                </w:tcPr>
                <w:p w14:paraId="467F7212">
                  <w:pPr>
                    <w:pStyle w:val="70"/>
                    <w:spacing w:line="360" w:lineRule="auto"/>
                    <w:rPr>
                      <w:rFonts w:hint="default" w:eastAsia="宋体"/>
                      <w:color w:val="auto"/>
                      <w:highlight w:val="none"/>
                      <w:lang w:val="en-US" w:eastAsia="zh-CN"/>
                    </w:rPr>
                  </w:pPr>
                  <w:r>
                    <w:rPr>
                      <w:rFonts w:hint="eastAsia"/>
                      <w:color w:val="auto"/>
                      <w:highlight w:val="none"/>
                      <w:lang w:val="en-US"/>
                    </w:rPr>
                    <w:t>22.485</w:t>
                  </w:r>
                  <w:r>
                    <w:rPr>
                      <w:rFonts w:hint="eastAsia"/>
                      <w:color w:val="auto"/>
                      <w:highlight w:val="none"/>
                      <w:lang w:val="en-US" w:eastAsia="zh-CN"/>
                    </w:rPr>
                    <w:t>208</w:t>
                  </w:r>
                </w:p>
              </w:tc>
              <w:tc>
                <w:tcPr>
                  <w:tcW w:w="1095" w:type="dxa"/>
                  <w:vAlign w:val="center"/>
                </w:tcPr>
                <w:p w14:paraId="3F1613BF">
                  <w:pPr>
                    <w:pStyle w:val="70"/>
                    <w:spacing w:line="360" w:lineRule="auto"/>
                    <w:jc w:val="both"/>
                    <w:rPr>
                      <w:color w:val="auto"/>
                    </w:rPr>
                  </w:pPr>
                  <w:r>
                    <w:rPr>
                      <w:rFonts w:hint="eastAsia"/>
                      <w:color w:val="auto"/>
                      <w:szCs w:val="21"/>
                      <w:lang w:val="en-US" w:eastAsia="zh-CN"/>
                    </w:rPr>
                    <w:t>二级</w:t>
                  </w:r>
                  <w:r>
                    <w:rPr>
                      <w:rFonts w:hint="eastAsia"/>
                      <w:color w:val="auto"/>
                      <w:szCs w:val="21"/>
                    </w:rPr>
                    <w:t>滤芯回收装置</w:t>
                  </w:r>
                  <w:r>
                    <w:rPr>
                      <w:rFonts w:hint="eastAsia"/>
                      <w:color w:val="auto"/>
                    </w:rPr>
                    <w:t>处理</w:t>
                  </w:r>
                </w:p>
              </w:tc>
              <w:tc>
                <w:tcPr>
                  <w:tcW w:w="728" w:type="dxa"/>
                  <w:vAlign w:val="center"/>
                </w:tcPr>
                <w:p w14:paraId="6C67EBA7">
                  <w:pPr>
                    <w:pStyle w:val="70"/>
                    <w:spacing w:line="360" w:lineRule="auto"/>
                    <w:rPr>
                      <w:rFonts w:hint="eastAsia" w:eastAsia="宋体"/>
                      <w:color w:val="auto"/>
                      <w:highlight w:val="none"/>
                      <w:lang w:eastAsia="zh-CN"/>
                    </w:rPr>
                  </w:pPr>
                  <w:r>
                    <w:rPr>
                      <w:rFonts w:hint="eastAsia"/>
                      <w:color w:val="auto"/>
                      <w:highlight w:val="none"/>
                      <w:lang w:val="en-US" w:eastAsia="zh-CN"/>
                    </w:rPr>
                    <w:t>是</w:t>
                  </w:r>
                </w:p>
              </w:tc>
              <w:tc>
                <w:tcPr>
                  <w:tcW w:w="750" w:type="dxa"/>
                  <w:shd w:val="clear" w:color="auto" w:fill="auto"/>
                  <w:noWrap/>
                  <w:vAlign w:val="center"/>
                </w:tcPr>
                <w:p w14:paraId="72974C00">
                  <w:pPr>
                    <w:pStyle w:val="70"/>
                    <w:spacing w:line="360" w:lineRule="auto"/>
                    <w:rPr>
                      <w:color w:val="auto"/>
                      <w:lang w:val="en-US"/>
                    </w:rPr>
                  </w:pPr>
                  <w:r>
                    <w:rPr>
                      <w:rFonts w:hint="eastAsia"/>
                      <w:color w:val="auto"/>
                      <w:lang w:val="en-US" w:eastAsia="zh-CN"/>
                    </w:rPr>
                    <w:t>150</w:t>
                  </w:r>
                  <w:r>
                    <w:rPr>
                      <w:rFonts w:hint="eastAsia"/>
                      <w:color w:val="auto"/>
                      <w:lang w:val="en-US"/>
                    </w:rPr>
                    <w:t>00</w:t>
                  </w:r>
                </w:p>
              </w:tc>
              <w:tc>
                <w:tcPr>
                  <w:tcW w:w="792" w:type="dxa"/>
                  <w:vAlign w:val="center"/>
                </w:tcPr>
                <w:p w14:paraId="4124A6D3">
                  <w:pPr>
                    <w:pStyle w:val="70"/>
                    <w:spacing w:line="360" w:lineRule="auto"/>
                    <w:rPr>
                      <w:color w:val="auto"/>
                    </w:rPr>
                  </w:pPr>
                  <w:r>
                    <w:rPr>
                      <w:rFonts w:hint="eastAsia"/>
                      <w:color w:val="auto"/>
                      <w:lang w:val="en-US"/>
                    </w:rPr>
                    <w:t>15</w:t>
                  </w:r>
                </w:p>
              </w:tc>
              <w:tc>
                <w:tcPr>
                  <w:tcW w:w="792" w:type="dxa"/>
                  <w:shd w:val="clear" w:color="auto" w:fill="auto"/>
                  <w:noWrap/>
                  <w:vAlign w:val="center"/>
                </w:tcPr>
                <w:p w14:paraId="0E42CC25">
                  <w:pPr>
                    <w:pStyle w:val="70"/>
                    <w:spacing w:line="360" w:lineRule="auto"/>
                    <w:rPr>
                      <w:rFonts w:hint="eastAsia" w:eastAsia="宋体"/>
                      <w:color w:val="auto"/>
                      <w:lang w:eastAsia="zh-CN"/>
                    </w:rPr>
                  </w:pPr>
                  <w:r>
                    <w:rPr>
                      <w:rFonts w:hint="eastAsia"/>
                      <w:color w:val="auto"/>
                      <w:lang w:val="en-US"/>
                    </w:rPr>
                    <w:t>0.</w:t>
                  </w:r>
                  <w:r>
                    <w:rPr>
                      <w:rFonts w:hint="eastAsia"/>
                      <w:color w:val="auto"/>
                      <w:lang w:val="en-US" w:eastAsia="zh-CN"/>
                    </w:rPr>
                    <w:t>6</w:t>
                  </w:r>
                </w:p>
              </w:tc>
              <w:tc>
                <w:tcPr>
                  <w:tcW w:w="837" w:type="dxa"/>
                  <w:shd w:val="clear" w:color="auto" w:fill="auto"/>
                  <w:noWrap/>
                  <w:vAlign w:val="center"/>
                </w:tcPr>
                <w:p w14:paraId="148CD63E">
                  <w:pPr>
                    <w:pStyle w:val="70"/>
                    <w:spacing w:line="360" w:lineRule="auto"/>
                    <w:rPr>
                      <w:rFonts w:hint="default" w:eastAsia="宋体"/>
                      <w:color w:val="auto"/>
                      <w:lang w:val="en-US" w:eastAsia="zh-CN"/>
                    </w:rPr>
                  </w:pPr>
                  <w:r>
                    <w:rPr>
                      <w:rFonts w:hint="eastAsia"/>
                      <w:color w:val="auto"/>
                      <w:lang w:val="en-US" w:eastAsia="zh-CN"/>
                    </w:rPr>
                    <w:t>25</w:t>
                  </w:r>
                </w:p>
              </w:tc>
            </w:tr>
            <w:tr w14:paraId="669D6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40" w:type="dxa"/>
                  <w:shd w:val="clear" w:color="auto" w:fill="auto"/>
                  <w:noWrap/>
                  <w:vAlign w:val="center"/>
                </w:tcPr>
                <w:p w14:paraId="181D091B">
                  <w:pPr>
                    <w:pStyle w:val="70"/>
                    <w:spacing w:line="360" w:lineRule="auto"/>
                    <w:rPr>
                      <w:color w:val="auto"/>
                      <w:lang w:val="en-US"/>
                    </w:rPr>
                  </w:pPr>
                  <w:r>
                    <w:rPr>
                      <w:rFonts w:hint="eastAsia"/>
                      <w:color w:val="auto"/>
                      <w:lang w:val="en-US"/>
                    </w:rPr>
                    <w:t>G2</w:t>
                  </w:r>
                </w:p>
              </w:tc>
              <w:tc>
                <w:tcPr>
                  <w:tcW w:w="982" w:type="dxa"/>
                  <w:shd w:val="clear" w:color="auto" w:fill="auto"/>
                  <w:noWrap/>
                  <w:vAlign w:val="center"/>
                </w:tcPr>
                <w:p w14:paraId="1737556C">
                  <w:pPr>
                    <w:pStyle w:val="70"/>
                    <w:spacing w:line="360" w:lineRule="auto"/>
                    <w:jc w:val="both"/>
                    <w:rPr>
                      <w:color w:val="auto"/>
                      <w:highlight w:val="yellow"/>
                      <w:lang w:val="en-US"/>
                    </w:rPr>
                  </w:pPr>
                  <w:r>
                    <w:rPr>
                      <w:rFonts w:hint="eastAsia"/>
                      <w:color w:val="auto"/>
                      <w:highlight w:val="none"/>
                      <w:lang w:val="en-US"/>
                    </w:rPr>
                    <w:t>固化</w:t>
                  </w:r>
                  <w:r>
                    <w:rPr>
                      <w:rFonts w:hint="eastAsia"/>
                      <w:color w:val="auto"/>
                      <w:highlight w:val="none"/>
                      <w:lang w:val="en-US" w:eastAsia="zh-CN"/>
                    </w:rPr>
                    <w:t>（自动线、手动线）</w:t>
                  </w:r>
                  <w:r>
                    <w:rPr>
                      <w:rFonts w:hint="eastAsia"/>
                      <w:color w:val="auto"/>
                      <w:highlight w:val="none"/>
                      <w:lang w:val="en-US"/>
                    </w:rPr>
                    <w:t>工序废气</w:t>
                  </w:r>
                  <w:r>
                    <w:rPr>
                      <w:rFonts w:hint="eastAsia"/>
                      <w:color w:val="auto"/>
                      <w:highlight w:val="none"/>
                    </w:rPr>
                    <w:t>和液化石油气燃烧</w:t>
                  </w:r>
                </w:p>
              </w:tc>
              <w:tc>
                <w:tcPr>
                  <w:tcW w:w="842" w:type="dxa"/>
                  <w:shd w:val="clear" w:color="auto" w:fill="auto"/>
                  <w:noWrap/>
                  <w:vAlign w:val="center"/>
                </w:tcPr>
                <w:p w14:paraId="0D0D9F62">
                  <w:pPr>
                    <w:pStyle w:val="70"/>
                    <w:spacing w:line="360" w:lineRule="auto"/>
                    <w:rPr>
                      <w:rFonts w:hint="default" w:eastAsia="宋体"/>
                      <w:color w:val="auto"/>
                      <w:lang w:val="en-US" w:eastAsia="zh-CN"/>
                    </w:rPr>
                  </w:pPr>
                  <w:r>
                    <w:rPr>
                      <w:rFonts w:hint="eastAsia"/>
                      <w:color w:val="auto"/>
                      <w:lang w:val="en-US" w:eastAsia="zh-CN"/>
                    </w:rPr>
                    <w:t>TVOC</w:t>
                  </w:r>
                  <w:r>
                    <w:rPr>
                      <w:rFonts w:hint="eastAsia"/>
                      <w:color w:val="auto"/>
                      <w:lang w:val="en-US" w:eastAsia="zh-CN"/>
                    </w:rPr>
                    <w:t>、</w:t>
                  </w:r>
                  <w:r>
                    <w:rPr>
                      <w:color w:val="auto"/>
                    </w:rPr>
                    <w:t>非甲烷总烃</w:t>
                  </w:r>
                  <w:r>
                    <w:rPr>
                      <w:rFonts w:hint="eastAsia"/>
                      <w:color w:val="auto"/>
                      <w:lang w:eastAsia="zh-CN"/>
                    </w:rPr>
                    <w:t>、</w:t>
                  </w:r>
                  <w:r>
                    <w:rPr>
                      <w:rFonts w:hint="eastAsia"/>
                      <w:color w:val="auto"/>
                      <w:lang w:val="en-US" w:eastAsia="zh-CN"/>
                    </w:rPr>
                    <w:t>颗粒物、氮氧化物、二氧化硫、林格曼黑度、臭气浓度</w:t>
                  </w:r>
                </w:p>
              </w:tc>
              <w:tc>
                <w:tcPr>
                  <w:tcW w:w="692" w:type="dxa"/>
                  <w:shd w:val="clear" w:color="auto" w:fill="auto"/>
                  <w:noWrap/>
                  <w:vAlign w:val="center"/>
                </w:tcPr>
                <w:p w14:paraId="039C477D">
                  <w:pPr>
                    <w:pStyle w:val="70"/>
                    <w:spacing w:line="360" w:lineRule="auto"/>
                    <w:rPr>
                      <w:rFonts w:hint="default" w:eastAsia="宋体"/>
                      <w:color w:val="auto"/>
                      <w:highlight w:val="none"/>
                      <w:lang w:val="en-US" w:eastAsia="zh-CN"/>
                    </w:rPr>
                  </w:pPr>
                  <w:r>
                    <w:rPr>
                      <w:rFonts w:hint="eastAsia"/>
                      <w:color w:val="auto"/>
                      <w:highlight w:val="none"/>
                      <w:lang w:val="en-US"/>
                    </w:rPr>
                    <w:t>113.537</w:t>
                  </w:r>
                  <w:r>
                    <w:rPr>
                      <w:rFonts w:hint="eastAsia"/>
                      <w:color w:val="auto"/>
                      <w:highlight w:val="none"/>
                      <w:lang w:val="en-US" w:eastAsia="zh-CN"/>
                    </w:rPr>
                    <w:t>249</w:t>
                  </w:r>
                </w:p>
              </w:tc>
              <w:tc>
                <w:tcPr>
                  <w:tcW w:w="629" w:type="dxa"/>
                  <w:shd w:val="clear" w:color="auto" w:fill="auto"/>
                  <w:vAlign w:val="center"/>
                </w:tcPr>
                <w:p w14:paraId="067350AD">
                  <w:pPr>
                    <w:pStyle w:val="70"/>
                    <w:spacing w:line="360" w:lineRule="auto"/>
                    <w:rPr>
                      <w:rFonts w:hint="default" w:eastAsia="宋体"/>
                      <w:color w:val="auto"/>
                      <w:highlight w:val="none"/>
                      <w:lang w:val="en-US" w:eastAsia="zh-CN"/>
                    </w:rPr>
                  </w:pPr>
                  <w:r>
                    <w:rPr>
                      <w:rFonts w:hint="eastAsia"/>
                      <w:color w:val="auto"/>
                      <w:highlight w:val="none"/>
                      <w:lang w:val="en-US"/>
                    </w:rPr>
                    <w:t>22.4851</w:t>
                  </w:r>
                  <w:r>
                    <w:rPr>
                      <w:rFonts w:hint="eastAsia"/>
                      <w:color w:val="auto"/>
                      <w:highlight w:val="none"/>
                      <w:lang w:val="en-US" w:eastAsia="zh-CN"/>
                    </w:rPr>
                    <w:t>83</w:t>
                  </w:r>
                </w:p>
              </w:tc>
              <w:tc>
                <w:tcPr>
                  <w:tcW w:w="1095" w:type="dxa"/>
                  <w:vAlign w:val="center"/>
                </w:tcPr>
                <w:p w14:paraId="5EA34940">
                  <w:pPr>
                    <w:pStyle w:val="70"/>
                    <w:spacing w:line="360" w:lineRule="auto"/>
                    <w:jc w:val="both"/>
                    <w:rPr>
                      <w:color w:val="auto"/>
                    </w:rPr>
                  </w:pPr>
                  <w:r>
                    <w:rPr>
                      <w:rFonts w:hint="eastAsia"/>
                      <w:color w:val="auto"/>
                    </w:rPr>
                    <w:t>活性炭吸附处理</w:t>
                  </w:r>
                </w:p>
              </w:tc>
              <w:tc>
                <w:tcPr>
                  <w:tcW w:w="728" w:type="dxa"/>
                  <w:vAlign w:val="center"/>
                </w:tcPr>
                <w:p w14:paraId="48D44D27">
                  <w:pPr>
                    <w:pStyle w:val="70"/>
                    <w:spacing w:line="360" w:lineRule="auto"/>
                    <w:rPr>
                      <w:rFonts w:hint="eastAsia" w:eastAsia="宋体"/>
                      <w:color w:val="auto"/>
                      <w:highlight w:val="none"/>
                      <w:lang w:eastAsia="zh-CN"/>
                    </w:rPr>
                  </w:pPr>
                  <w:r>
                    <w:rPr>
                      <w:rFonts w:hint="eastAsia"/>
                      <w:color w:val="auto"/>
                      <w:highlight w:val="none"/>
                      <w:lang w:val="en-US" w:eastAsia="zh-CN"/>
                    </w:rPr>
                    <w:t>是</w:t>
                  </w:r>
                </w:p>
              </w:tc>
              <w:tc>
                <w:tcPr>
                  <w:tcW w:w="750" w:type="dxa"/>
                  <w:shd w:val="clear" w:color="auto" w:fill="auto"/>
                  <w:noWrap/>
                  <w:vAlign w:val="center"/>
                </w:tcPr>
                <w:p w14:paraId="7A82052A">
                  <w:pPr>
                    <w:pStyle w:val="70"/>
                    <w:spacing w:line="360" w:lineRule="auto"/>
                    <w:rPr>
                      <w:color w:val="auto"/>
                      <w:lang w:val="en-US"/>
                    </w:rPr>
                  </w:pPr>
                  <w:r>
                    <w:rPr>
                      <w:rFonts w:hint="eastAsia"/>
                      <w:color w:val="auto"/>
                      <w:lang w:val="en-US" w:eastAsia="zh-CN"/>
                    </w:rPr>
                    <w:t>60</w:t>
                  </w:r>
                  <w:r>
                    <w:rPr>
                      <w:color w:val="auto"/>
                      <w:lang w:val="en-US"/>
                    </w:rPr>
                    <w:t>00</w:t>
                  </w:r>
                </w:p>
              </w:tc>
              <w:tc>
                <w:tcPr>
                  <w:tcW w:w="792" w:type="dxa"/>
                  <w:vAlign w:val="center"/>
                </w:tcPr>
                <w:p w14:paraId="7855CF57">
                  <w:pPr>
                    <w:pStyle w:val="70"/>
                    <w:spacing w:line="360" w:lineRule="auto"/>
                    <w:rPr>
                      <w:color w:val="auto"/>
                      <w:lang w:val="en-US"/>
                    </w:rPr>
                  </w:pPr>
                  <w:r>
                    <w:rPr>
                      <w:color w:val="auto"/>
                    </w:rPr>
                    <w:t>15</w:t>
                  </w:r>
                </w:p>
              </w:tc>
              <w:tc>
                <w:tcPr>
                  <w:tcW w:w="792" w:type="dxa"/>
                  <w:shd w:val="clear" w:color="auto" w:fill="auto"/>
                  <w:noWrap/>
                  <w:vAlign w:val="center"/>
                </w:tcPr>
                <w:p w14:paraId="4094DA3D">
                  <w:pPr>
                    <w:pStyle w:val="70"/>
                    <w:spacing w:line="360" w:lineRule="auto"/>
                    <w:rPr>
                      <w:rFonts w:hint="eastAsia" w:eastAsia="宋体"/>
                      <w:color w:val="auto"/>
                      <w:lang w:val="en-US" w:eastAsia="zh-CN"/>
                    </w:rPr>
                  </w:pPr>
                  <w:r>
                    <w:rPr>
                      <w:color w:val="auto"/>
                      <w:highlight w:val="none"/>
                    </w:rPr>
                    <w:t>0.</w:t>
                  </w:r>
                  <w:r>
                    <w:rPr>
                      <w:rFonts w:hint="eastAsia"/>
                      <w:color w:val="auto"/>
                      <w:highlight w:val="none"/>
                      <w:lang w:val="en-US" w:eastAsia="zh-CN"/>
                    </w:rPr>
                    <w:t>4</w:t>
                  </w:r>
                </w:p>
              </w:tc>
              <w:tc>
                <w:tcPr>
                  <w:tcW w:w="837" w:type="dxa"/>
                  <w:shd w:val="clear" w:color="auto" w:fill="auto"/>
                  <w:noWrap/>
                  <w:vAlign w:val="center"/>
                </w:tcPr>
                <w:p w14:paraId="5637BE11">
                  <w:pPr>
                    <w:pStyle w:val="70"/>
                    <w:spacing w:line="360" w:lineRule="auto"/>
                    <w:rPr>
                      <w:rFonts w:hint="default" w:eastAsia="宋体"/>
                      <w:color w:val="auto"/>
                      <w:lang w:val="en-US" w:eastAsia="zh-CN"/>
                    </w:rPr>
                  </w:pPr>
                  <w:r>
                    <w:rPr>
                      <w:rFonts w:hint="eastAsia"/>
                      <w:color w:val="auto"/>
                      <w:lang w:val="en-US" w:eastAsia="zh-CN"/>
                    </w:rPr>
                    <w:t>35</w:t>
                  </w:r>
                </w:p>
              </w:tc>
            </w:tr>
          </w:tbl>
          <w:p w14:paraId="3F6A6A1D">
            <w:pPr>
              <w:pStyle w:val="95"/>
              <w:spacing w:line="360" w:lineRule="auto"/>
              <w:ind w:firstLine="422"/>
              <w:rPr>
                <w:b/>
                <w:color w:val="auto"/>
                <w:sz w:val="21"/>
                <w:szCs w:val="21"/>
              </w:rPr>
            </w:pPr>
            <w:r>
              <w:rPr>
                <w:rFonts w:hint="eastAsia"/>
                <w:b/>
                <w:color w:val="auto"/>
                <w:sz w:val="21"/>
                <w:szCs w:val="21"/>
              </w:rPr>
              <w:t>3、监测计划</w:t>
            </w:r>
          </w:p>
          <w:p w14:paraId="179EDF93">
            <w:pPr>
              <w:pStyle w:val="157"/>
              <w:spacing w:line="360" w:lineRule="auto"/>
              <w:ind w:firstLine="420"/>
              <w:rPr>
                <w:bCs/>
                <w:color w:val="auto"/>
                <w:sz w:val="21"/>
                <w:szCs w:val="21"/>
              </w:rPr>
            </w:pPr>
            <w:r>
              <w:rPr>
                <w:rFonts w:hint="eastAsia"/>
                <w:bCs/>
                <w:color w:val="auto"/>
                <w:sz w:val="21"/>
                <w:szCs w:val="21"/>
              </w:rPr>
              <w:t>根据《排污许可证申请与核发技术规范铁路、船舶、航空航天和其他运输设备制造业》（HJ11</w:t>
            </w:r>
            <w:r>
              <w:rPr>
                <w:bCs/>
                <w:color w:val="auto"/>
                <w:sz w:val="21"/>
                <w:szCs w:val="21"/>
              </w:rPr>
              <w:t>24</w:t>
            </w:r>
            <w:r>
              <w:rPr>
                <w:rFonts w:hint="eastAsia"/>
                <w:bCs/>
                <w:color w:val="auto"/>
                <w:sz w:val="21"/>
                <w:szCs w:val="21"/>
              </w:rPr>
              <w:t>-2020）-</w:t>
            </w:r>
            <w:r>
              <w:rPr>
                <w:bCs/>
                <w:color w:val="auto"/>
                <w:sz w:val="21"/>
                <w:szCs w:val="21"/>
              </w:rPr>
              <w:t>-</w:t>
            </w:r>
            <w:r>
              <w:rPr>
                <w:rFonts w:hint="eastAsia"/>
                <w:bCs/>
                <w:color w:val="auto"/>
                <w:sz w:val="21"/>
                <w:szCs w:val="21"/>
              </w:rPr>
              <w:t>附录A</w:t>
            </w:r>
            <w:r>
              <w:rPr>
                <w:bCs/>
                <w:color w:val="auto"/>
                <w:sz w:val="21"/>
                <w:szCs w:val="21"/>
              </w:rPr>
              <w:t>表面处理</w:t>
            </w:r>
            <w:r>
              <w:rPr>
                <w:rFonts w:hint="eastAsia"/>
                <w:bCs/>
                <w:color w:val="auto"/>
                <w:sz w:val="21"/>
                <w:szCs w:val="21"/>
              </w:rPr>
              <w:t>（涂装），本项目污染源监测计划见下表。</w:t>
            </w:r>
          </w:p>
          <w:p w14:paraId="6A090589">
            <w:pPr>
              <w:pStyle w:val="9"/>
              <w:spacing w:line="360" w:lineRule="auto"/>
              <w:ind w:left="630" w:leftChars="0" w:firstLineChars="0"/>
              <w:rPr>
                <w:color w:val="auto"/>
                <w:szCs w:val="21"/>
              </w:rPr>
            </w:pPr>
            <w:r>
              <w:rPr>
                <w:rFonts w:hint="eastAsia"/>
                <w:color w:val="auto"/>
                <w:szCs w:val="21"/>
              </w:rPr>
              <w:t>有组织废气监测计划</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1400"/>
              <w:gridCol w:w="1229"/>
              <w:gridCol w:w="4455"/>
            </w:tblGrid>
            <w:tr w14:paraId="3891F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shd w:val="clear" w:color="000000" w:fill="CCE8CF"/>
                  <w:vAlign w:val="center"/>
                </w:tcPr>
                <w:p w14:paraId="3F181F30">
                  <w:pPr>
                    <w:pStyle w:val="70"/>
                    <w:spacing w:line="360" w:lineRule="auto"/>
                    <w:rPr>
                      <w:color w:val="auto"/>
                    </w:rPr>
                  </w:pPr>
                  <w:r>
                    <w:rPr>
                      <w:rFonts w:hint="eastAsia"/>
                      <w:color w:val="auto"/>
                    </w:rPr>
                    <w:t>监测点位</w:t>
                  </w:r>
                </w:p>
              </w:tc>
              <w:tc>
                <w:tcPr>
                  <w:tcW w:w="833" w:type="pct"/>
                  <w:shd w:val="clear" w:color="000000" w:fill="CCE8CF"/>
                  <w:vAlign w:val="center"/>
                </w:tcPr>
                <w:p w14:paraId="26AF3C0F">
                  <w:pPr>
                    <w:pStyle w:val="70"/>
                    <w:spacing w:line="360" w:lineRule="auto"/>
                    <w:rPr>
                      <w:color w:val="auto"/>
                    </w:rPr>
                  </w:pPr>
                  <w:r>
                    <w:rPr>
                      <w:rFonts w:hint="eastAsia"/>
                      <w:color w:val="auto"/>
                    </w:rPr>
                    <w:t>监测指标</w:t>
                  </w:r>
                </w:p>
              </w:tc>
              <w:tc>
                <w:tcPr>
                  <w:tcW w:w="731" w:type="pct"/>
                  <w:shd w:val="clear" w:color="000000" w:fill="CCE8CF"/>
                  <w:vAlign w:val="center"/>
                </w:tcPr>
                <w:p w14:paraId="4FEF8BC6">
                  <w:pPr>
                    <w:pStyle w:val="70"/>
                    <w:spacing w:line="360" w:lineRule="auto"/>
                    <w:rPr>
                      <w:color w:val="auto"/>
                    </w:rPr>
                  </w:pPr>
                  <w:r>
                    <w:rPr>
                      <w:rFonts w:hint="eastAsia"/>
                      <w:color w:val="auto"/>
                    </w:rPr>
                    <w:t>监测频次</w:t>
                  </w:r>
                </w:p>
              </w:tc>
              <w:tc>
                <w:tcPr>
                  <w:tcW w:w="2650" w:type="pct"/>
                  <w:shd w:val="clear" w:color="000000" w:fill="CCE8CF"/>
                  <w:vAlign w:val="center"/>
                </w:tcPr>
                <w:p w14:paraId="6789F3BE">
                  <w:pPr>
                    <w:pStyle w:val="70"/>
                    <w:spacing w:line="360" w:lineRule="auto"/>
                    <w:rPr>
                      <w:color w:val="auto"/>
                    </w:rPr>
                  </w:pPr>
                  <w:r>
                    <w:rPr>
                      <w:rFonts w:hint="eastAsia"/>
                      <w:color w:val="auto"/>
                    </w:rPr>
                    <w:t>执行排放标准</w:t>
                  </w:r>
                </w:p>
              </w:tc>
            </w:tr>
            <w:tr w14:paraId="06CBD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vMerge w:val="restart"/>
                  <w:shd w:val="clear" w:color="000000" w:fill="CCE8CF"/>
                  <w:vAlign w:val="center"/>
                </w:tcPr>
                <w:p w14:paraId="5986912B">
                  <w:pPr>
                    <w:pStyle w:val="70"/>
                    <w:spacing w:line="360" w:lineRule="auto"/>
                    <w:rPr>
                      <w:rFonts w:hint="eastAsia" w:eastAsia="宋体"/>
                      <w:color w:val="auto"/>
                      <w:lang w:val="en-US" w:eastAsia="zh-CN"/>
                    </w:rPr>
                  </w:pPr>
                  <w:r>
                    <w:rPr>
                      <w:rFonts w:hint="eastAsia"/>
                      <w:color w:val="auto"/>
                      <w:lang w:val="en-US"/>
                    </w:rPr>
                    <w:t>G</w:t>
                  </w:r>
                  <w:r>
                    <w:rPr>
                      <w:rFonts w:hint="eastAsia"/>
                      <w:color w:val="auto"/>
                      <w:lang w:val="en-US" w:eastAsia="zh-CN"/>
                    </w:rPr>
                    <w:t>2</w:t>
                  </w:r>
                </w:p>
              </w:tc>
              <w:tc>
                <w:tcPr>
                  <w:tcW w:w="833" w:type="pct"/>
                  <w:shd w:val="clear" w:color="000000" w:fill="CCE8CF"/>
                  <w:vAlign w:val="center"/>
                </w:tcPr>
                <w:p w14:paraId="38B78C65">
                  <w:pPr>
                    <w:pStyle w:val="70"/>
                    <w:spacing w:line="360" w:lineRule="auto"/>
                    <w:rPr>
                      <w:rFonts w:hint="default" w:eastAsia="宋体"/>
                      <w:color w:val="auto"/>
                      <w:lang w:val="en-US" w:eastAsia="zh-CN"/>
                    </w:rPr>
                  </w:pPr>
                  <w:r>
                    <w:rPr>
                      <w:rFonts w:hint="eastAsia"/>
                      <w:color w:val="auto"/>
                      <w:lang w:val="en-US" w:eastAsia="zh-CN"/>
                    </w:rPr>
                    <w:t>TVOC</w:t>
                  </w:r>
                </w:p>
              </w:tc>
              <w:tc>
                <w:tcPr>
                  <w:tcW w:w="731" w:type="pct"/>
                  <w:shd w:val="clear" w:color="000000" w:fill="CCE8CF"/>
                  <w:vAlign w:val="center"/>
                </w:tcPr>
                <w:p w14:paraId="4C1CFBDC">
                  <w:pPr>
                    <w:pStyle w:val="70"/>
                    <w:spacing w:line="360" w:lineRule="auto"/>
                    <w:rPr>
                      <w:color w:val="auto"/>
                    </w:rPr>
                  </w:pPr>
                </w:p>
              </w:tc>
              <w:tc>
                <w:tcPr>
                  <w:tcW w:w="2650" w:type="pct"/>
                  <w:vMerge w:val="restart"/>
                  <w:shd w:val="clear" w:color="000000" w:fill="CCE8CF"/>
                  <w:vAlign w:val="center"/>
                </w:tcPr>
                <w:p w14:paraId="1C58B09F">
                  <w:pPr>
                    <w:pStyle w:val="70"/>
                    <w:spacing w:line="360" w:lineRule="auto"/>
                    <w:rPr>
                      <w:color w:val="auto"/>
                    </w:rPr>
                  </w:pPr>
                  <w:r>
                    <w:rPr>
                      <w:rFonts w:hint="eastAsia"/>
                      <w:color w:val="auto"/>
                    </w:rPr>
                    <w:t>广东省地方标准</w:t>
                  </w:r>
                  <w:r>
                    <w:rPr>
                      <w:rFonts w:hint="eastAsia"/>
                      <w:color w:val="auto"/>
                    </w:rPr>
                    <w:t>《</w:t>
                  </w:r>
                  <w:r>
                    <w:rPr>
                      <w:rFonts w:hint="eastAsia"/>
                      <w:color w:val="auto"/>
                    </w:rPr>
                    <w:t>固定污染源挥发性有机物综合排放标准》（DB44/2</w:t>
                  </w:r>
                  <w:r>
                    <w:rPr>
                      <w:rFonts w:hint="eastAsia"/>
                      <w:color w:val="auto"/>
                      <w:lang w:val="en-US" w:eastAsia="zh-CN"/>
                    </w:rPr>
                    <w:t>36</w:t>
                  </w:r>
                  <w:r>
                    <w:rPr>
                      <w:rFonts w:hint="eastAsia"/>
                      <w:color w:val="auto"/>
                    </w:rPr>
                    <w:t>7-20</w:t>
                  </w:r>
                  <w:r>
                    <w:rPr>
                      <w:rFonts w:hint="eastAsia"/>
                      <w:color w:val="auto"/>
                      <w:lang w:val="en-US" w:eastAsia="zh-CN"/>
                    </w:rPr>
                    <w:t>22</w:t>
                  </w:r>
                  <w:r>
                    <w:rPr>
                      <w:rFonts w:hint="eastAsia"/>
                      <w:color w:val="auto"/>
                    </w:rPr>
                    <w:t>）</w:t>
                  </w:r>
                  <w:r>
                    <w:rPr>
                      <w:rFonts w:hint="eastAsia"/>
                      <w:color w:val="auto"/>
                      <w:lang w:val="en-US" w:eastAsia="zh-CN"/>
                    </w:rPr>
                    <w:t>表1挥发性有机物排放限值</w:t>
                  </w:r>
                </w:p>
              </w:tc>
            </w:tr>
            <w:tr w14:paraId="48909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vMerge w:val="continue"/>
                  <w:shd w:val="clear" w:color="000000" w:fill="CCE8CF"/>
                  <w:vAlign w:val="center"/>
                </w:tcPr>
                <w:p w14:paraId="2FD17F14">
                  <w:pPr>
                    <w:pStyle w:val="70"/>
                    <w:spacing w:line="360" w:lineRule="auto"/>
                    <w:rPr>
                      <w:rFonts w:hint="eastAsia" w:eastAsia="宋体"/>
                      <w:color w:val="auto"/>
                      <w:lang w:val="en-US" w:eastAsia="zh-CN"/>
                    </w:rPr>
                  </w:pPr>
                </w:p>
              </w:tc>
              <w:tc>
                <w:tcPr>
                  <w:tcW w:w="833" w:type="pct"/>
                  <w:shd w:val="clear" w:color="000000" w:fill="CCE8CF"/>
                  <w:vAlign w:val="center"/>
                </w:tcPr>
                <w:p w14:paraId="221089EC">
                  <w:pPr>
                    <w:pStyle w:val="70"/>
                    <w:spacing w:line="360" w:lineRule="auto"/>
                    <w:rPr>
                      <w:color w:val="auto"/>
                    </w:rPr>
                  </w:pPr>
                  <w:r>
                    <w:rPr>
                      <w:color w:val="auto"/>
                    </w:rPr>
                    <w:t>非甲烷总烃</w:t>
                  </w:r>
                </w:p>
              </w:tc>
              <w:tc>
                <w:tcPr>
                  <w:tcW w:w="731" w:type="pct"/>
                  <w:vMerge w:val="restart"/>
                  <w:shd w:val="clear" w:color="000000" w:fill="CCE8CF"/>
                  <w:vAlign w:val="center"/>
                </w:tcPr>
                <w:p w14:paraId="58C93F36">
                  <w:pPr>
                    <w:pStyle w:val="70"/>
                    <w:spacing w:line="360" w:lineRule="auto"/>
                    <w:rPr>
                      <w:color w:val="auto"/>
                    </w:rPr>
                  </w:pPr>
                  <w:r>
                    <w:rPr>
                      <w:color w:val="auto"/>
                    </w:rPr>
                    <w:t>1次/年</w:t>
                  </w:r>
                </w:p>
              </w:tc>
              <w:tc>
                <w:tcPr>
                  <w:tcW w:w="2650" w:type="pct"/>
                  <w:vMerge w:val="continue"/>
                  <w:shd w:val="clear" w:color="000000" w:fill="CCE8CF"/>
                  <w:vAlign w:val="center"/>
                </w:tcPr>
                <w:p w14:paraId="38D8FB44">
                  <w:pPr>
                    <w:pStyle w:val="70"/>
                    <w:spacing w:line="360" w:lineRule="auto"/>
                    <w:rPr>
                      <w:color w:val="auto"/>
                    </w:rPr>
                  </w:pPr>
                </w:p>
              </w:tc>
            </w:tr>
            <w:tr w14:paraId="19FB4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vMerge w:val="continue"/>
                  <w:shd w:val="clear" w:color="000000" w:fill="CCE8CF"/>
                  <w:vAlign w:val="center"/>
                </w:tcPr>
                <w:p w14:paraId="22DC5728">
                  <w:pPr>
                    <w:pStyle w:val="70"/>
                    <w:spacing w:line="360" w:lineRule="auto"/>
                    <w:rPr>
                      <w:color w:val="auto"/>
                      <w:lang w:val="en-US"/>
                    </w:rPr>
                  </w:pPr>
                </w:p>
              </w:tc>
              <w:tc>
                <w:tcPr>
                  <w:tcW w:w="833" w:type="pct"/>
                  <w:shd w:val="clear" w:color="000000" w:fill="CCE8CF"/>
                  <w:vAlign w:val="center"/>
                </w:tcPr>
                <w:p w14:paraId="038E7578">
                  <w:pPr>
                    <w:pStyle w:val="70"/>
                    <w:spacing w:line="360" w:lineRule="auto"/>
                    <w:rPr>
                      <w:color w:val="auto"/>
                    </w:rPr>
                  </w:pPr>
                  <w:r>
                    <w:rPr>
                      <w:color w:val="auto"/>
                    </w:rPr>
                    <w:t>SO</w:t>
                  </w:r>
                  <w:r>
                    <w:rPr>
                      <w:color w:val="auto"/>
                      <w:vertAlign w:val="subscript"/>
                    </w:rPr>
                    <w:t>2</w:t>
                  </w:r>
                </w:p>
              </w:tc>
              <w:tc>
                <w:tcPr>
                  <w:tcW w:w="731" w:type="pct"/>
                  <w:vMerge w:val="continue"/>
                  <w:shd w:val="clear" w:color="000000" w:fill="CCE8CF"/>
                  <w:vAlign w:val="center"/>
                </w:tcPr>
                <w:p w14:paraId="77FE3BD1">
                  <w:pPr>
                    <w:pStyle w:val="70"/>
                    <w:spacing w:line="360" w:lineRule="auto"/>
                    <w:rPr>
                      <w:color w:val="auto"/>
                    </w:rPr>
                  </w:pPr>
                </w:p>
              </w:tc>
              <w:tc>
                <w:tcPr>
                  <w:tcW w:w="2650" w:type="pct"/>
                  <w:vMerge w:val="restart"/>
                  <w:shd w:val="clear" w:color="000000" w:fill="CCE8CF"/>
                  <w:vAlign w:val="center"/>
                </w:tcPr>
                <w:p w14:paraId="4780E0D8">
                  <w:pPr>
                    <w:pStyle w:val="70"/>
                    <w:spacing w:line="360" w:lineRule="auto"/>
                    <w:rPr>
                      <w:color w:val="auto"/>
                    </w:rPr>
                  </w:pPr>
                  <w:r>
                    <w:rPr>
                      <w:rFonts w:hint="eastAsia"/>
                      <w:color w:val="auto"/>
                    </w:rPr>
                    <w:t>《工业炉窑大气污染综合治理方案》（环大气〔2019〕56号）中</w:t>
                  </w:r>
                  <w:r>
                    <w:rPr>
                      <w:rFonts w:hint="eastAsia"/>
                      <w:color w:val="auto"/>
                      <w:lang w:val="en-US" w:eastAsia="zh-CN"/>
                    </w:rPr>
                    <w:t>重点区域</w:t>
                  </w:r>
                  <w:r>
                    <w:rPr>
                      <w:rFonts w:hint="eastAsia"/>
                      <w:color w:val="auto"/>
                    </w:rPr>
                    <w:t>限值要求</w:t>
                  </w:r>
                </w:p>
              </w:tc>
            </w:tr>
            <w:tr w14:paraId="1CAD1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vMerge w:val="continue"/>
                  <w:shd w:val="clear" w:color="000000" w:fill="CCE8CF"/>
                  <w:vAlign w:val="center"/>
                </w:tcPr>
                <w:p w14:paraId="42A3DB15">
                  <w:pPr>
                    <w:pStyle w:val="70"/>
                    <w:spacing w:line="360" w:lineRule="auto"/>
                    <w:rPr>
                      <w:color w:val="auto"/>
                      <w:lang w:val="en-US"/>
                    </w:rPr>
                  </w:pPr>
                </w:p>
              </w:tc>
              <w:tc>
                <w:tcPr>
                  <w:tcW w:w="833" w:type="pct"/>
                  <w:shd w:val="clear" w:color="000000" w:fill="CCE8CF"/>
                  <w:vAlign w:val="center"/>
                </w:tcPr>
                <w:p w14:paraId="38A8E5F9">
                  <w:pPr>
                    <w:pStyle w:val="70"/>
                    <w:spacing w:line="360" w:lineRule="auto"/>
                    <w:rPr>
                      <w:color w:val="auto"/>
                    </w:rPr>
                  </w:pPr>
                  <w:r>
                    <w:rPr>
                      <w:color w:val="auto"/>
                    </w:rPr>
                    <w:t>NOx</w:t>
                  </w:r>
                </w:p>
              </w:tc>
              <w:tc>
                <w:tcPr>
                  <w:tcW w:w="731" w:type="pct"/>
                  <w:vMerge w:val="continue"/>
                  <w:shd w:val="clear" w:color="000000" w:fill="CCE8CF"/>
                  <w:vAlign w:val="center"/>
                </w:tcPr>
                <w:p w14:paraId="66FED734">
                  <w:pPr>
                    <w:pStyle w:val="70"/>
                    <w:spacing w:line="360" w:lineRule="auto"/>
                    <w:rPr>
                      <w:color w:val="auto"/>
                    </w:rPr>
                  </w:pPr>
                </w:p>
              </w:tc>
              <w:tc>
                <w:tcPr>
                  <w:tcW w:w="2650" w:type="pct"/>
                  <w:vMerge w:val="continue"/>
                  <w:shd w:val="clear" w:color="000000" w:fill="CCE8CF"/>
                  <w:vAlign w:val="center"/>
                </w:tcPr>
                <w:p w14:paraId="7BC00E23">
                  <w:pPr>
                    <w:pStyle w:val="70"/>
                    <w:spacing w:line="360" w:lineRule="auto"/>
                    <w:rPr>
                      <w:color w:val="auto"/>
                    </w:rPr>
                  </w:pPr>
                </w:p>
              </w:tc>
            </w:tr>
            <w:tr w14:paraId="21819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vMerge w:val="continue"/>
                  <w:shd w:val="clear" w:color="000000" w:fill="CCE8CF"/>
                  <w:vAlign w:val="center"/>
                </w:tcPr>
                <w:p w14:paraId="41F4715E">
                  <w:pPr>
                    <w:pStyle w:val="70"/>
                    <w:spacing w:line="360" w:lineRule="auto"/>
                    <w:rPr>
                      <w:color w:val="auto"/>
                      <w:lang w:val="en-US"/>
                    </w:rPr>
                  </w:pPr>
                </w:p>
              </w:tc>
              <w:tc>
                <w:tcPr>
                  <w:tcW w:w="833" w:type="pct"/>
                  <w:shd w:val="clear" w:color="000000" w:fill="CCE8CF"/>
                  <w:vAlign w:val="center"/>
                </w:tcPr>
                <w:p w14:paraId="7E06389D">
                  <w:pPr>
                    <w:pStyle w:val="70"/>
                    <w:spacing w:line="360" w:lineRule="auto"/>
                    <w:rPr>
                      <w:color w:val="auto"/>
                    </w:rPr>
                  </w:pPr>
                  <w:r>
                    <w:rPr>
                      <w:color w:val="auto"/>
                    </w:rPr>
                    <w:t>颗粒物</w:t>
                  </w:r>
                </w:p>
              </w:tc>
              <w:tc>
                <w:tcPr>
                  <w:tcW w:w="731" w:type="pct"/>
                  <w:vMerge w:val="continue"/>
                  <w:shd w:val="clear" w:color="000000" w:fill="CCE8CF"/>
                  <w:vAlign w:val="center"/>
                </w:tcPr>
                <w:p w14:paraId="7E47D504">
                  <w:pPr>
                    <w:pStyle w:val="70"/>
                    <w:spacing w:line="360" w:lineRule="auto"/>
                    <w:rPr>
                      <w:color w:val="auto"/>
                    </w:rPr>
                  </w:pPr>
                </w:p>
              </w:tc>
              <w:tc>
                <w:tcPr>
                  <w:tcW w:w="2650" w:type="pct"/>
                  <w:vMerge w:val="continue"/>
                  <w:shd w:val="clear" w:color="000000" w:fill="CCE8CF"/>
                  <w:vAlign w:val="center"/>
                </w:tcPr>
                <w:p w14:paraId="7F39FE69">
                  <w:pPr>
                    <w:pStyle w:val="70"/>
                    <w:spacing w:line="360" w:lineRule="auto"/>
                    <w:rPr>
                      <w:color w:val="auto"/>
                    </w:rPr>
                  </w:pPr>
                </w:p>
              </w:tc>
            </w:tr>
            <w:tr w14:paraId="4074A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vMerge w:val="continue"/>
                  <w:shd w:val="clear" w:color="000000" w:fill="CCE8CF"/>
                  <w:vAlign w:val="center"/>
                </w:tcPr>
                <w:p w14:paraId="588BF6BB">
                  <w:pPr>
                    <w:pStyle w:val="70"/>
                    <w:spacing w:line="360" w:lineRule="auto"/>
                    <w:rPr>
                      <w:color w:val="auto"/>
                      <w:lang w:val="en-US"/>
                    </w:rPr>
                  </w:pPr>
                </w:p>
              </w:tc>
              <w:tc>
                <w:tcPr>
                  <w:tcW w:w="833" w:type="pct"/>
                  <w:shd w:val="clear" w:color="000000" w:fill="CCE8CF"/>
                  <w:vAlign w:val="center"/>
                </w:tcPr>
                <w:p w14:paraId="68EC8034">
                  <w:pPr>
                    <w:pStyle w:val="70"/>
                    <w:spacing w:line="360" w:lineRule="auto"/>
                    <w:rPr>
                      <w:color w:val="auto"/>
                    </w:rPr>
                  </w:pPr>
                  <w:r>
                    <w:rPr>
                      <w:rFonts w:hint="eastAsia"/>
                      <w:color w:val="auto"/>
                      <w:lang w:val="en-US" w:eastAsia="zh-CN"/>
                    </w:rPr>
                    <w:t>林格曼</w:t>
                  </w:r>
                  <w:r>
                    <w:rPr>
                      <w:rFonts w:hint="eastAsia"/>
                      <w:color w:val="auto"/>
                    </w:rPr>
                    <w:t>黑度</w:t>
                  </w:r>
                </w:p>
              </w:tc>
              <w:tc>
                <w:tcPr>
                  <w:tcW w:w="731" w:type="pct"/>
                  <w:vMerge w:val="continue"/>
                  <w:shd w:val="clear" w:color="000000" w:fill="CCE8CF"/>
                  <w:vAlign w:val="center"/>
                </w:tcPr>
                <w:p w14:paraId="630804C1">
                  <w:pPr>
                    <w:pStyle w:val="70"/>
                    <w:spacing w:line="360" w:lineRule="auto"/>
                    <w:rPr>
                      <w:color w:val="auto"/>
                    </w:rPr>
                  </w:pPr>
                </w:p>
              </w:tc>
              <w:tc>
                <w:tcPr>
                  <w:tcW w:w="2650" w:type="pct"/>
                  <w:shd w:val="clear" w:color="000000" w:fill="CCE8CF"/>
                  <w:vAlign w:val="center"/>
                </w:tcPr>
                <w:p w14:paraId="2729772A">
                  <w:pPr>
                    <w:pStyle w:val="70"/>
                    <w:spacing w:line="360" w:lineRule="auto"/>
                    <w:rPr>
                      <w:color w:val="auto"/>
                    </w:rPr>
                  </w:pPr>
                  <w:r>
                    <w:rPr>
                      <w:rFonts w:hint="eastAsia"/>
                      <w:color w:val="auto"/>
                    </w:rPr>
                    <w:t>《工业炉窑大气污染物排放标准》（GB9078-1996）干燥炉二级标准</w:t>
                  </w:r>
                </w:p>
              </w:tc>
            </w:tr>
            <w:tr w14:paraId="7A1D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vMerge w:val="continue"/>
                  <w:shd w:val="clear" w:color="000000" w:fill="CCE8CF"/>
                  <w:vAlign w:val="center"/>
                </w:tcPr>
                <w:p w14:paraId="30B9D53B">
                  <w:pPr>
                    <w:pStyle w:val="70"/>
                    <w:spacing w:line="360" w:lineRule="auto"/>
                    <w:rPr>
                      <w:color w:val="auto"/>
                    </w:rPr>
                  </w:pPr>
                </w:p>
              </w:tc>
              <w:tc>
                <w:tcPr>
                  <w:tcW w:w="833" w:type="pct"/>
                  <w:shd w:val="clear" w:color="000000" w:fill="CCE8CF"/>
                  <w:vAlign w:val="center"/>
                </w:tcPr>
                <w:p w14:paraId="6B7402AD">
                  <w:pPr>
                    <w:pStyle w:val="70"/>
                    <w:spacing w:line="360" w:lineRule="auto"/>
                    <w:rPr>
                      <w:rFonts w:ascii="宋体" w:hAnsi="宋体" w:cs="宋体"/>
                      <w:color w:val="auto"/>
                      <w:kern w:val="0"/>
                    </w:rPr>
                  </w:pPr>
                  <w:r>
                    <w:rPr>
                      <w:color w:val="auto"/>
                    </w:rPr>
                    <w:t>臭气浓度</w:t>
                  </w:r>
                </w:p>
              </w:tc>
              <w:tc>
                <w:tcPr>
                  <w:tcW w:w="731" w:type="pct"/>
                  <w:vMerge w:val="continue"/>
                  <w:shd w:val="clear" w:color="000000" w:fill="CCE8CF"/>
                  <w:vAlign w:val="center"/>
                </w:tcPr>
                <w:p w14:paraId="09AF043C">
                  <w:pPr>
                    <w:pStyle w:val="70"/>
                    <w:spacing w:line="360" w:lineRule="auto"/>
                    <w:rPr>
                      <w:color w:val="auto"/>
                    </w:rPr>
                  </w:pPr>
                </w:p>
              </w:tc>
              <w:tc>
                <w:tcPr>
                  <w:tcW w:w="2650" w:type="pct"/>
                  <w:shd w:val="clear" w:color="000000" w:fill="CCE8CF"/>
                  <w:vAlign w:val="center"/>
                </w:tcPr>
                <w:p w14:paraId="6887614A">
                  <w:pPr>
                    <w:pStyle w:val="70"/>
                    <w:spacing w:line="360" w:lineRule="auto"/>
                    <w:rPr>
                      <w:color w:val="auto"/>
                    </w:rPr>
                  </w:pPr>
                  <w:r>
                    <w:rPr>
                      <w:rFonts w:hint="eastAsia"/>
                      <w:color w:val="auto"/>
                      <w:lang w:eastAsia="zh-CN"/>
                    </w:rPr>
                    <w:t>《</w:t>
                  </w:r>
                  <w:r>
                    <w:rPr>
                      <w:rFonts w:hint="eastAsia"/>
                      <w:color w:val="auto"/>
                    </w:rPr>
                    <w:t>恶臭污染物排放标准》（GB14554-93）表</w:t>
                  </w:r>
                  <w:r>
                    <w:rPr>
                      <w:color w:val="auto"/>
                    </w:rPr>
                    <w:t>2</w:t>
                  </w:r>
                  <w:r>
                    <w:rPr>
                      <w:rFonts w:hint="eastAsia"/>
                      <w:color w:val="auto"/>
                    </w:rPr>
                    <w:t>恶臭污染物排放标准值</w:t>
                  </w:r>
                </w:p>
              </w:tc>
            </w:tr>
            <w:tr w14:paraId="42422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84" w:type="pct"/>
                  <w:shd w:val="clear" w:color="000000" w:fill="CCE8CF"/>
                  <w:vAlign w:val="center"/>
                </w:tcPr>
                <w:p w14:paraId="297E0913">
                  <w:pPr>
                    <w:pStyle w:val="70"/>
                    <w:spacing w:line="360" w:lineRule="auto"/>
                    <w:rPr>
                      <w:rFonts w:hint="eastAsia" w:eastAsia="宋体"/>
                      <w:color w:val="auto"/>
                      <w:lang w:val="en-US" w:eastAsia="zh-CN"/>
                    </w:rPr>
                  </w:pPr>
                  <w:r>
                    <w:rPr>
                      <w:rFonts w:hint="eastAsia"/>
                      <w:color w:val="auto"/>
                      <w:lang w:val="en-US"/>
                    </w:rPr>
                    <w:t>G</w:t>
                  </w:r>
                  <w:r>
                    <w:rPr>
                      <w:rFonts w:hint="eastAsia"/>
                      <w:color w:val="auto"/>
                      <w:lang w:val="en-US" w:eastAsia="zh-CN"/>
                    </w:rPr>
                    <w:t>1</w:t>
                  </w:r>
                </w:p>
              </w:tc>
              <w:tc>
                <w:tcPr>
                  <w:tcW w:w="833" w:type="pct"/>
                  <w:shd w:val="clear" w:color="000000" w:fill="CCE8CF"/>
                  <w:vAlign w:val="center"/>
                </w:tcPr>
                <w:p w14:paraId="654A0A1C">
                  <w:pPr>
                    <w:pStyle w:val="70"/>
                    <w:spacing w:line="360" w:lineRule="auto"/>
                    <w:rPr>
                      <w:rFonts w:hint="default" w:eastAsia="宋体"/>
                      <w:color w:val="auto"/>
                      <w:lang w:val="en-US" w:eastAsia="zh-CN"/>
                    </w:rPr>
                  </w:pPr>
                  <w:r>
                    <w:rPr>
                      <w:rFonts w:hint="eastAsia"/>
                      <w:color w:val="auto"/>
                      <w:lang w:val="en-US" w:eastAsia="zh-CN"/>
                    </w:rPr>
                    <w:t>颗粒物</w:t>
                  </w:r>
                </w:p>
              </w:tc>
              <w:tc>
                <w:tcPr>
                  <w:tcW w:w="731" w:type="pct"/>
                  <w:shd w:val="clear" w:color="000000" w:fill="CCE8CF"/>
                  <w:vAlign w:val="center"/>
                </w:tcPr>
                <w:p w14:paraId="4CF8D56F">
                  <w:pPr>
                    <w:pStyle w:val="70"/>
                    <w:spacing w:line="360" w:lineRule="auto"/>
                    <w:rPr>
                      <w:color w:val="auto"/>
                    </w:rPr>
                  </w:pPr>
                  <w:r>
                    <w:rPr>
                      <w:color w:val="auto"/>
                    </w:rPr>
                    <w:t>1次/年</w:t>
                  </w:r>
                </w:p>
              </w:tc>
              <w:tc>
                <w:tcPr>
                  <w:tcW w:w="2650" w:type="pct"/>
                  <w:shd w:val="clear" w:color="000000" w:fill="CCE8CF"/>
                  <w:vAlign w:val="center"/>
                </w:tcPr>
                <w:p w14:paraId="1B5A3CDF">
                  <w:pPr>
                    <w:pStyle w:val="70"/>
                    <w:spacing w:line="360" w:lineRule="auto"/>
                    <w:rPr>
                      <w:color w:val="auto"/>
                    </w:rPr>
                  </w:pPr>
                  <w:r>
                    <w:rPr>
                      <w:rFonts w:hint="eastAsia"/>
                      <w:color w:val="auto"/>
                    </w:rPr>
                    <w:t>广东省地方标准《大气污染物排放限值》（DB44/27-2001）</w:t>
                  </w:r>
                  <w:r>
                    <w:rPr>
                      <w:rFonts w:hint="eastAsia"/>
                      <w:color w:val="auto"/>
                      <w:lang w:val="en-US" w:eastAsia="zh-CN"/>
                    </w:rPr>
                    <w:t>表2</w:t>
                  </w:r>
                  <w:r>
                    <w:rPr>
                      <w:rFonts w:hint="eastAsia"/>
                      <w:color w:val="auto"/>
                    </w:rPr>
                    <w:t>第二时段二级标准</w:t>
                  </w:r>
                </w:p>
              </w:tc>
            </w:tr>
          </w:tbl>
          <w:p w14:paraId="1A308CA8">
            <w:pPr>
              <w:pStyle w:val="9"/>
              <w:spacing w:line="360" w:lineRule="auto"/>
              <w:ind w:left="630" w:leftChars="0" w:firstLineChars="0"/>
              <w:rPr>
                <w:color w:val="auto"/>
                <w:szCs w:val="21"/>
              </w:rPr>
            </w:pPr>
            <w:r>
              <w:rPr>
                <w:rFonts w:hint="eastAsia"/>
                <w:color w:val="auto"/>
                <w:szCs w:val="21"/>
              </w:rPr>
              <w:t>无组织废气监测计划</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1415"/>
              <w:gridCol w:w="1176"/>
              <w:gridCol w:w="4494"/>
            </w:tblGrid>
            <w:tr w14:paraId="7CF5D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84" w:type="pct"/>
                  <w:shd w:val="clear" w:color="000000" w:fill="CCE8CF"/>
                  <w:vAlign w:val="center"/>
                </w:tcPr>
                <w:p w14:paraId="749F260E">
                  <w:pPr>
                    <w:pStyle w:val="70"/>
                    <w:spacing w:line="360" w:lineRule="auto"/>
                    <w:rPr>
                      <w:color w:val="auto"/>
                    </w:rPr>
                  </w:pPr>
                  <w:r>
                    <w:rPr>
                      <w:rFonts w:hint="eastAsia"/>
                      <w:color w:val="auto"/>
                    </w:rPr>
                    <w:t>监测点位</w:t>
                  </w:r>
                </w:p>
              </w:tc>
              <w:tc>
                <w:tcPr>
                  <w:tcW w:w="841" w:type="pct"/>
                  <w:shd w:val="clear" w:color="000000" w:fill="CCE8CF"/>
                  <w:vAlign w:val="center"/>
                </w:tcPr>
                <w:p w14:paraId="155018BA">
                  <w:pPr>
                    <w:pStyle w:val="70"/>
                    <w:spacing w:line="360" w:lineRule="auto"/>
                    <w:rPr>
                      <w:color w:val="auto"/>
                    </w:rPr>
                  </w:pPr>
                  <w:r>
                    <w:rPr>
                      <w:rFonts w:hint="eastAsia"/>
                      <w:color w:val="auto"/>
                    </w:rPr>
                    <w:t>监测指标</w:t>
                  </w:r>
                </w:p>
              </w:tc>
              <w:tc>
                <w:tcPr>
                  <w:tcW w:w="699" w:type="pct"/>
                  <w:shd w:val="clear" w:color="000000" w:fill="CCE8CF"/>
                  <w:vAlign w:val="center"/>
                </w:tcPr>
                <w:p w14:paraId="395EB99D">
                  <w:pPr>
                    <w:pStyle w:val="70"/>
                    <w:spacing w:line="360" w:lineRule="auto"/>
                    <w:rPr>
                      <w:color w:val="auto"/>
                    </w:rPr>
                  </w:pPr>
                  <w:r>
                    <w:rPr>
                      <w:rFonts w:hint="eastAsia"/>
                      <w:color w:val="auto"/>
                    </w:rPr>
                    <w:t>监测频次</w:t>
                  </w:r>
                </w:p>
              </w:tc>
              <w:tc>
                <w:tcPr>
                  <w:tcW w:w="2674" w:type="pct"/>
                  <w:shd w:val="clear" w:color="000000" w:fill="CCE8CF"/>
                  <w:vAlign w:val="center"/>
                </w:tcPr>
                <w:p w14:paraId="5199FCDB">
                  <w:pPr>
                    <w:pStyle w:val="70"/>
                    <w:spacing w:line="360" w:lineRule="auto"/>
                    <w:rPr>
                      <w:color w:val="auto"/>
                    </w:rPr>
                  </w:pPr>
                  <w:r>
                    <w:rPr>
                      <w:rFonts w:hint="eastAsia"/>
                      <w:color w:val="auto"/>
                    </w:rPr>
                    <w:t>执行排放标准</w:t>
                  </w:r>
                </w:p>
              </w:tc>
            </w:tr>
            <w:tr w14:paraId="11A71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84" w:type="pct"/>
                  <w:vMerge w:val="restart"/>
                  <w:shd w:val="clear" w:color="000000" w:fill="CCE8CF"/>
                  <w:vAlign w:val="center"/>
                </w:tcPr>
                <w:p w14:paraId="652AA41A">
                  <w:pPr>
                    <w:pStyle w:val="30"/>
                    <w:autoSpaceDE w:val="0"/>
                    <w:autoSpaceDN w:val="0"/>
                    <w:adjustRightInd w:val="0"/>
                    <w:spacing w:before="0" w:beforeAutospacing="0" w:after="0" w:afterAutospacing="0" w:line="360" w:lineRule="auto"/>
                    <w:jc w:val="center"/>
                    <w:rPr>
                      <w:rFonts w:ascii="Times New Roman" w:hAnsi="Times New Roman"/>
                      <w:color w:val="auto"/>
                      <w:sz w:val="21"/>
                      <w:szCs w:val="21"/>
                    </w:rPr>
                  </w:pPr>
                  <w:r>
                    <w:rPr>
                      <w:rFonts w:hint="eastAsia" w:ascii="Times New Roman" w:hAnsi="Times New Roman"/>
                      <w:color w:val="auto"/>
                      <w:sz w:val="21"/>
                      <w:szCs w:val="21"/>
                    </w:rPr>
                    <w:t>厂界</w:t>
                  </w:r>
                </w:p>
              </w:tc>
              <w:tc>
                <w:tcPr>
                  <w:tcW w:w="841" w:type="pct"/>
                  <w:shd w:val="clear" w:color="000000" w:fill="CCE8CF"/>
                  <w:vAlign w:val="center"/>
                </w:tcPr>
                <w:p w14:paraId="1C871CEC">
                  <w:pPr>
                    <w:pStyle w:val="70"/>
                    <w:spacing w:line="360" w:lineRule="auto"/>
                    <w:rPr>
                      <w:color w:val="auto"/>
                    </w:rPr>
                  </w:pPr>
                  <w:r>
                    <w:rPr>
                      <w:color w:val="auto"/>
                    </w:rPr>
                    <w:t>SO</w:t>
                  </w:r>
                  <w:r>
                    <w:rPr>
                      <w:color w:val="auto"/>
                      <w:vertAlign w:val="subscript"/>
                    </w:rPr>
                    <w:t>2</w:t>
                  </w:r>
                </w:p>
              </w:tc>
              <w:tc>
                <w:tcPr>
                  <w:tcW w:w="699" w:type="pct"/>
                  <w:vMerge w:val="restart"/>
                  <w:shd w:val="clear" w:color="000000" w:fill="CCE8CF"/>
                  <w:vAlign w:val="center"/>
                </w:tcPr>
                <w:p w14:paraId="2209F83A">
                  <w:pPr>
                    <w:pStyle w:val="30"/>
                    <w:autoSpaceDE w:val="0"/>
                    <w:autoSpaceDN w:val="0"/>
                    <w:adjustRightInd w:val="0"/>
                    <w:spacing w:before="0" w:beforeAutospacing="0" w:after="0" w:afterAutospacing="0" w:line="360" w:lineRule="auto"/>
                    <w:jc w:val="center"/>
                    <w:rPr>
                      <w:rFonts w:ascii="Times New Roman" w:hAnsi="Times New Roman"/>
                      <w:color w:val="auto"/>
                      <w:sz w:val="21"/>
                      <w:szCs w:val="21"/>
                    </w:rPr>
                  </w:pPr>
                  <w:r>
                    <w:rPr>
                      <w:rFonts w:ascii="Times New Roman" w:hAnsi="Times New Roman"/>
                      <w:color w:val="auto"/>
                      <w:sz w:val="21"/>
                      <w:szCs w:val="21"/>
                    </w:rPr>
                    <w:t>1次/年</w:t>
                  </w:r>
                </w:p>
              </w:tc>
              <w:tc>
                <w:tcPr>
                  <w:tcW w:w="2674" w:type="pct"/>
                  <w:vMerge w:val="restart"/>
                  <w:shd w:val="clear" w:color="000000" w:fill="CCE8CF"/>
                  <w:vAlign w:val="center"/>
                </w:tcPr>
                <w:p w14:paraId="52CEB2F8">
                  <w:pPr>
                    <w:pStyle w:val="30"/>
                    <w:autoSpaceDE w:val="0"/>
                    <w:autoSpaceDN w:val="0"/>
                    <w:adjustRightInd w:val="0"/>
                    <w:spacing w:before="0" w:beforeAutospacing="0" w:after="0" w:afterAutospacing="0" w:line="360" w:lineRule="auto"/>
                    <w:jc w:val="center"/>
                    <w:rPr>
                      <w:rFonts w:ascii="Times New Roman" w:hAnsi="Times New Roman"/>
                      <w:color w:val="auto"/>
                      <w:sz w:val="21"/>
                      <w:szCs w:val="21"/>
                    </w:rPr>
                  </w:pPr>
                  <w:r>
                    <w:rPr>
                      <w:rFonts w:hint="eastAsia" w:ascii="Times New Roman" w:hAnsi="Times New Roman"/>
                      <w:color w:val="auto"/>
                      <w:sz w:val="21"/>
                      <w:szCs w:val="21"/>
                    </w:rPr>
                    <w:t>广东省</w:t>
                  </w:r>
                  <w:r>
                    <w:rPr>
                      <w:rFonts w:hint="eastAsia" w:ascii="Times New Roman" w:hAnsi="Times New Roman"/>
                      <w:color w:val="auto"/>
                      <w:sz w:val="21"/>
                      <w:szCs w:val="21"/>
                      <w:lang w:val="en-US" w:eastAsia="zh-CN"/>
                    </w:rPr>
                    <w:t>地方标准</w:t>
                  </w:r>
                  <w:r>
                    <w:rPr>
                      <w:rFonts w:hint="eastAsia" w:ascii="Times New Roman" w:hAnsi="Times New Roman"/>
                      <w:color w:val="auto"/>
                      <w:sz w:val="21"/>
                      <w:szCs w:val="21"/>
                    </w:rPr>
                    <w:t>《大气污染物排放限值》(DB44/27－2001)第二时段无组织排放监控浓度限值</w:t>
                  </w:r>
                </w:p>
              </w:tc>
            </w:tr>
            <w:tr w14:paraId="7C1D8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84" w:type="pct"/>
                  <w:vMerge w:val="continue"/>
                  <w:shd w:val="clear" w:color="000000" w:fill="CCE8CF"/>
                  <w:vAlign w:val="center"/>
                </w:tcPr>
                <w:p w14:paraId="47CA4DC0">
                  <w:pPr>
                    <w:pStyle w:val="30"/>
                    <w:autoSpaceDE w:val="0"/>
                    <w:autoSpaceDN w:val="0"/>
                    <w:adjustRightInd w:val="0"/>
                    <w:spacing w:before="0" w:beforeAutospacing="0" w:after="0" w:afterAutospacing="0" w:line="360" w:lineRule="auto"/>
                    <w:jc w:val="center"/>
                    <w:rPr>
                      <w:rFonts w:hint="eastAsia" w:ascii="Times New Roman" w:hAnsi="Times New Roman"/>
                      <w:color w:val="auto"/>
                      <w:sz w:val="21"/>
                      <w:szCs w:val="21"/>
                    </w:rPr>
                  </w:pPr>
                </w:p>
              </w:tc>
              <w:tc>
                <w:tcPr>
                  <w:tcW w:w="841" w:type="pct"/>
                  <w:shd w:val="clear" w:color="000000" w:fill="CCE8CF"/>
                  <w:vAlign w:val="center"/>
                </w:tcPr>
                <w:p w14:paraId="4EB8ECA9">
                  <w:pPr>
                    <w:pStyle w:val="70"/>
                    <w:spacing w:line="360" w:lineRule="auto"/>
                    <w:rPr>
                      <w:color w:val="auto"/>
                    </w:rPr>
                  </w:pPr>
                  <w:r>
                    <w:rPr>
                      <w:color w:val="auto"/>
                    </w:rPr>
                    <w:t>NOx</w:t>
                  </w:r>
                </w:p>
              </w:tc>
              <w:tc>
                <w:tcPr>
                  <w:tcW w:w="699" w:type="pct"/>
                  <w:vMerge w:val="continue"/>
                  <w:shd w:val="clear" w:color="000000" w:fill="CCE8CF"/>
                  <w:vAlign w:val="center"/>
                </w:tcPr>
                <w:p w14:paraId="0EE2F61A">
                  <w:pPr>
                    <w:pStyle w:val="30"/>
                    <w:autoSpaceDE w:val="0"/>
                    <w:autoSpaceDN w:val="0"/>
                    <w:adjustRightInd w:val="0"/>
                    <w:spacing w:before="0" w:beforeAutospacing="0" w:after="0" w:afterAutospacing="0" w:line="360" w:lineRule="auto"/>
                    <w:jc w:val="center"/>
                    <w:rPr>
                      <w:rFonts w:ascii="Times New Roman" w:hAnsi="Times New Roman"/>
                      <w:color w:val="auto"/>
                      <w:sz w:val="21"/>
                      <w:szCs w:val="21"/>
                    </w:rPr>
                  </w:pPr>
                </w:p>
              </w:tc>
              <w:tc>
                <w:tcPr>
                  <w:tcW w:w="2674" w:type="pct"/>
                  <w:vMerge w:val="continue"/>
                  <w:shd w:val="clear" w:color="000000" w:fill="CCE8CF"/>
                  <w:vAlign w:val="center"/>
                </w:tcPr>
                <w:p w14:paraId="0914CA1A">
                  <w:pPr>
                    <w:pStyle w:val="30"/>
                    <w:autoSpaceDE w:val="0"/>
                    <w:autoSpaceDN w:val="0"/>
                    <w:adjustRightInd w:val="0"/>
                    <w:spacing w:before="0" w:beforeAutospacing="0" w:after="0" w:afterAutospacing="0" w:line="360" w:lineRule="auto"/>
                    <w:jc w:val="center"/>
                    <w:rPr>
                      <w:rFonts w:hint="eastAsia" w:ascii="Times New Roman" w:hAnsi="Times New Roman"/>
                      <w:color w:val="auto"/>
                      <w:sz w:val="21"/>
                      <w:szCs w:val="21"/>
                    </w:rPr>
                  </w:pPr>
                </w:p>
              </w:tc>
            </w:tr>
            <w:tr w14:paraId="738AD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84" w:type="pct"/>
                  <w:vMerge w:val="continue"/>
                  <w:shd w:val="clear" w:color="000000" w:fill="CCE8CF"/>
                  <w:vAlign w:val="center"/>
                </w:tcPr>
                <w:p w14:paraId="3E8901C4">
                  <w:pPr>
                    <w:pStyle w:val="30"/>
                    <w:autoSpaceDE w:val="0"/>
                    <w:autoSpaceDN w:val="0"/>
                    <w:adjustRightInd w:val="0"/>
                    <w:spacing w:before="0" w:beforeAutospacing="0" w:after="0" w:afterAutospacing="0" w:line="360" w:lineRule="auto"/>
                    <w:jc w:val="center"/>
                    <w:rPr>
                      <w:rFonts w:ascii="Times New Roman" w:hAnsi="Times New Roman"/>
                      <w:color w:val="auto"/>
                      <w:sz w:val="21"/>
                      <w:szCs w:val="21"/>
                    </w:rPr>
                  </w:pPr>
                </w:p>
              </w:tc>
              <w:tc>
                <w:tcPr>
                  <w:tcW w:w="841" w:type="pct"/>
                  <w:shd w:val="clear" w:color="000000" w:fill="CCE8CF"/>
                  <w:vAlign w:val="center"/>
                </w:tcPr>
                <w:p w14:paraId="1AB6B057">
                  <w:pPr>
                    <w:pStyle w:val="70"/>
                    <w:spacing w:line="360" w:lineRule="auto"/>
                    <w:rPr>
                      <w:color w:val="auto"/>
                    </w:rPr>
                  </w:pPr>
                  <w:r>
                    <w:rPr>
                      <w:color w:val="auto"/>
                    </w:rPr>
                    <w:t>颗粒物</w:t>
                  </w:r>
                </w:p>
              </w:tc>
              <w:tc>
                <w:tcPr>
                  <w:tcW w:w="699" w:type="pct"/>
                  <w:vMerge w:val="continue"/>
                  <w:shd w:val="clear" w:color="000000" w:fill="CCE8CF"/>
                  <w:vAlign w:val="center"/>
                </w:tcPr>
                <w:p w14:paraId="595DB943">
                  <w:pPr>
                    <w:pStyle w:val="30"/>
                    <w:autoSpaceDE w:val="0"/>
                    <w:autoSpaceDN w:val="0"/>
                    <w:adjustRightInd w:val="0"/>
                    <w:spacing w:before="0" w:beforeAutospacing="0" w:after="0" w:afterAutospacing="0" w:line="360" w:lineRule="auto"/>
                    <w:jc w:val="center"/>
                    <w:rPr>
                      <w:rFonts w:ascii="Times New Roman" w:hAnsi="Times New Roman"/>
                      <w:color w:val="auto"/>
                      <w:sz w:val="21"/>
                      <w:szCs w:val="21"/>
                    </w:rPr>
                  </w:pPr>
                </w:p>
              </w:tc>
              <w:tc>
                <w:tcPr>
                  <w:tcW w:w="2674" w:type="pct"/>
                  <w:vMerge w:val="continue"/>
                  <w:shd w:val="clear" w:color="000000" w:fill="CCE8CF"/>
                  <w:vAlign w:val="center"/>
                </w:tcPr>
                <w:p w14:paraId="7698E105">
                  <w:pPr>
                    <w:pStyle w:val="30"/>
                    <w:autoSpaceDE w:val="0"/>
                    <w:autoSpaceDN w:val="0"/>
                    <w:adjustRightInd w:val="0"/>
                    <w:spacing w:before="0" w:beforeAutospacing="0" w:after="0" w:afterAutospacing="0" w:line="360" w:lineRule="auto"/>
                    <w:jc w:val="center"/>
                    <w:rPr>
                      <w:rFonts w:ascii="Times New Roman" w:hAnsi="Times New Roman"/>
                      <w:color w:val="auto"/>
                      <w:sz w:val="21"/>
                      <w:szCs w:val="21"/>
                    </w:rPr>
                  </w:pPr>
                </w:p>
              </w:tc>
            </w:tr>
            <w:tr w14:paraId="77560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84" w:type="pct"/>
                  <w:vMerge w:val="continue"/>
                  <w:vAlign w:val="center"/>
                </w:tcPr>
                <w:p w14:paraId="784FAFAD">
                  <w:pPr>
                    <w:pStyle w:val="70"/>
                    <w:spacing w:line="360" w:lineRule="auto"/>
                    <w:rPr>
                      <w:color w:val="auto"/>
                    </w:rPr>
                  </w:pPr>
                </w:p>
              </w:tc>
              <w:tc>
                <w:tcPr>
                  <w:tcW w:w="841" w:type="pct"/>
                  <w:shd w:val="clear" w:color="000000" w:fill="CCE8CF"/>
                  <w:vAlign w:val="center"/>
                </w:tcPr>
                <w:p w14:paraId="69B832A0">
                  <w:pPr>
                    <w:pStyle w:val="70"/>
                    <w:spacing w:line="360" w:lineRule="auto"/>
                    <w:rPr>
                      <w:color w:val="auto"/>
                    </w:rPr>
                  </w:pPr>
                  <w:r>
                    <w:rPr>
                      <w:color w:val="auto"/>
                    </w:rPr>
                    <w:t>非甲烷总烃</w:t>
                  </w:r>
                </w:p>
              </w:tc>
              <w:tc>
                <w:tcPr>
                  <w:tcW w:w="699" w:type="pct"/>
                  <w:vMerge w:val="continue"/>
                  <w:shd w:val="clear" w:color="000000" w:fill="CCE8CF"/>
                  <w:vAlign w:val="center"/>
                </w:tcPr>
                <w:p w14:paraId="52408AE9">
                  <w:pPr>
                    <w:pStyle w:val="70"/>
                    <w:spacing w:line="360" w:lineRule="auto"/>
                    <w:rPr>
                      <w:color w:val="auto"/>
                    </w:rPr>
                  </w:pPr>
                </w:p>
              </w:tc>
              <w:tc>
                <w:tcPr>
                  <w:tcW w:w="2674" w:type="pct"/>
                  <w:vMerge w:val="continue"/>
                  <w:shd w:val="clear" w:color="auto" w:fill="auto"/>
                  <w:vAlign w:val="center"/>
                </w:tcPr>
                <w:p w14:paraId="49A1FC3E">
                  <w:pPr>
                    <w:pStyle w:val="70"/>
                    <w:spacing w:line="360" w:lineRule="auto"/>
                    <w:rPr>
                      <w:color w:val="auto"/>
                    </w:rPr>
                  </w:pPr>
                </w:p>
              </w:tc>
            </w:tr>
            <w:tr w14:paraId="51A6F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84" w:type="pct"/>
                  <w:vMerge w:val="continue"/>
                  <w:vAlign w:val="center"/>
                </w:tcPr>
                <w:p w14:paraId="57973CE4">
                  <w:pPr>
                    <w:pStyle w:val="70"/>
                    <w:spacing w:line="360" w:lineRule="auto"/>
                    <w:rPr>
                      <w:color w:val="auto"/>
                    </w:rPr>
                  </w:pPr>
                </w:p>
              </w:tc>
              <w:tc>
                <w:tcPr>
                  <w:tcW w:w="841" w:type="pct"/>
                  <w:shd w:val="clear" w:color="000000" w:fill="CCE8CF"/>
                  <w:vAlign w:val="center"/>
                </w:tcPr>
                <w:p w14:paraId="064ACC14">
                  <w:pPr>
                    <w:pStyle w:val="70"/>
                    <w:spacing w:line="360" w:lineRule="auto"/>
                    <w:rPr>
                      <w:color w:val="auto"/>
                    </w:rPr>
                  </w:pPr>
                  <w:r>
                    <w:rPr>
                      <w:color w:val="auto"/>
                    </w:rPr>
                    <w:t>臭气浓度</w:t>
                  </w:r>
                </w:p>
              </w:tc>
              <w:tc>
                <w:tcPr>
                  <w:tcW w:w="699" w:type="pct"/>
                  <w:vMerge w:val="continue"/>
                  <w:shd w:val="clear" w:color="000000" w:fill="CCE8CF"/>
                  <w:vAlign w:val="center"/>
                </w:tcPr>
                <w:p w14:paraId="758BE58B">
                  <w:pPr>
                    <w:pStyle w:val="70"/>
                    <w:spacing w:line="360" w:lineRule="auto"/>
                    <w:rPr>
                      <w:color w:val="auto"/>
                    </w:rPr>
                  </w:pPr>
                </w:p>
              </w:tc>
              <w:tc>
                <w:tcPr>
                  <w:tcW w:w="2674" w:type="pct"/>
                  <w:shd w:val="clear" w:color="auto" w:fill="auto"/>
                  <w:vAlign w:val="center"/>
                </w:tcPr>
                <w:p w14:paraId="269266D5">
                  <w:pPr>
                    <w:pStyle w:val="70"/>
                    <w:spacing w:line="360" w:lineRule="auto"/>
                    <w:rPr>
                      <w:color w:val="auto"/>
                    </w:rPr>
                  </w:pPr>
                  <w:r>
                    <w:rPr>
                      <w:rFonts w:hint="eastAsia"/>
                      <w:color w:val="auto"/>
                    </w:rPr>
                    <w:t>《恶臭污染物排放标准》（GB14554-93）表1恶臭污染物厂界标准值</w:t>
                  </w:r>
                </w:p>
              </w:tc>
            </w:tr>
            <w:tr w14:paraId="32619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84" w:type="pct"/>
                  <w:vMerge w:val="restart"/>
                  <w:vAlign w:val="center"/>
                </w:tcPr>
                <w:p w14:paraId="4F4F3E44">
                  <w:pPr>
                    <w:pStyle w:val="70"/>
                    <w:spacing w:line="360" w:lineRule="auto"/>
                    <w:rPr>
                      <w:color w:val="auto"/>
                    </w:rPr>
                  </w:pPr>
                  <w:r>
                    <w:rPr>
                      <w:rFonts w:hint="eastAsia"/>
                      <w:color w:val="auto"/>
                    </w:rPr>
                    <w:t>厂区内</w:t>
                  </w:r>
                </w:p>
              </w:tc>
              <w:tc>
                <w:tcPr>
                  <w:tcW w:w="841" w:type="pct"/>
                  <w:shd w:val="clear" w:color="000000" w:fill="CCE8CF"/>
                  <w:vAlign w:val="center"/>
                </w:tcPr>
                <w:p w14:paraId="1FAB2C73">
                  <w:pPr>
                    <w:pStyle w:val="70"/>
                    <w:spacing w:line="360" w:lineRule="auto"/>
                    <w:rPr>
                      <w:color w:val="auto"/>
                    </w:rPr>
                  </w:pPr>
                  <w:r>
                    <w:rPr>
                      <w:rFonts w:hint="eastAsia"/>
                      <w:color w:val="auto"/>
                    </w:rPr>
                    <w:t>非甲烷总烃</w:t>
                  </w:r>
                </w:p>
              </w:tc>
              <w:tc>
                <w:tcPr>
                  <w:tcW w:w="699" w:type="pct"/>
                  <w:vMerge w:val="continue"/>
                  <w:shd w:val="clear" w:color="000000" w:fill="CCE8CF"/>
                  <w:vAlign w:val="center"/>
                </w:tcPr>
                <w:p w14:paraId="3A9F4D8B">
                  <w:pPr>
                    <w:pStyle w:val="70"/>
                    <w:spacing w:line="360" w:lineRule="auto"/>
                    <w:rPr>
                      <w:color w:val="auto"/>
                    </w:rPr>
                  </w:pPr>
                </w:p>
              </w:tc>
              <w:tc>
                <w:tcPr>
                  <w:tcW w:w="2674" w:type="pct"/>
                  <w:shd w:val="clear" w:color="auto" w:fill="auto"/>
                  <w:vAlign w:val="center"/>
                </w:tcPr>
                <w:p w14:paraId="5EF5FAB7">
                  <w:pPr>
                    <w:pStyle w:val="70"/>
                    <w:spacing w:line="360" w:lineRule="auto"/>
                    <w:rPr>
                      <w:color w:val="auto"/>
                    </w:rPr>
                  </w:pPr>
                  <w:r>
                    <w:rPr>
                      <w:rFonts w:hint="eastAsia"/>
                      <w:color w:val="auto"/>
                      <w:lang w:val="en-US" w:eastAsia="zh-CN"/>
                    </w:rPr>
                    <w:t>广东省地方标准</w:t>
                  </w:r>
                  <w:r>
                    <w:rPr>
                      <w:rFonts w:hint="eastAsia"/>
                      <w:color w:val="auto"/>
                    </w:rPr>
                    <w:t>《固定污染源挥发性有机物综合排放标准》（DB44/2</w:t>
                  </w:r>
                  <w:r>
                    <w:rPr>
                      <w:rFonts w:hint="eastAsia"/>
                      <w:color w:val="auto"/>
                      <w:lang w:val="en-US" w:eastAsia="zh-CN"/>
                    </w:rPr>
                    <w:t>36</w:t>
                  </w:r>
                  <w:r>
                    <w:rPr>
                      <w:rFonts w:hint="eastAsia"/>
                      <w:color w:val="auto"/>
                    </w:rPr>
                    <w:t>7-20</w:t>
                  </w:r>
                  <w:r>
                    <w:rPr>
                      <w:rFonts w:hint="eastAsia"/>
                      <w:color w:val="auto"/>
                      <w:lang w:val="en-US" w:eastAsia="zh-CN"/>
                    </w:rPr>
                    <w:t>22</w:t>
                  </w:r>
                  <w:r>
                    <w:rPr>
                      <w:rFonts w:hint="eastAsia"/>
                      <w:color w:val="auto"/>
                    </w:rPr>
                    <w:t>）表</w:t>
                  </w:r>
                  <w:r>
                    <w:rPr>
                      <w:rFonts w:hint="eastAsia"/>
                      <w:color w:val="auto"/>
                      <w:lang w:val="en-US" w:eastAsia="zh-CN"/>
                    </w:rPr>
                    <w:t>3</w:t>
                  </w:r>
                  <w:r>
                    <w:rPr>
                      <w:rFonts w:hint="eastAsia"/>
                      <w:color w:val="auto"/>
                    </w:rPr>
                    <w:t>中</w:t>
                  </w:r>
                  <w:r>
                    <w:rPr>
                      <w:rFonts w:hint="eastAsia"/>
                      <w:color w:val="auto"/>
                      <w:lang w:val="en-US" w:eastAsia="zh-CN"/>
                    </w:rPr>
                    <w:t>厂区内VOCs</w:t>
                  </w:r>
                  <w:r>
                    <w:rPr>
                      <w:rFonts w:hint="eastAsia"/>
                      <w:color w:val="auto"/>
                    </w:rPr>
                    <w:t>无组织排放限值</w:t>
                  </w:r>
                </w:p>
              </w:tc>
            </w:tr>
            <w:tr w14:paraId="40069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84" w:type="pct"/>
                  <w:vMerge w:val="continue"/>
                  <w:vAlign w:val="center"/>
                </w:tcPr>
                <w:p w14:paraId="72221EC2">
                  <w:pPr>
                    <w:pStyle w:val="70"/>
                    <w:spacing w:line="360" w:lineRule="auto"/>
                    <w:rPr>
                      <w:color w:val="auto"/>
                    </w:rPr>
                  </w:pPr>
                </w:p>
              </w:tc>
              <w:tc>
                <w:tcPr>
                  <w:tcW w:w="841" w:type="pct"/>
                  <w:shd w:val="clear" w:color="000000" w:fill="CCE8CF"/>
                  <w:vAlign w:val="center"/>
                </w:tcPr>
                <w:p w14:paraId="7D372114">
                  <w:pPr>
                    <w:pStyle w:val="70"/>
                    <w:spacing w:line="360" w:lineRule="auto"/>
                    <w:rPr>
                      <w:color w:val="auto"/>
                    </w:rPr>
                  </w:pPr>
                  <w:r>
                    <w:rPr>
                      <w:color w:val="auto"/>
                    </w:rPr>
                    <w:t>颗粒物</w:t>
                  </w:r>
                </w:p>
              </w:tc>
              <w:tc>
                <w:tcPr>
                  <w:tcW w:w="699" w:type="pct"/>
                  <w:vMerge w:val="continue"/>
                  <w:shd w:val="clear" w:color="000000" w:fill="CCE8CF"/>
                  <w:vAlign w:val="center"/>
                </w:tcPr>
                <w:p w14:paraId="1A5D85B2">
                  <w:pPr>
                    <w:pStyle w:val="70"/>
                    <w:spacing w:line="360" w:lineRule="auto"/>
                    <w:rPr>
                      <w:color w:val="auto"/>
                    </w:rPr>
                  </w:pPr>
                </w:p>
              </w:tc>
              <w:tc>
                <w:tcPr>
                  <w:tcW w:w="2674" w:type="pct"/>
                  <w:shd w:val="clear" w:color="auto" w:fill="auto"/>
                  <w:vAlign w:val="center"/>
                </w:tcPr>
                <w:p w14:paraId="3F027890">
                  <w:pPr>
                    <w:pStyle w:val="70"/>
                    <w:spacing w:line="360" w:lineRule="auto"/>
                    <w:rPr>
                      <w:color w:val="auto"/>
                    </w:rPr>
                  </w:pPr>
                  <w:r>
                    <w:rPr>
                      <w:rFonts w:hint="eastAsia"/>
                      <w:color w:val="auto"/>
                    </w:rPr>
                    <w:t>《工业炉窑大气污染物排放标准》（GB9078-1996）表3其他炉窑</w:t>
                  </w:r>
                  <w:r>
                    <w:rPr>
                      <w:rFonts w:hint="eastAsia" w:ascii="Times New Roman" w:hAnsi="Times New Roman" w:cs="Times New Roman"/>
                      <w:color w:val="auto"/>
                      <w:sz w:val="21"/>
                      <w:szCs w:val="21"/>
                      <w:highlight w:val="none"/>
                      <w:lang w:val="en-US" w:eastAsia="zh-CN"/>
                    </w:rPr>
                    <w:t>无组织排放烟（粉）尘最高允许</w:t>
                  </w:r>
                  <w:r>
                    <w:rPr>
                      <w:rFonts w:hint="eastAsia"/>
                      <w:color w:val="auto"/>
                    </w:rPr>
                    <w:t>浓度</w:t>
                  </w:r>
                </w:p>
              </w:tc>
            </w:tr>
          </w:tbl>
          <w:p w14:paraId="6939E96E">
            <w:pPr>
              <w:pStyle w:val="95"/>
              <w:spacing w:line="360" w:lineRule="auto"/>
              <w:ind w:firstLine="0" w:firstLineChars="0"/>
              <w:rPr>
                <w:b/>
                <w:color w:val="auto"/>
                <w:sz w:val="21"/>
                <w:szCs w:val="21"/>
              </w:rPr>
            </w:pPr>
            <w:r>
              <w:rPr>
                <w:rFonts w:hint="eastAsia"/>
                <w:b/>
                <w:color w:val="auto"/>
                <w:sz w:val="21"/>
                <w:szCs w:val="21"/>
              </w:rPr>
              <w:t>二</w:t>
            </w:r>
            <w:r>
              <w:rPr>
                <w:b/>
                <w:color w:val="auto"/>
                <w:sz w:val="21"/>
                <w:szCs w:val="21"/>
              </w:rPr>
              <w:t>、</w:t>
            </w:r>
            <w:r>
              <w:rPr>
                <w:rFonts w:hint="eastAsia"/>
                <w:b/>
                <w:color w:val="auto"/>
                <w:sz w:val="21"/>
                <w:szCs w:val="21"/>
              </w:rPr>
              <w:t>废水</w:t>
            </w:r>
          </w:p>
          <w:p w14:paraId="39FDE287">
            <w:pPr>
              <w:pStyle w:val="95"/>
              <w:spacing w:line="360" w:lineRule="auto"/>
              <w:ind w:firstLine="422"/>
              <w:rPr>
                <w:b/>
                <w:color w:val="auto"/>
                <w:sz w:val="21"/>
                <w:szCs w:val="21"/>
              </w:rPr>
            </w:pPr>
            <w:r>
              <w:rPr>
                <w:rFonts w:hint="eastAsia"/>
                <w:b/>
                <w:color w:val="auto"/>
                <w:sz w:val="21"/>
                <w:szCs w:val="21"/>
              </w:rPr>
              <w:t>1、</w:t>
            </w:r>
            <w:r>
              <w:rPr>
                <w:b/>
                <w:color w:val="auto"/>
                <w:sz w:val="21"/>
                <w:szCs w:val="21"/>
              </w:rPr>
              <w:t>废水产排情况</w:t>
            </w:r>
          </w:p>
          <w:p w14:paraId="35B95619">
            <w:pPr>
              <w:pStyle w:val="95"/>
              <w:spacing w:line="360" w:lineRule="auto"/>
              <w:ind w:firstLine="420"/>
              <w:rPr>
                <w:color w:val="auto"/>
                <w:sz w:val="21"/>
                <w:szCs w:val="21"/>
              </w:rPr>
            </w:pPr>
            <w:r>
              <w:rPr>
                <w:rFonts w:hint="eastAsia"/>
                <w:color w:val="auto"/>
                <w:sz w:val="21"/>
                <w:szCs w:val="21"/>
              </w:rPr>
              <w:t>（1）</w:t>
            </w:r>
            <w:r>
              <w:rPr>
                <w:color w:val="auto"/>
                <w:sz w:val="21"/>
                <w:szCs w:val="21"/>
              </w:rPr>
              <w:t>生活污水</w:t>
            </w:r>
          </w:p>
          <w:p w14:paraId="3D17BB4B">
            <w:pPr>
              <w:tabs>
                <w:tab w:val="left" w:pos="960"/>
              </w:tabs>
              <w:adjustRightInd w:val="0"/>
              <w:snapToGrid w:val="0"/>
              <w:spacing w:line="360" w:lineRule="auto"/>
              <w:ind w:firstLine="480"/>
              <w:rPr>
                <w:color w:val="auto"/>
                <w:szCs w:val="21"/>
              </w:rPr>
            </w:pPr>
            <w:r>
              <w:rPr>
                <w:color w:val="auto"/>
                <w:szCs w:val="21"/>
              </w:rPr>
              <w:t>生活污水产生排放量约为</w:t>
            </w:r>
            <w:r>
              <w:rPr>
                <w:rFonts w:hint="eastAsia"/>
                <w:color w:val="auto"/>
                <w:szCs w:val="21"/>
                <w:lang w:val="en-US" w:eastAsia="zh-CN"/>
              </w:rPr>
              <w:t>0</w:t>
            </w:r>
            <w:r>
              <w:rPr>
                <w:rFonts w:hint="eastAsia"/>
                <w:color w:val="auto"/>
                <w:szCs w:val="21"/>
              </w:rPr>
              <w:t>.6</w:t>
            </w:r>
            <w:r>
              <w:rPr>
                <w:color w:val="auto"/>
                <w:szCs w:val="21"/>
              </w:rPr>
              <w:t>吨/日（</w:t>
            </w:r>
            <w:r>
              <w:rPr>
                <w:rFonts w:hint="eastAsia"/>
                <w:color w:val="auto"/>
                <w:szCs w:val="21"/>
                <w:lang w:val="en-US" w:eastAsia="zh-CN"/>
              </w:rPr>
              <w:t>180</w:t>
            </w:r>
            <w:r>
              <w:rPr>
                <w:color w:val="auto"/>
                <w:szCs w:val="21"/>
              </w:rPr>
              <w:t>吨/年）。项目所在地已纳入</w:t>
            </w:r>
            <w:r>
              <w:rPr>
                <w:rFonts w:hint="eastAsia"/>
                <w:color w:val="auto"/>
                <w:szCs w:val="21"/>
                <w:u w:color="FF0000"/>
                <w:lang w:eastAsia="zh-CN"/>
              </w:rPr>
              <w:t>南朗横门污水处理厂</w:t>
            </w:r>
            <w:r>
              <w:rPr>
                <w:color w:val="auto"/>
                <w:szCs w:val="21"/>
              </w:rPr>
              <w:t>的处理范围之内，项目产生的生活污水经三级化粪池预处理达到广东省《水污染物排放限值》（DB44/26-2001）第二时段三级标准后</w:t>
            </w:r>
            <w:r>
              <w:rPr>
                <w:color w:val="auto"/>
                <w:kern w:val="0"/>
                <w:szCs w:val="21"/>
              </w:rPr>
              <w:t>，</w:t>
            </w:r>
            <w:r>
              <w:rPr>
                <w:color w:val="auto"/>
                <w:szCs w:val="21"/>
              </w:rPr>
              <w:t>排入市政污水管网进入</w:t>
            </w:r>
            <w:r>
              <w:rPr>
                <w:rFonts w:hint="eastAsia"/>
                <w:color w:val="auto"/>
                <w:szCs w:val="21"/>
                <w:u w:color="FF0000"/>
                <w:lang w:eastAsia="zh-CN"/>
              </w:rPr>
              <w:t>南朗横门污水处理厂</w:t>
            </w:r>
            <w:r>
              <w:rPr>
                <w:bCs/>
                <w:color w:val="auto"/>
                <w:szCs w:val="21"/>
              </w:rPr>
              <w:t>处理达标后排放至</w:t>
            </w:r>
            <w:r>
              <w:rPr>
                <w:rFonts w:hint="eastAsia"/>
                <w:bCs/>
                <w:color w:val="auto"/>
                <w:szCs w:val="21"/>
              </w:rPr>
              <w:t>涌口门上涌</w:t>
            </w:r>
            <w:r>
              <w:rPr>
                <w:color w:val="auto"/>
                <w:szCs w:val="21"/>
              </w:rPr>
              <w:t>。</w:t>
            </w:r>
          </w:p>
          <w:p w14:paraId="16DA8186">
            <w:pPr>
              <w:tabs>
                <w:tab w:val="left" w:pos="960"/>
              </w:tabs>
              <w:adjustRightInd w:val="0"/>
              <w:snapToGrid w:val="0"/>
              <w:spacing w:line="360" w:lineRule="auto"/>
              <w:ind w:firstLine="480"/>
              <w:rPr>
                <w:color w:val="auto"/>
                <w:szCs w:val="21"/>
              </w:rPr>
            </w:pPr>
            <w:r>
              <w:rPr>
                <w:rFonts w:hint="eastAsia" w:ascii="Times New Roman" w:hAnsi="Times New Roman" w:eastAsia="宋体"/>
                <w:b/>
                <w:bCs/>
                <w:color w:val="auto"/>
                <w:spacing w:val="0"/>
                <w:sz w:val="21"/>
                <w:szCs w:val="21"/>
                <w:highlight w:val="none"/>
                <w:lang w:val="en-US" w:eastAsia="zh-CN"/>
              </w:rPr>
              <w:t>生活污水排放</w:t>
            </w:r>
            <w:r>
              <w:rPr>
                <w:rFonts w:ascii="Times New Roman" w:hAnsi="Times New Roman" w:eastAsia="宋体"/>
                <w:b/>
                <w:bCs/>
                <w:color w:val="auto"/>
                <w:spacing w:val="0"/>
                <w:sz w:val="21"/>
                <w:szCs w:val="21"/>
                <w:highlight w:val="none"/>
              </w:rPr>
              <w:t>可行性</w:t>
            </w:r>
            <w:r>
              <w:rPr>
                <w:rFonts w:hint="eastAsia" w:ascii="Times New Roman" w:hAnsi="Times New Roman" w:eastAsia="宋体"/>
                <w:b/>
                <w:bCs/>
                <w:color w:val="auto"/>
                <w:spacing w:val="0"/>
                <w:sz w:val="21"/>
                <w:szCs w:val="21"/>
                <w:highlight w:val="none"/>
                <w:lang w:eastAsia="zh-CN"/>
              </w:rPr>
              <w:t>：</w:t>
            </w:r>
            <w:r>
              <w:rPr>
                <w:rFonts w:hint="eastAsia"/>
                <w:color w:val="auto"/>
                <w:szCs w:val="21"/>
                <w:u w:color="FF0000"/>
                <w:lang w:eastAsia="zh-CN"/>
              </w:rPr>
              <w:t>南朗横门污水处理厂</w:t>
            </w:r>
            <w:r>
              <w:rPr>
                <w:rFonts w:hint="eastAsia"/>
                <w:color w:val="auto"/>
                <w:szCs w:val="21"/>
              </w:rPr>
              <w:t>工程选址于中山市南朗镇横门烟墩山侧，</w:t>
            </w:r>
            <w:r>
              <w:rPr>
                <w:rFonts w:hint="eastAsia"/>
                <w:color w:val="auto"/>
                <w:szCs w:val="21"/>
                <w:u w:color="FF0000"/>
                <w:lang w:eastAsia="zh-CN"/>
              </w:rPr>
              <w:t>南朗横门污水处理厂</w:t>
            </w:r>
            <w:r>
              <w:rPr>
                <w:rFonts w:hint="eastAsia"/>
                <w:color w:val="auto"/>
                <w:szCs w:val="21"/>
              </w:rPr>
              <w:t>服务区范围为南朗街道及翠亨新区马鞍岛南部片区的生活污水，污水处理规模为</w:t>
            </w:r>
            <w:r>
              <w:rPr>
                <w:rFonts w:hint="eastAsia"/>
                <w:color w:val="auto"/>
                <w:szCs w:val="21"/>
                <w:lang w:val="en-US" w:eastAsia="zh-CN"/>
              </w:rPr>
              <w:t>10</w:t>
            </w:r>
            <w:r>
              <w:rPr>
                <w:rFonts w:hint="eastAsia"/>
                <w:color w:val="auto"/>
                <w:szCs w:val="21"/>
              </w:rPr>
              <w:t>万吨/日</w:t>
            </w:r>
            <w:r>
              <w:rPr>
                <w:rFonts w:hint="eastAsia"/>
                <w:color w:val="auto"/>
                <w:szCs w:val="21"/>
                <w:lang w:val="en-US" w:eastAsia="zh-CN"/>
              </w:rPr>
              <w:t>。</w:t>
            </w:r>
            <w:r>
              <w:rPr>
                <w:rFonts w:hint="eastAsia"/>
                <w:color w:val="auto"/>
                <w:szCs w:val="21"/>
                <w:u w:color="FF0000"/>
                <w:lang w:eastAsia="zh-CN"/>
              </w:rPr>
              <w:t>南朗横门污水处理厂</w:t>
            </w:r>
            <w:r>
              <w:rPr>
                <w:rFonts w:hint="eastAsia"/>
                <w:color w:val="auto"/>
                <w:szCs w:val="21"/>
              </w:rPr>
              <w:t>采用预处理+多级AO+矩形二沉池+加砂高效沉淀池工艺，配套紫外线消毒系统和机械深度脱水污泥处理技术，出水执行一级A排放标准。项目产生的生活污水约</w:t>
            </w:r>
            <w:r>
              <w:rPr>
                <w:rFonts w:hint="eastAsia"/>
                <w:color w:val="auto"/>
                <w:szCs w:val="21"/>
                <w:lang w:val="en-US" w:eastAsia="zh-CN"/>
              </w:rPr>
              <w:t>0</w:t>
            </w:r>
            <w:r>
              <w:rPr>
                <w:rFonts w:hint="eastAsia"/>
                <w:color w:val="auto"/>
                <w:szCs w:val="21"/>
              </w:rPr>
              <w:t>.</w:t>
            </w:r>
            <w:r>
              <w:rPr>
                <w:rFonts w:hint="eastAsia"/>
                <w:color w:val="auto"/>
                <w:szCs w:val="21"/>
                <w:lang w:val="en-US" w:eastAsia="zh-CN"/>
              </w:rPr>
              <w:t>6</w:t>
            </w:r>
            <w:r>
              <w:rPr>
                <w:rFonts w:hint="eastAsia"/>
                <w:color w:val="auto"/>
                <w:szCs w:val="21"/>
              </w:rPr>
              <w:t>t/d</w:t>
            </w:r>
            <w:r>
              <w:rPr>
                <w:rFonts w:hint="eastAsia"/>
                <w:color w:val="auto"/>
                <w:szCs w:val="21"/>
                <w:lang w:eastAsia="zh-CN"/>
              </w:rPr>
              <w:t>（</w:t>
            </w:r>
            <w:r>
              <w:rPr>
                <w:rFonts w:hint="eastAsia"/>
                <w:color w:val="auto"/>
                <w:szCs w:val="21"/>
                <w:lang w:val="en-US" w:eastAsia="zh-CN"/>
              </w:rPr>
              <w:t>200t/a</w:t>
            </w:r>
            <w:r>
              <w:rPr>
                <w:rFonts w:hint="eastAsia"/>
                <w:color w:val="auto"/>
                <w:szCs w:val="21"/>
                <w:lang w:eastAsia="zh-CN"/>
              </w:rPr>
              <w:t>）</w:t>
            </w:r>
            <w:r>
              <w:rPr>
                <w:rFonts w:hint="eastAsia"/>
                <w:color w:val="auto"/>
                <w:szCs w:val="21"/>
              </w:rPr>
              <w:t>，而</w:t>
            </w:r>
            <w:r>
              <w:rPr>
                <w:rFonts w:hint="eastAsia"/>
                <w:color w:val="auto"/>
                <w:szCs w:val="21"/>
                <w:lang w:val="en-US" w:eastAsia="zh-CN"/>
              </w:rPr>
              <w:t>南朗</w:t>
            </w:r>
            <w:r>
              <w:rPr>
                <w:rFonts w:hint="eastAsia"/>
                <w:color w:val="auto"/>
                <w:szCs w:val="21"/>
              </w:rPr>
              <w:t>横门污水处理厂处理能力为</w:t>
            </w:r>
            <w:r>
              <w:rPr>
                <w:rFonts w:hint="eastAsia"/>
                <w:color w:val="auto"/>
                <w:szCs w:val="21"/>
                <w:lang w:val="en-US" w:eastAsia="zh-CN"/>
              </w:rPr>
              <w:t>10</w:t>
            </w:r>
            <w:r>
              <w:rPr>
                <w:rFonts w:hint="eastAsia"/>
                <w:color w:val="auto"/>
                <w:szCs w:val="21"/>
              </w:rPr>
              <w:t>万t/d，项目生活污水日排放量为污水处理厂日处理能力的0.00</w:t>
            </w:r>
            <w:r>
              <w:rPr>
                <w:rFonts w:hint="eastAsia"/>
                <w:color w:val="auto"/>
                <w:szCs w:val="21"/>
                <w:lang w:val="en-US" w:eastAsia="zh-CN"/>
              </w:rPr>
              <w:t>0</w:t>
            </w:r>
            <w:r>
              <w:rPr>
                <w:rFonts w:hint="eastAsia"/>
                <w:color w:val="auto"/>
                <w:szCs w:val="21"/>
              </w:rPr>
              <w:t>6％，占比很小，在污水处理厂的处理能力之内，不会对</w:t>
            </w:r>
            <w:r>
              <w:rPr>
                <w:rFonts w:hint="eastAsia"/>
                <w:color w:val="auto"/>
                <w:szCs w:val="21"/>
                <w:u w:color="FF0000"/>
                <w:lang w:eastAsia="zh-CN"/>
              </w:rPr>
              <w:t>南朗横门污水处理厂</w:t>
            </w:r>
            <w:r>
              <w:rPr>
                <w:rFonts w:hint="eastAsia"/>
                <w:color w:val="auto"/>
                <w:szCs w:val="21"/>
              </w:rPr>
              <w:t>水量、水质负荷造成冲击，因此，本项目生活污水经化粪池预处理后排入</w:t>
            </w:r>
            <w:r>
              <w:rPr>
                <w:rFonts w:hint="eastAsia"/>
                <w:color w:val="auto"/>
                <w:szCs w:val="21"/>
                <w:u w:color="FF0000"/>
                <w:lang w:eastAsia="zh-CN"/>
              </w:rPr>
              <w:t>南朗横门污水处理厂</w:t>
            </w:r>
            <w:r>
              <w:rPr>
                <w:rFonts w:hint="eastAsia"/>
                <w:color w:val="auto"/>
                <w:szCs w:val="21"/>
              </w:rPr>
              <w:t>处理是可行的。</w:t>
            </w:r>
          </w:p>
          <w:p w14:paraId="3CCD04F6">
            <w:pPr>
              <w:tabs>
                <w:tab w:val="left" w:pos="960"/>
              </w:tabs>
              <w:adjustRightInd w:val="0"/>
              <w:snapToGrid w:val="0"/>
              <w:spacing w:line="360" w:lineRule="auto"/>
              <w:ind w:firstLine="480"/>
              <w:rPr>
                <w:color w:val="auto"/>
                <w:szCs w:val="21"/>
              </w:rPr>
            </w:pPr>
            <w:r>
              <w:rPr>
                <w:rFonts w:hint="eastAsia"/>
                <w:color w:val="auto"/>
                <w:szCs w:val="21"/>
                <w:lang w:eastAsia="zh-CN"/>
              </w:rPr>
              <w:t>综上所述</w:t>
            </w:r>
            <w:r>
              <w:rPr>
                <w:rFonts w:hint="eastAsia"/>
                <w:color w:val="auto"/>
                <w:szCs w:val="21"/>
              </w:rPr>
              <w:t>，本项目废水水质、水量均能满足依托</w:t>
            </w:r>
            <w:r>
              <w:rPr>
                <w:rFonts w:hint="eastAsia"/>
                <w:color w:val="auto"/>
                <w:szCs w:val="21"/>
                <w:u w:color="FF0000"/>
                <w:lang w:eastAsia="zh-CN"/>
              </w:rPr>
              <w:t>南朗横门污水处理厂</w:t>
            </w:r>
            <w:r>
              <w:rPr>
                <w:rFonts w:hint="eastAsia"/>
                <w:color w:val="auto"/>
                <w:szCs w:val="21"/>
              </w:rPr>
              <w:t>进行处理的相关要求，不会对污水处理厂正常运营造成影响，可利用污水处理厂进行处理。</w:t>
            </w:r>
          </w:p>
          <w:p w14:paraId="5A29DB1D">
            <w:pPr>
              <w:tabs>
                <w:tab w:val="left" w:pos="960"/>
              </w:tabs>
              <w:adjustRightInd w:val="0"/>
              <w:snapToGrid w:val="0"/>
              <w:spacing w:line="360" w:lineRule="auto"/>
              <w:ind w:firstLine="480"/>
              <w:rPr>
                <w:color w:val="auto"/>
                <w:szCs w:val="21"/>
              </w:rPr>
            </w:pPr>
            <w:r>
              <w:rPr>
                <w:rFonts w:hint="eastAsia"/>
                <w:color w:val="auto"/>
                <w:szCs w:val="21"/>
              </w:rPr>
              <w:t>（2）生产废水</w:t>
            </w:r>
          </w:p>
          <w:p w14:paraId="2181E7BB">
            <w:pPr>
              <w:tabs>
                <w:tab w:val="left" w:pos="960"/>
              </w:tabs>
              <w:adjustRightInd w:val="0"/>
              <w:snapToGrid w:val="0"/>
              <w:spacing w:line="360" w:lineRule="auto"/>
              <w:ind w:firstLine="480"/>
              <w:rPr>
                <w:rFonts w:hint="eastAsia"/>
                <w:color w:val="auto"/>
                <w:szCs w:val="21"/>
              </w:rPr>
            </w:pPr>
            <w:r>
              <w:rPr>
                <w:color w:val="auto"/>
                <w:szCs w:val="21"/>
              </w:rPr>
              <w:t>项目生产废水为</w:t>
            </w:r>
            <w:r>
              <w:rPr>
                <w:rFonts w:hint="eastAsia"/>
                <w:color w:val="auto"/>
                <w:szCs w:val="21"/>
                <w:lang w:val="en-US" w:eastAsia="zh-CN"/>
              </w:rPr>
              <w:t>544.8</w:t>
            </w:r>
            <w:r>
              <w:rPr>
                <w:color w:val="auto"/>
                <w:szCs w:val="21"/>
              </w:rPr>
              <w:t>t/a</w:t>
            </w:r>
            <w:r>
              <w:rPr>
                <w:rFonts w:hint="eastAsia"/>
                <w:color w:val="auto"/>
                <w:szCs w:val="21"/>
                <w:lang w:eastAsia="zh-CN"/>
              </w:rPr>
              <w:t>，</w:t>
            </w:r>
            <w:r>
              <w:rPr>
                <w:color w:val="auto"/>
                <w:szCs w:val="21"/>
              </w:rPr>
              <w:t>主要为</w:t>
            </w:r>
            <w:r>
              <w:rPr>
                <w:rFonts w:hint="eastAsia"/>
                <w:color w:val="auto"/>
                <w:szCs w:val="21"/>
                <w:lang w:val="en-US" w:eastAsia="zh-CN"/>
              </w:rPr>
              <w:t>半成品前处理水洗工序产生</w:t>
            </w:r>
            <w:r>
              <w:rPr>
                <w:color w:val="auto"/>
                <w:szCs w:val="21"/>
              </w:rPr>
              <w:t>清洗废水</w:t>
            </w:r>
            <w:r>
              <w:rPr>
                <w:rFonts w:hint="eastAsia"/>
                <w:color w:val="auto"/>
                <w:szCs w:val="21"/>
              </w:rPr>
              <w:t>，生产废水定期委托给有处理能力的废水处理机构处理。</w:t>
            </w:r>
          </w:p>
          <w:p w14:paraId="2B985E5B">
            <w:pPr>
              <w:tabs>
                <w:tab w:val="left" w:pos="960"/>
              </w:tabs>
              <w:adjustRightInd w:val="0"/>
              <w:snapToGrid w:val="0"/>
              <w:spacing w:line="360" w:lineRule="auto"/>
              <w:ind w:firstLine="480"/>
              <w:rPr>
                <w:rFonts w:hint="eastAsia"/>
                <w:color w:val="auto"/>
                <w:szCs w:val="21"/>
              </w:rPr>
            </w:pPr>
            <w:r>
              <w:rPr>
                <w:rFonts w:hint="eastAsia"/>
                <w:b/>
                <w:bCs/>
                <w:color w:val="auto"/>
                <w:szCs w:val="21"/>
                <w:lang w:val="en-US" w:eastAsia="zh-CN"/>
              </w:rPr>
              <w:t>生产废水：</w:t>
            </w:r>
            <w:r>
              <w:rPr>
                <w:rFonts w:hint="eastAsia"/>
                <w:color w:val="auto"/>
                <w:szCs w:val="21"/>
                <w:lang w:val="en-US" w:eastAsia="zh-CN"/>
              </w:rPr>
              <w:t>项目生产废水产生量为544.8t/a</w:t>
            </w:r>
            <w:r>
              <w:rPr>
                <w:rFonts w:hint="eastAsia"/>
                <w:color w:val="auto"/>
                <w:szCs w:val="21"/>
                <w:lang w:eastAsia="zh-CN"/>
              </w:rPr>
              <w:t>，</w:t>
            </w:r>
            <w:r>
              <w:rPr>
                <w:rFonts w:hint="eastAsia"/>
                <w:color w:val="auto"/>
                <w:szCs w:val="21"/>
              </w:rPr>
              <w:t>主要污染因子为</w:t>
            </w:r>
            <w:r>
              <w:rPr>
                <w:rFonts w:hint="eastAsia"/>
                <w:color w:val="auto"/>
                <w:szCs w:val="21"/>
                <w:lang w:val="en-US" w:eastAsia="zh-CN"/>
              </w:rPr>
              <w:t>p</w:t>
            </w:r>
            <w:r>
              <w:rPr>
                <w:color w:val="auto"/>
                <w:szCs w:val="21"/>
              </w:rPr>
              <w:t>H</w:t>
            </w:r>
            <w:r>
              <w:rPr>
                <w:rFonts w:hint="eastAsia"/>
                <w:color w:val="auto"/>
                <w:szCs w:val="21"/>
              </w:rPr>
              <w:t>、</w:t>
            </w:r>
            <w:r>
              <w:rPr>
                <w:color w:val="auto"/>
                <w:szCs w:val="21"/>
              </w:rPr>
              <w:t>CODcr</w:t>
            </w:r>
            <w:r>
              <w:rPr>
                <w:rFonts w:hint="eastAsia"/>
                <w:color w:val="auto"/>
                <w:szCs w:val="21"/>
              </w:rPr>
              <w:t>、</w:t>
            </w:r>
            <w:r>
              <w:rPr>
                <w:color w:val="auto"/>
                <w:szCs w:val="21"/>
              </w:rPr>
              <w:t>BOD</w:t>
            </w:r>
            <w:r>
              <w:rPr>
                <w:color w:val="auto"/>
                <w:szCs w:val="21"/>
                <w:vertAlign w:val="subscript"/>
              </w:rPr>
              <w:t>5</w:t>
            </w:r>
            <w:r>
              <w:rPr>
                <w:rFonts w:hint="eastAsia"/>
                <w:color w:val="auto"/>
                <w:szCs w:val="21"/>
              </w:rPr>
              <w:t>、</w:t>
            </w:r>
            <w:r>
              <w:rPr>
                <w:color w:val="auto"/>
                <w:szCs w:val="21"/>
              </w:rPr>
              <w:t>SS</w:t>
            </w:r>
            <w:r>
              <w:rPr>
                <w:rFonts w:hint="eastAsia"/>
                <w:color w:val="auto"/>
                <w:szCs w:val="21"/>
              </w:rPr>
              <w:t>、氨氮</w:t>
            </w:r>
            <w:r>
              <w:rPr>
                <w:rFonts w:hint="eastAsia"/>
                <w:color w:val="auto"/>
                <w:szCs w:val="21"/>
                <w:lang w:eastAsia="zh-CN"/>
              </w:rPr>
              <w:t>、</w:t>
            </w:r>
            <w:r>
              <w:rPr>
                <w:rFonts w:hint="eastAsia"/>
                <w:color w:val="auto"/>
                <w:szCs w:val="21"/>
                <w:lang w:val="en-US" w:eastAsia="zh-CN"/>
              </w:rPr>
              <w:t>石油类</w:t>
            </w:r>
            <w:r>
              <w:rPr>
                <w:rFonts w:hint="eastAsia"/>
                <w:color w:val="auto"/>
                <w:szCs w:val="21"/>
              </w:rPr>
              <w:t>等</w:t>
            </w:r>
            <w:r>
              <w:rPr>
                <w:rFonts w:hint="eastAsia"/>
                <w:color w:val="auto"/>
                <w:szCs w:val="21"/>
                <w:lang w:eastAsia="zh-CN"/>
              </w:rPr>
              <w:t>，</w:t>
            </w:r>
            <w:r>
              <w:rPr>
                <w:rFonts w:hint="eastAsia"/>
                <w:color w:val="auto"/>
                <w:szCs w:val="21"/>
                <w:lang w:val="en-US" w:eastAsia="zh-CN"/>
              </w:rPr>
              <w:t>污染物产生浓度参考</w:t>
            </w:r>
            <w:r>
              <w:rPr>
                <w:rFonts w:hint="eastAsia"/>
                <w:color w:val="auto"/>
                <w:szCs w:val="21"/>
              </w:rPr>
              <w:t>《佛山市顺德区勒流镇新荣喷粉厂技改项目(一期)竣工环境保护验收监测报告》</w:t>
            </w:r>
            <w:r>
              <w:rPr>
                <w:rFonts w:hint="eastAsia"/>
                <w:color w:val="auto"/>
                <w:szCs w:val="21"/>
                <w:lang w:eastAsia="zh-CN"/>
              </w:rPr>
              <w:t>（</w:t>
            </w:r>
            <w:r>
              <w:rPr>
                <w:rFonts w:hint="eastAsia"/>
                <w:color w:val="auto"/>
                <w:szCs w:val="21"/>
                <w:lang w:val="en-US" w:eastAsia="zh-CN"/>
              </w:rPr>
              <w:t>详见附册</w:t>
            </w:r>
            <w:r>
              <w:rPr>
                <w:rFonts w:hint="eastAsia"/>
                <w:color w:val="auto"/>
                <w:szCs w:val="21"/>
                <w:lang w:eastAsia="zh-CN"/>
              </w:rPr>
              <w:t>）</w:t>
            </w:r>
            <w:r>
              <w:rPr>
                <w:rFonts w:hint="eastAsia"/>
                <w:color w:val="auto"/>
                <w:szCs w:val="21"/>
              </w:rPr>
              <w:t>。</w:t>
            </w:r>
          </w:p>
          <w:p w14:paraId="2E7A9066">
            <w:pPr>
              <w:pStyle w:val="9"/>
              <w:spacing w:line="360" w:lineRule="auto"/>
              <w:ind w:left="630" w:leftChars="0" w:firstLineChars="0"/>
              <w:rPr>
                <w:color w:val="auto"/>
                <w:szCs w:val="21"/>
              </w:rPr>
            </w:pPr>
            <w:r>
              <w:rPr>
                <w:rFonts w:hint="eastAsia"/>
                <w:color w:val="auto"/>
                <w:szCs w:val="21"/>
                <w:lang w:val="en-US" w:eastAsia="zh-CN"/>
              </w:rPr>
              <w:t>类比项目情况分析</w:t>
            </w:r>
            <w:r>
              <w:rPr>
                <w:color w:val="auto"/>
                <w:szCs w:val="21"/>
              </w:rPr>
              <w:t>一览表</w:t>
            </w:r>
          </w:p>
          <w:tbl>
            <w:tblPr>
              <w:tblStyle w:val="35"/>
              <w:tblW w:w="82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7"/>
              <w:gridCol w:w="700"/>
              <w:gridCol w:w="2491"/>
              <w:gridCol w:w="2277"/>
              <w:gridCol w:w="2086"/>
            </w:tblGrid>
            <w:tr w14:paraId="5E71C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dxa"/>
                  <w:noWrap w:val="0"/>
                  <w:vAlign w:val="center"/>
                </w:tcPr>
                <w:p w14:paraId="6CEDB9A1">
                  <w:pPr>
                    <w:jc w:val="center"/>
                    <w:rPr>
                      <w:rFonts w:ascii="Times New Roman" w:hAnsi="Times New Roman"/>
                      <w:b/>
                      <w:bCs/>
                      <w:color w:val="auto"/>
                    </w:rPr>
                  </w:pPr>
                  <w:r>
                    <w:rPr>
                      <w:rFonts w:hint="eastAsia" w:ascii="Times New Roman" w:hAnsi="Times New Roman"/>
                      <w:b/>
                      <w:bCs/>
                      <w:color w:val="auto"/>
                    </w:rPr>
                    <w:t>序号</w:t>
                  </w:r>
                </w:p>
              </w:tc>
              <w:tc>
                <w:tcPr>
                  <w:tcW w:w="700" w:type="dxa"/>
                  <w:noWrap w:val="0"/>
                  <w:vAlign w:val="center"/>
                </w:tcPr>
                <w:p w14:paraId="35FEA5FA">
                  <w:pPr>
                    <w:jc w:val="center"/>
                    <w:rPr>
                      <w:rFonts w:ascii="Times New Roman" w:hAnsi="Times New Roman"/>
                      <w:b/>
                      <w:bCs/>
                      <w:color w:val="auto"/>
                    </w:rPr>
                  </w:pPr>
                  <w:r>
                    <w:rPr>
                      <w:rFonts w:hint="eastAsia" w:ascii="Times New Roman" w:hAnsi="Times New Roman"/>
                      <w:b/>
                      <w:bCs/>
                      <w:color w:val="auto"/>
                    </w:rPr>
                    <w:t>类别</w:t>
                  </w:r>
                </w:p>
              </w:tc>
              <w:tc>
                <w:tcPr>
                  <w:tcW w:w="2491" w:type="dxa"/>
                  <w:noWrap w:val="0"/>
                  <w:vAlign w:val="center"/>
                </w:tcPr>
                <w:p w14:paraId="2E0A23E4">
                  <w:pPr>
                    <w:jc w:val="center"/>
                    <w:rPr>
                      <w:rFonts w:ascii="Times New Roman" w:hAnsi="Times New Roman"/>
                      <w:b/>
                      <w:bCs/>
                      <w:color w:val="auto"/>
                    </w:rPr>
                  </w:pPr>
                  <w:r>
                    <w:rPr>
                      <w:rFonts w:hint="eastAsia"/>
                      <w:b/>
                      <w:bCs/>
                      <w:color w:val="auto"/>
                      <w:szCs w:val="21"/>
                    </w:rPr>
                    <w:t>佛山市顺德区勒流镇新荣喷粉厂技改项目</w:t>
                  </w:r>
                  <w:r>
                    <w:rPr>
                      <w:rFonts w:hint="eastAsia" w:ascii="Times New Roman" w:hAnsi="Times New Roman"/>
                      <w:b/>
                      <w:bCs/>
                      <w:color w:val="auto"/>
                    </w:rPr>
                    <w:t>情况</w:t>
                  </w:r>
                </w:p>
              </w:tc>
              <w:tc>
                <w:tcPr>
                  <w:tcW w:w="2277" w:type="dxa"/>
                  <w:noWrap w:val="0"/>
                  <w:vAlign w:val="center"/>
                </w:tcPr>
                <w:p w14:paraId="396696EB">
                  <w:pPr>
                    <w:jc w:val="center"/>
                    <w:rPr>
                      <w:rFonts w:ascii="Times New Roman" w:hAnsi="Times New Roman"/>
                      <w:b/>
                      <w:bCs/>
                      <w:color w:val="auto"/>
                    </w:rPr>
                  </w:pPr>
                  <w:r>
                    <w:rPr>
                      <w:rFonts w:hint="eastAsia" w:ascii="Times New Roman" w:hAnsi="Times New Roman"/>
                      <w:b/>
                      <w:bCs/>
                      <w:color w:val="auto"/>
                    </w:rPr>
                    <w:t>本项目情况</w:t>
                  </w:r>
                </w:p>
              </w:tc>
              <w:tc>
                <w:tcPr>
                  <w:tcW w:w="2086" w:type="dxa"/>
                  <w:noWrap w:val="0"/>
                  <w:vAlign w:val="center"/>
                </w:tcPr>
                <w:p w14:paraId="323A5997">
                  <w:pPr>
                    <w:jc w:val="center"/>
                    <w:rPr>
                      <w:rFonts w:ascii="Times New Roman" w:hAnsi="Times New Roman"/>
                      <w:b/>
                      <w:bCs/>
                      <w:color w:val="auto"/>
                    </w:rPr>
                  </w:pPr>
                  <w:r>
                    <w:rPr>
                      <w:rFonts w:hint="eastAsia" w:ascii="Times New Roman" w:hAnsi="Times New Roman"/>
                      <w:b/>
                      <w:bCs/>
                      <w:color w:val="auto"/>
                    </w:rPr>
                    <w:t>类比结论说明</w:t>
                  </w:r>
                </w:p>
              </w:tc>
            </w:tr>
            <w:tr w14:paraId="31171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dxa"/>
                  <w:noWrap w:val="0"/>
                  <w:vAlign w:val="center"/>
                </w:tcPr>
                <w:p w14:paraId="26291001">
                  <w:pPr>
                    <w:jc w:val="center"/>
                    <w:rPr>
                      <w:rFonts w:ascii="Times New Roman" w:hAnsi="Times New Roman"/>
                      <w:color w:val="auto"/>
                    </w:rPr>
                  </w:pPr>
                  <w:r>
                    <w:rPr>
                      <w:rFonts w:hint="eastAsia" w:ascii="Times New Roman" w:hAnsi="Times New Roman"/>
                      <w:color w:val="auto"/>
                    </w:rPr>
                    <w:t>1</w:t>
                  </w:r>
                </w:p>
              </w:tc>
              <w:tc>
                <w:tcPr>
                  <w:tcW w:w="700" w:type="dxa"/>
                  <w:noWrap w:val="0"/>
                  <w:vAlign w:val="center"/>
                </w:tcPr>
                <w:p w14:paraId="1C44E4BE">
                  <w:pPr>
                    <w:jc w:val="center"/>
                    <w:rPr>
                      <w:rFonts w:ascii="Times New Roman" w:hAnsi="Times New Roman"/>
                      <w:color w:val="auto"/>
                    </w:rPr>
                  </w:pPr>
                  <w:r>
                    <w:rPr>
                      <w:rFonts w:hint="eastAsia" w:ascii="Times New Roman" w:hAnsi="Times New Roman"/>
                      <w:color w:val="auto"/>
                      <w:lang w:val="en-US" w:eastAsia="zh-CN"/>
                    </w:rPr>
                    <w:t>主要</w:t>
                  </w:r>
                  <w:r>
                    <w:rPr>
                      <w:rFonts w:hint="eastAsia" w:ascii="Times New Roman" w:hAnsi="Times New Roman"/>
                      <w:color w:val="auto"/>
                    </w:rPr>
                    <w:t>原辅材料</w:t>
                  </w:r>
                </w:p>
              </w:tc>
              <w:tc>
                <w:tcPr>
                  <w:tcW w:w="2491" w:type="dxa"/>
                  <w:noWrap w:val="0"/>
                  <w:vAlign w:val="center"/>
                </w:tcPr>
                <w:p w14:paraId="35920DDA">
                  <w:pPr>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五金件、树脂粉末、脱脂剂、脱脂助剂、陶化剂、机油、液化石油气</w:t>
                  </w:r>
                </w:p>
              </w:tc>
              <w:tc>
                <w:tcPr>
                  <w:tcW w:w="2277" w:type="dxa"/>
                  <w:noWrap w:val="0"/>
                  <w:vAlign w:val="center"/>
                </w:tcPr>
                <w:p w14:paraId="30212DFF">
                  <w:pPr>
                    <w:jc w:val="center"/>
                    <w:rPr>
                      <w:rFonts w:hint="default" w:ascii="Times New Roman" w:hAnsi="Times New Roman"/>
                      <w:color w:val="auto"/>
                      <w:lang w:val="en-US"/>
                    </w:rPr>
                  </w:pPr>
                  <w:r>
                    <w:rPr>
                      <w:rFonts w:hint="eastAsia" w:ascii="Times New Roman" w:hAnsi="Times New Roman"/>
                      <w:color w:val="auto"/>
                      <w:lang w:val="en-US" w:eastAsia="zh-CN"/>
                    </w:rPr>
                    <w:t>铁管、环氧聚酯粉末、除油剂、陶化剂、润滑油、液化石油气</w:t>
                  </w:r>
                </w:p>
              </w:tc>
              <w:tc>
                <w:tcPr>
                  <w:tcW w:w="2086" w:type="dxa"/>
                  <w:noWrap w:val="0"/>
                  <w:vAlign w:val="center"/>
                </w:tcPr>
                <w:p w14:paraId="30C20545">
                  <w:pPr>
                    <w:jc w:val="center"/>
                    <w:rPr>
                      <w:rFonts w:ascii="Times New Roman" w:hAnsi="Times New Roman"/>
                      <w:color w:val="auto"/>
                    </w:rPr>
                  </w:pPr>
                  <w:r>
                    <w:rPr>
                      <w:rFonts w:hint="eastAsia" w:ascii="Times New Roman" w:hAnsi="Times New Roman"/>
                      <w:color w:val="auto"/>
                      <w:lang w:val="en-US" w:eastAsia="zh-CN"/>
                    </w:rPr>
                    <w:t>原辅材料类型及用途相同，</w:t>
                  </w:r>
                  <w:r>
                    <w:rPr>
                      <w:rFonts w:hint="eastAsia"/>
                      <w:color w:val="auto"/>
                      <w:lang w:val="en-US" w:eastAsia="zh-CN"/>
                    </w:rPr>
                    <w:t>成分有差异，</w:t>
                  </w:r>
                  <w:r>
                    <w:rPr>
                      <w:rFonts w:hint="eastAsia" w:ascii="Times New Roman" w:hAnsi="Times New Roman"/>
                      <w:color w:val="auto"/>
                    </w:rPr>
                    <w:t>与类比项目情况相似，具有可类比性</w:t>
                  </w:r>
                </w:p>
              </w:tc>
            </w:tr>
            <w:tr w14:paraId="6E1E9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dxa"/>
                  <w:noWrap w:val="0"/>
                  <w:vAlign w:val="center"/>
                </w:tcPr>
                <w:p w14:paraId="505D56CC">
                  <w:pPr>
                    <w:jc w:val="center"/>
                    <w:rPr>
                      <w:rFonts w:ascii="Times New Roman" w:hAnsi="Times New Roman"/>
                      <w:color w:val="auto"/>
                    </w:rPr>
                  </w:pPr>
                  <w:r>
                    <w:rPr>
                      <w:rFonts w:hint="eastAsia" w:ascii="Times New Roman" w:hAnsi="Times New Roman"/>
                      <w:color w:val="auto"/>
                    </w:rPr>
                    <w:t>2</w:t>
                  </w:r>
                </w:p>
              </w:tc>
              <w:tc>
                <w:tcPr>
                  <w:tcW w:w="700" w:type="dxa"/>
                  <w:noWrap w:val="0"/>
                  <w:vAlign w:val="center"/>
                </w:tcPr>
                <w:p w14:paraId="66576494">
                  <w:pPr>
                    <w:jc w:val="center"/>
                    <w:rPr>
                      <w:rFonts w:ascii="Times New Roman" w:hAnsi="Times New Roman"/>
                      <w:color w:val="auto"/>
                    </w:rPr>
                  </w:pPr>
                  <w:r>
                    <w:rPr>
                      <w:rFonts w:hint="eastAsia" w:ascii="Times New Roman" w:hAnsi="Times New Roman"/>
                      <w:color w:val="auto"/>
                    </w:rPr>
                    <w:t>工艺</w:t>
                  </w:r>
                </w:p>
              </w:tc>
              <w:tc>
                <w:tcPr>
                  <w:tcW w:w="2491" w:type="dxa"/>
                  <w:noWrap w:val="0"/>
                  <w:vAlign w:val="center"/>
                </w:tcPr>
                <w:p w14:paraId="0A0E229C">
                  <w:pPr>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除油、喷淋水洗/游浸水洗、陶化、喷淋水洗/游浸水洗、喷粉、固化</w:t>
                  </w:r>
                </w:p>
              </w:tc>
              <w:tc>
                <w:tcPr>
                  <w:tcW w:w="2277" w:type="dxa"/>
                  <w:noWrap w:val="0"/>
                  <w:vAlign w:val="center"/>
                </w:tcPr>
                <w:p w14:paraId="07EE7E5E">
                  <w:pPr>
                    <w:jc w:val="center"/>
                    <w:rPr>
                      <w:rFonts w:ascii="Times New Roman" w:hAnsi="Times New Roman"/>
                      <w:color w:val="auto"/>
                    </w:rPr>
                  </w:pPr>
                  <w:r>
                    <w:rPr>
                      <w:rFonts w:hint="eastAsia" w:ascii="Times New Roman" w:hAnsi="Times New Roman"/>
                      <w:color w:val="auto"/>
                      <w:lang w:val="en-US" w:eastAsia="zh-CN"/>
                    </w:rPr>
                    <w:t>除油、陶化、（喷淋）水洗、喷粉、固化</w:t>
                  </w:r>
                </w:p>
              </w:tc>
              <w:tc>
                <w:tcPr>
                  <w:tcW w:w="2086" w:type="dxa"/>
                  <w:noWrap w:val="0"/>
                  <w:vAlign w:val="center"/>
                </w:tcPr>
                <w:p w14:paraId="2E47EF75">
                  <w:pPr>
                    <w:jc w:val="center"/>
                    <w:rPr>
                      <w:rFonts w:ascii="Times New Roman" w:hAnsi="Times New Roman"/>
                      <w:color w:val="auto"/>
                    </w:rPr>
                  </w:pPr>
                  <w:r>
                    <w:rPr>
                      <w:rFonts w:hint="eastAsia"/>
                      <w:color w:val="auto"/>
                      <w:lang w:val="en-US" w:eastAsia="zh-CN"/>
                    </w:rPr>
                    <w:t>主要</w:t>
                  </w:r>
                  <w:r>
                    <w:rPr>
                      <w:rFonts w:hint="eastAsia" w:ascii="Times New Roman" w:hAnsi="Times New Roman"/>
                      <w:color w:val="auto"/>
                    </w:rPr>
                    <w:t>工艺</w:t>
                  </w:r>
                  <w:r>
                    <w:rPr>
                      <w:rFonts w:hint="eastAsia" w:ascii="Times New Roman" w:hAnsi="Times New Roman"/>
                      <w:color w:val="auto"/>
                      <w:lang w:val="en-US" w:eastAsia="zh-CN"/>
                    </w:rPr>
                    <w:t>均含除油、清洗、陶化、喷粉、固化，</w:t>
                  </w:r>
                  <w:r>
                    <w:rPr>
                      <w:rFonts w:hint="eastAsia"/>
                      <w:color w:val="auto"/>
                      <w:lang w:val="en-US" w:eastAsia="zh-CN"/>
                    </w:rPr>
                    <w:t>原料预处理工艺有差异，</w:t>
                  </w:r>
                  <w:r>
                    <w:rPr>
                      <w:rFonts w:hint="eastAsia" w:ascii="Times New Roman" w:hAnsi="Times New Roman"/>
                      <w:color w:val="auto"/>
                    </w:rPr>
                    <w:t>与类比项目情况相似，具有可类比性</w:t>
                  </w:r>
                </w:p>
              </w:tc>
            </w:tr>
            <w:tr w14:paraId="788B5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dxa"/>
                  <w:noWrap w:val="0"/>
                  <w:vAlign w:val="center"/>
                </w:tcPr>
                <w:p w14:paraId="33E2FB18">
                  <w:pPr>
                    <w:jc w:val="center"/>
                    <w:rPr>
                      <w:rFonts w:ascii="Times New Roman" w:hAnsi="Times New Roman"/>
                      <w:color w:val="auto"/>
                    </w:rPr>
                  </w:pPr>
                  <w:r>
                    <w:rPr>
                      <w:rFonts w:hint="eastAsia" w:ascii="Times New Roman" w:hAnsi="Times New Roman"/>
                      <w:color w:val="auto"/>
                    </w:rPr>
                    <w:t>3</w:t>
                  </w:r>
                </w:p>
              </w:tc>
              <w:tc>
                <w:tcPr>
                  <w:tcW w:w="700" w:type="dxa"/>
                  <w:noWrap w:val="0"/>
                  <w:vAlign w:val="center"/>
                </w:tcPr>
                <w:p w14:paraId="529EF7E1">
                  <w:pPr>
                    <w:jc w:val="center"/>
                    <w:rPr>
                      <w:rFonts w:ascii="Times New Roman" w:hAnsi="Times New Roman"/>
                      <w:color w:val="auto"/>
                    </w:rPr>
                  </w:pPr>
                  <w:r>
                    <w:rPr>
                      <w:rFonts w:hint="eastAsia" w:ascii="Times New Roman" w:hAnsi="Times New Roman"/>
                      <w:color w:val="auto"/>
                    </w:rPr>
                    <w:t>主要</w:t>
                  </w:r>
                  <w:r>
                    <w:rPr>
                      <w:rFonts w:hint="eastAsia" w:ascii="Times New Roman" w:hAnsi="Times New Roman"/>
                      <w:color w:val="auto"/>
                      <w:lang w:val="en-US" w:eastAsia="zh-CN"/>
                    </w:rPr>
                    <w:t>生产</w:t>
                  </w:r>
                  <w:r>
                    <w:rPr>
                      <w:rFonts w:hint="eastAsia" w:ascii="Times New Roman" w:hAnsi="Times New Roman"/>
                      <w:color w:val="auto"/>
                    </w:rPr>
                    <w:t>设备</w:t>
                  </w:r>
                </w:p>
              </w:tc>
              <w:tc>
                <w:tcPr>
                  <w:tcW w:w="2491" w:type="dxa"/>
                  <w:noWrap w:val="0"/>
                  <w:vAlign w:val="center"/>
                </w:tcPr>
                <w:p w14:paraId="67440261">
                  <w:pPr>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全自动喷粉线（喷粉柜、喷枪、固化炉/烘干炉）、自动喷淋线（除油池、陶化池、清洗池）、自动游浸线（除油池、陶化池、清洗池）</w:t>
                  </w:r>
                </w:p>
              </w:tc>
              <w:tc>
                <w:tcPr>
                  <w:tcW w:w="2277" w:type="dxa"/>
                  <w:noWrap w:val="0"/>
                  <w:vAlign w:val="center"/>
                </w:tcPr>
                <w:p w14:paraId="64463316">
                  <w:pPr>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自动线（烘干线+固化线、自动喷粉房、</w:t>
                  </w:r>
                  <w:r>
                    <w:rPr>
                      <w:rFonts w:hint="eastAsia" w:ascii="Times New Roman" w:hAnsi="Times New Roman"/>
                      <w:color w:val="auto"/>
                      <w:lang w:val="en-US" w:eastAsia="zh-CN"/>
                    </w:rPr>
                    <w:t>除油池、陶化池、水洗池</w:t>
                  </w:r>
                  <w:r>
                    <w:rPr>
                      <w:rFonts w:hint="eastAsia" w:ascii="Times New Roman" w:hAnsi="Times New Roman"/>
                      <w:color w:val="auto"/>
                      <w:lang w:val="en-US" w:eastAsia="zh-CN"/>
                    </w:rPr>
                    <w:t>）、手动线（手动喷粉柜、面包炉、</w:t>
                  </w:r>
                  <w:r>
                    <w:rPr>
                      <w:rFonts w:hint="eastAsia" w:ascii="Times New Roman" w:hAnsi="Times New Roman"/>
                      <w:color w:val="auto"/>
                      <w:lang w:val="en-US" w:eastAsia="zh-CN"/>
                    </w:rPr>
                    <w:t>除油池、陶化池、水洗池</w:t>
                  </w:r>
                  <w:r>
                    <w:rPr>
                      <w:rFonts w:hint="eastAsia" w:ascii="Times New Roman" w:hAnsi="Times New Roman"/>
                      <w:color w:val="auto"/>
                      <w:lang w:val="en-US" w:eastAsia="zh-CN"/>
                    </w:rPr>
                    <w:t>）</w:t>
                  </w:r>
                </w:p>
              </w:tc>
              <w:tc>
                <w:tcPr>
                  <w:tcW w:w="2086" w:type="dxa"/>
                  <w:noWrap w:val="0"/>
                  <w:vAlign w:val="center"/>
                </w:tcPr>
                <w:p w14:paraId="6B806E8B">
                  <w:pPr>
                    <w:jc w:val="center"/>
                    <w:rPr>
                      <w:rFonts w:ascii="Times New Roman" w:hAnsi="Times New Roman"/>
                      <w:color w:val="auto"/>
                    </w:rPr>
                  </w:pPr>
                  <w:r>
                    <w:rPr>
                      <w:rFonts w:hint="eastAsia" w:ascii="Times New Roman" w:hAnsi="Times New Roman"/>
                      <w:color w:val="auto"/>
                      <w:lang w:val="en-US" w:eastAsia="zh-CN"/>
                    </w:rPr>
                    <w:t>生产设备均含</w:t>
                  </w:r>
                  <w:r>
                    <w:rPr>
                      <w:rFonts w:hint="eastAsia" w:ascii="Times New Roman" w:hAnsi="Times New Roman"/>
                      <w:color w:val="auto"/>
                      <w:lang w:val="en-US" w:eastAsia="zh-CN"/>
                    </w:rPr>
                    <w:t>喷粉柜、喷枪、固化炉、烘干炉、除油池、陶化池、清洗池，</w:t>
                  </w:r>
                  <w:r>
                    <w:rPr>
                      <w:rFonts w:hint="eastAsia"/>
                      <w:color w:val="auto"/>
                      <w:lang w:val="en-US" w:eastAsia="zh-CN"/>
                    </w:rPr>
                    <w:t>但设备种类有差异，</w:t>
                  </w:r>
                  <w:r>
                    <w:rPr>
                      <w:rFonts w:hint="eastAsia" w:ascii="Times New Roman" w:hAnsi="Times New Roman"/>
                      <w:color w:val="auto"/>
                    </w:rPr>
                    <w:t>主要</w:t>
                  </w:r>
                  <w:r>
                    <w:rPr>
                      <w:rFonts w:hint="eastAsia" w:ascii="Times New Roman" w:hAnsi="Times New Roman"/>
                      <w:color w:val="auto"/>
                      <w:lang w:val="en-US" w:eastAsia="zh-CN"/>
                    </w:rPr>
                    <w:t>生产</w:t>
                  </w:r>
                  <w:r>
                    <w:rPr>
                      <w:rFonts w:hint="eastAsia" w:ascii="Times New Roman" w:hAnsi="Times New Roman"/>
                      <w:color w:val="auto"/>
                    </w:rPr>
                    <w:t>设备与类比项目情况相似，具有可类比性</w:t>
                  </w:r>
                </w:p>
              </w:tc>
            </w:tr>
            <w:tr w14:paraId="24066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dxa"/>
                  <w:noWrap w:val="0"/>
                  <w:vAlign w:val="center"/>
                </w:tcPr>
                <w:p w14:paraId="6A020DD8">
                  <w:pPr>
                    <w:jc w:val="center"/>
                    <w:rPr>
                      <w:rFonts w:ascii="Times New Roman" w:hAnsi="Times New Roman"/>
                      <w:color w:val="auto"/>
                    </w:rPr>
                  </w:pPr>
                  <w:r>
                    <w:rPr>
                      <w:rFonts w:hint="eastAsia" w:ascii="Times New Roman" w:hAnsi="Times New Roman"/>
                      <w:color w:val="auto"/>
                    </w:rPr>
                    <w:t>4</w:t>
                  </w:r>
                </w:p>
              </w:tc>
              <w:tc>
                <w:tcPr>
                  <w:tcW w:w="700" w:type="dxa"/>
                  <w:noWrap w:val="0"/>
                  <w:vAlign w:val="center"/>
                </w:tcPr>
                <w:p w14:paraId="5790B164">
                  <w:pPr>
                    <w:jc w:val="center"/>
                    <w:rPr>
                      <w:rFonts w:ascii="Times New Roman" w:hAnsi="Times New Roman"/>
                      <w:color w:val="auto"/>
                    </w:rPr>
                  </w:pPr>
                  <w:r>
                    <w:rPr>
                      <w:rFonts w:hint="eastAsia" w:ascii="Times New Roman" w:hAnsi="Times New Roman"/>
                      <w:color w:val="auto"/>
                    </w:rPr>
                    <w:t>废水种类</w:t>
                  </w:r>
                </w:p>
              </w:tc>
              <w:tc>
                <w:tcPr>
                  <w:tcW w:w="2491" w:type="dxa"/>
                  <w:noWrap w:val="0"/>
                  <w:vAlign w:val="center"/>
                </w:tcPr>
                <w:p w14:paraId="6B35798B">
                  <w:pPr>
                    <w:jc w:val="center"/>
                    <w:rPr>
                      <w:rFonts w:ascii="Times New Roman" w:hAnsi="Times New Roman"/>
                      <w:color w:val="auto"/>
                    </w:rPr>
                  </w:pPr>
                  <w:r>
                    <w:rPr>
                      <w:rFonts w:hint="eastAsia" w:ascii="Times New Roman" w:hAnsi="Times New Roman"/>
                      <w:color w:val="auto"/>
                      <w:lang w:val="en-US" w:eastAsia="zh-CN"/>
                    </w:rPr>
                    <w:t>清洗</w:t>
                  </w:r>
                  <w:r>
                    <w:rPr>
                      <w:rFonts w:hint="eastAsia" w:ascii="Times New Roman" w:hAnsi="Times New Roman"/>
                      <w:color w:val="auto"/>
                    </w:rPr>
                    <w:t>废水</w:t>
                  </w:r>
                </w:p>
              </w:tc>
              <w:tc>
                <w:tcPr>
                  <w:tcW w:w="2277" w:type="dxa"/>
                  <w:noWrap w:val="0"/>
                  <w:vAlign w:val="center"/>
                </w:tcPr>
                <w:p w14:paraId="3E9E1D09">
                  <w:pPr>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清洗</w:t>
                  </w:r>
                  <w:r>
                    <w:rPr>
                      <w:rFonts w:hint="eastAsia" w:ascii="Times New Roman" w:hAnsi="Times New Roman"/>
                      <w:color w:val="auto"/>
                    </w:rPr>
                    <w:t>废水</w:t>
                  </w:r>
                </w:p>
              </w:tc>
              <w:tc>
                <w:tcPr>
                  <w:tcW w:w="2086" w:type="dxa"/>
                  <w:noWrap w:val="0"/>
                  <w:vAlign w:val="center"/>
                </w:tcPr>
                <w:p w14:paraId="74E180DD">
                  <w:pPr>
                    <w:jc w:val="center"/>
                    <w:rPr>
                      <w:rFonts w:ascii="Times New Roman" w:hAnsi="Times New Roman"/>
                      <w:color w:val="auto"/>
                    </w:rPr>
                  </w:pPr>
                  <w:r>
                    <w:rPr>
                      <w:rFonts w:hint="eastAsia" w:ascii="Times New Roman" w:hAnsi="Times New Roman"/>
                      <w:color w:val="auto"/>
                    </w:rPr>
                    <w:t>相</w:t>
                  </w:r>
                  <w:r>
                    <w:rPr>
                      <w:rFonts w:hint="eastAsia" w:ascii="Times New Roman" w:hAnsi="Times New Roman"/>
                      <w:color w:val="auto"/>
                      <w:lang w:val="en-US" w:eastAsia="zh-CN"/>
                    </w:rPr>
                    <w:t>同</w:t>
                  </w:r>
                  <w:r>
                    <w:rPr>
                      <w:rFonts w:hint="eastAsia" w:ascii="Times New Roman" w:hAnsi="Times New Roman"/>
                      <w:color w:val="auto"/>
                    </w:rPr>
                    <w:t>，具有可类比性</w:t>
                  </w:r>
                </w:p>
              </w:tc>
            </w:tr>
            <w:tr w14:paraId="10CBC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dxa"/>
                  <w:noWrap w:val="0"/>
                  <w:vAlign w:val="center"/>
                </w:tcPr>
                <w:p w14:paraId="587D5B36">
                  <w:pPr>
                    <w:jc w:val="center"/>
                    <w:rPr>
                      <w:rFonts w:hint="eastAsia" w:ascii="Times New Roman" w:hAnsi="Times New Roman" w:eastAsia="宋体"/>
                      <w:color w:val="auto"/>
                      <w:lang w:val="en-US" w:eastAsia="zh-CN"/>
                    </w:rPr>
                  </w:pPr>
                  <w:r>
                    <w:rPr>
                      <w:rFonts w:hint="eastAsia"/>
                      <w:color w:val="auto"/>
                      <w:lang w:val="en-US" w:eastAsia="zh-CN"/>
                    </w:rPr>
                    <w:t>5</w:t>
                  </w:r>
                </w:p>
              </w:tc>
              <w:tc>
                <w:tcPr>
                  <w:tcW w:w="700" w:type="dxa"/>
                  <w:noWrap w:val="0"/>
                  <w:vAlign w:val="center"/>
                </w:tcPr>
                <w:p w14:paraId="633EA8D6">
                  <w:pPr>
                    <w:jc w:val="center"/>
                    <w:rPr>
                      <w:rFonts w:hint="default" w:ascii="Times New Roman" w:hAnsi="Times New Roman" w:eastAsia="宋体"/>
                      <w:color w:val="auto"/>
                      <w:lang w:val="en-US" w:eastAsia="zh-CN"/>
                    </w:rPr>
                  </w:pPr>
                  <w:r>
                    <w:rPr>
                      <w:rFonts w:hint="eastAsia"/>
                      <w:color w:val="auto"/>
                      <w:lang w:val="en-US" w:eastAsia="zh-CN"/>
                    </w:rPr>
                    <w:t>废水污染物</w:t>
                  </w:r>
                </w:p>
              </w:tc>
              <w:tc>
                <w:tcPr>
                  <w:tcW w:w="2491" w:type="dxa"/>
                  <w:noWrap w:val="0"/>
                  <w:vAlign w:val="center"/>
                </w:tcPr>
                <w:p w14:paraId="179C7A29">
                  <w:pPr>
                    <w:jc w:val="center"/>
                    <w:rPr>
                      <w:rFonts w:hint="eastAsia" w:ascii="Times New Roman" w:hAnsi="Times New Roman"/>
                      <w:color w:val="auto"/>
                      <w:lang w:val="en-US" w:eastAsia="zh-CN"/>
                    </w:rPr>
                  </w:pPr>
                  <w:r>
                    <w:rPr>
                      <w:rFonts w:hint="eastAsia"/>
                      <w:color w:val="auto"/>
                      <w:szCs w:val="21"/>
                      <w:lang w:val="en-US" w:eastAsia="zh-CN"/>
                    </w:rPr>
                    <w:t>p</w:t>
                  </w:r>
                  <w:r>
                    <w:rPr>
                      <w:color w:val="auto"/>
                      <w:szCs w:val="21"/>
                    </w:rPr>
                    <w:t>H</w:t>
                  </w:r>
                  <w:r>
                    <w:rPr>
                      <w:rFonts w:hint="eastAsia"/>
                      <w:color w:val="auto"/>
                      <w:szCs w:val="21"/>
                    </w:rPr>
                    <w:t>、</w:t>
                  </w:r>
                  <w:r>
                    <w:rPr>
                      <w:color w:val="auto"/>
                      <w:szCs w:val="21"/>
                    </w:rPr>
                    <w:t>CODcr</w:t>
                  </w:r>
                  <w:r>
                    <w:rPr>
                      <w:rFonts w:hint="eastAsia"/>
                      <w:color w:val="auto"/>
                      <w:szCs w:val="21"/>
                    </w:rPr>
                    <w:t>、</w:t>
                  </w:r>
                  <w:r>
                    <w:rPr>
                      <w:color w:val="auto"/>
                      <w:szCs w:val="21"/>
                    </w:rPr>
                    <w:t>BOD</w:t>
                  </w:r>
                  <w:r>
                    <w:rPr>
                      <w:color w:val="auto"/>
                      <w:szCs w:val="21"/>
                      <w:vertAlign w:val="subscript"/>
                    </w:rPr>
                    <w:t>5</w:t>
                  </w:r>
                  <w:r>
                    <w:rPr>
                      <w:rFonts w:hint="eastAsia"/>
                      <w:color w:val="auto"/>
                      <w:szCs w:val="21"/>
                    </w:rPr>
                    <w:t>、</w:t>
                  </w:r>
                  <w:r>
                    <w:rPr>
                      <w:color w:val="auto"/>
                      <w:szCs w:val="21"/>
                    </w:rPr>
                    <w:t>SS</w:t>
                  </w:r>
                  <w:r>
                    <w:rPr>
                      <w:rFonts w:hint="eastAsia"/>
                      <w:color w:val="auto"/>
                      <w:szCs w:val="21"/>
                    </w:rPr>
                    <w:t>、氨氮</w:t>
                  </w:r>
                  <w:r>
                    <w:rPr>
                      <w:rFonts w:hint="eastAsia"/>
                      <w:color w:val="auto"/>
                      <w:szCs w:val="21"/>
                      <w:lang w:eastAsia="zh-CN"/>
                    </w:rPr>
                    <w:t>、</w:t>
                  </w:r>
                  <w:r>
                    <w:rPr>
                      <w:rFonts w:hint="eastAsia"/>
                      <w:color w:val="auto"/>
                      <w:szCs w:val="21"/>
                      <w:lang w:val="en-US" w:eastAsia="zh-CN"/>
                    </w:rPr>
                    <w:t>氟化物、石油类</w:t>
                  </w:r>
                </w:p>
              </w:tc>
              <w:tc>
                <w:tcPr>
                  <w:tcW w:w="2277" w:type="dxa"/>
                  <w:noWrap w:val="0"/>
                  <w:vAlign w:val="center"/>
                </w:tcPr>
                <w:p w14:paraId="45FC791E">
                  <w:pPr>
                    <w:jc w:val="center"/>
                    <w:rPr>
                      <w:rFonts w:hint="eastAsia" w:ascii="Times New Roman" w:hAnsi="Times New Roman"/>
                      <w:color w:val="auto"/>
                      <w:lang w:val="en-US" w:eastAsia="zh-CN"/>
                    </w:rPr>
                  </w:pPr>
                  <w:r>
                    <w:rPr>
                      <w:rFonts w:hint="eastAsia"/>
                      <w:color w:val="auto"/>
                      <w:szCs w:val="21"/>
                      <w:lang w:val="en-US" w:eastAsia="zh-CN"/>
                    </w:rPr>
                    <w:t>p</w:t>
                  </w:r>
                  <w:r>
                    <w:rPr>
                      <w:color w:val="auto"/>
                      <w:szCs w:val="21"/>
                    </w:rPr>
                    <w:t>H</w:t>
                  </w:r>
                  <w:r>
                    <w:rPr>
                      <w:rFonts w:hint="eastAsia"/>
                      <w:color w:val="auto"/>
                      <w:szCs w:val="21"/>
                    </w:rPr>
                    <w:t>、</w:t>
                  </w:r>
                  <w:r>
                    <w:rPr>
                      <w:color w:val="auto"/>
                      <w:szCs w:val="21"/>
                    </w:rPr>
                    <w:t>CODcr</w:t>
                  </w:r>
                  <w:r>
                    <w:rPr>
                      <w:rFonts w:hint="eastAsia"/>
                      <w:color w:val="auto"/>
                      <w:szCs w:val="21"/>
                    </w:rPr>
                    <w:t>、</w:t>
                  </w:r>
                  <w:r>
                    <w:rPr>
                      <w:color w:val="auto"/>
                      <w:szCs w:val="21"/>
                    </w:rPr>
                    <w:t>BOD</w:t>
                  </w:r>
                  <w:r>
                    <w:rPr>
                      <w:color w:val="auto"/>
                      <w:szCs w:val="21"/>
                      <w:vertAlign w:val="subscript"/>
                    </w:rPr>
                    <w:t>5</w:t>
                  </w:r>
                  <w:r>
                    <w:rPr>
                      <w:rFonts w:hint="eastAsia"/>
                      <w:color w:val="auto"/>
                      <w:szCs w:val="21"/>
                    </w:rPr>
                    <w:t>、</w:t>
                  </w:r>
                  <w:r>
                    <w:rPr>
                      <w:color w:val="auto"/>
                      <w:szCs w:val="21"/>
                    </w:rPr>
                    <w:t>SS</w:t>
                  </w:r>
                  <w:r>
                    <w:rPr>
                      <w:rFonts w:hint="eastAsia"/>
                      <w:color w:val="auto"/>
                      <w:szCs w:val="21"/>
                    </w:rPr>
                    <w:t>、氨氮</w:t>
                  </w:r>
                  <w:r>
                    <w:rPr>
                      <w:rFonts w:hint="eastAsia"/>
                      <w:color w:val="auto"/>
                      <w:szCs w:val="21"/>
                      <w:lang w:val="en-US" w:eastAsia="zh-CN"/>
                    </w:rPr>
                    <w:t>、石油类</w:t>
                  </w:r>
                </w:p>
              </w:tc>
              <w:tc>
                <w:tcPr>
                  <w:tcW w:w="2086" w:type="dxa"/>
                  <w:noWrap w:val="0"/>
                  <w:vAlign w:val="center"/>
                </w:tcPr>
                <w:p w14:paraId="29F22B58">
                  <w:pPr>
                    <w:jc w:val="center"/>
                    <w:rPr>
                      <w:rFonts w:hint="eastAsia" w:ascii="Times New Roman" w:hAnsi="Times New Roman"/>
                      <w:color w:val="auto"/>
                    </w:rPr>
                  </w:pPr>
                  <w:r>
                    <w:rPr>
                      <w:rFonts w:hint="eastAsia"/>
                      <w:color w:val="auto"/>
                      <w:lang w:val="en-US" w:eastAsia="zh-CN"/>
                    </w:rPr>
                    <w:t>污染物基本</w:t>
                  </w:r>
                  <w:r>
                    <w:rPr>
                      <w:rFonts w:hint="eastAsia" w:ascii="Times New Roman" w:hAnsi="Times New Roman"/>
                      <w:color w:val="auto"/>
                    </w:rPr>
                    <w:t>相</w:t>
                  </w:r>
                  <w:r>
                    <w:rPr>
                      <w:rFonts w:hint="eastAsia" w:ascii="Times New Roman" w:hAnsi="Times New Roman"/>
                      <w:color w:val="auto"/>
                      <w:lang w:val="en-US" w:eastAsia="zh-CN"/>
                    </w:rPr>
                    <w:t>同</w:t>
                  </w:r>
                  <w:r>
                    <w:rPr>
                      <w:rFonts w:hint="eastAsia"/>
                      <w:color w:val="auto"/>
                      <w:lang w:val="en-US" w:eastAsia="zh-CN"/>
                    </w:rPr>
                    <w:t>，</w:t>
                  </w:r>
                  <w:r>
                    <w:rPr>
                      <w:rFonts w:hint="eastAsia" w:ascii="Times New Roman" w:hAnsi="Times New Roman"/>
                      <w:color w:val="auto"/>
                    </w:rPr>
                    <w:t>具有可类比性</w:t>
                  </w:r>
                </w:p>
              </w:tc>
            </w:tr>
          </w:tbl>
          <w:p w14:paraId="64FFB129">
            <w:pPr>
              <w:tabs>
                <w:tab w:val="left" w:pos="960"/>
              </w:tabs>
              <w:adjustRightInd w:val="0"/>
              <w:snapToGrid w:val="0"/>
              <w:spacing w:line="360" w:lineRule="auto"/>
              <w:ind w:firstLine="480"/>
              <w:rPr>
                <w:rFonts w:hint="default" w:eastAsia="宋体"/>
                <w:color w:val="auto"/>
                <w:szCs w:val="21"/>
                <w:lang w:val="en-US" w:eastAsia="zh-CN"/>
              </w:rPr>
            </w:pPr>
            <w:r>
              <w:rPr>
                <w:rFonts w:hint="eastAsia"/>
                <w:color w:val="auto"/>
                <w:szCs w:val="21"/>
                <w:lang w:val="en-US" w:eastAsia="zh-CN"/>
              </w:rPr>
              <w:t>根据上表可知，本项目所采用的主要原辅材料、工艺、主要生产设备、废水种类、</w:t>
            </w:r>
            <w:r>
              <w:rPr>
                <w:rFonts w:hint="eastAsia"/>
                <w:color w:val="auto"/>
                <w:lang w:val="en-US" w:eastAsia="zh-CN"/>
              </w:rPr>
              <w:t>废水污染物</w:t>
            </w:r>
            <w:r>
              <w:rPr>
                <w:rFonts w:hint="eastAsia"/>
                <w:color w:val="auto"/>
                <w:szCs w:val="21"/>
                <w:lang w:val="en-US" w:eastAsia="zh-CN"/>
              </w:rPr>
              <w:t>与《</w:t>
            </w:r>
            <w:r>
              <w:rPr>
                <w:rFonts w:hint="eastAsia"/>
                <w:color w:val="auto"/>
                <w:szCs w:val="21"/>
              </w:rPr>
              <w:t>佛山市顺德区勒流镇新荣喷粉厂技改项目</w:t>
            </w:r>
            <w:r>
              <w:rPr>
                <w:rFonts w:hint="eastAsia"/>
                <w:color w:val="auto"/>
                <w:szCs w:val="21"/>
                <w:lang w:val="en-US" w:eastAsia="zh-CN"/>
              </w:rPr>
              <w:t>》情况相似，具有可类比性，因此，本项目产生的生产废水（清洗废水）污染物产生浓度取值可参考</w:t>
            </w:r>
            <w:r>
              <w:rPr>
                <w:rFonts w:hint="eastAsia"/>
                <w:color w:val="auto"/>
                <w:szCs w:val="21"/>
              </w:rPr>
              <w:t>《佛山市顺德区勒流镇新荣喷粉厂技改项目(一期)竣工环境保护验收监测报告》</w:t>
            </w:r>
            <w:r>
              <w:rPr>
                <w:rFonts w:hint="eastAsia"/>
                <w:color w:val="auto"/>
                <w:szCs w:val="21"/>
                <w:lang w:eastAsia="zh-CN"/>
              </w:rPr>
              <w:t>的</w:t>
            </w:r>
            <w:r>
              <w:rPr>
                <w:rFonts w:hint="eastAsia"/>
                <w:color w:val="auto"/>
                <w:szCs w:val="21"/>
                <w:lang w:val="en-US" w:eastAsia="zh-CN"/>
              </w:rPr>
              <w:t>产生浓度。生产废水（清洗废水）收集后</w:t>
            </w:r>
            <w:r>
              <w:rPr>
                <w:color w:val="auto"/>
                <w:szCs w:val="21"/>
              </w:rPr>
              <w:t>交由</w:t>
            </w:r>
            <w:r>
              <w:rPr>
                <w:rFonts w:hint="eastAsia"/>
                <w:color w:val="auto"/>
                <w:szCs w:val="21"/>
              </w:rPr>
              <w:t>定期委托给有处理能力的废水处理机构处理。</w:t>
            </w:r>
          </w:p>
          <w:p w14:paraId="5AA144CA">
            <w:pPr>
              <w:pStyle w:val="9"/>
              <w:spacing w:line="360" w:lineRule="auto"/>
              <w:ind w:left="630" w:leftChars="0" w:firstLineChars="0"/>
              <w:rPr>
                <w:color w:val="auto"/>
                <w:szCs w:val="21"/>
              </w:rPr>
            </w:pPr>
            <w:r>
              <w:rPr>
                <w:rFonts w:hint="eastAsia"/>
                <w:color w:val="auto"/>
                <w:szCs w:val="21"/>
                <w:lang w:val="en-US" w:eastAsia="zh-CN"/>
              </w:rPr>
              <w:t>生产</w:t>
            </w:r>
            <w:r>
              <w:rPr>
                <w:color w:val="auto"/>
                <w:szCs w:val="21"/>
              </w:rPr>
              <w:t>废水</w:t>
            </w:r>
            <w:r>
              <w:rPr>
                <w:rFonts w:hint="eastAsia"/>
                <w:color w:val="auto"/>
                <w:szCs w:val="21"/>
                <w:lang w:val="en-US" w:eastAsia="zh-CN"/>
              </w:rPr>
              <w:t>水质产生浓度</w:t>
            </w:r>
            <w:r>
              <w:rPr>
                <w:color w:val="auto"/>
                <w:szCs w:val="21"/>
              </w:rPr>
              <w:t>一览表</w:t>
            </w:r>
          </w:p>
          <w:tbl>
            <w:tblPr>
              <w:tblStyle w:val="35"/>
              <w:tblW w:w="45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2"/>
              <w:gridCol w:w="684"/>
              <w:gridCol w:w="881"/>
              <w:gridCol w:w="909"/>
              <w:gridCol w:w="1136"/>
              <w:gridCol w:w="852"/>
              <w:gridCol w:w="1108"/>
              <w:gridCol w:w="1064"/>
            </w:tblGrid>
            <w:tr w14:paraId="5D17F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2" w:hRule="atLeast"/>
                <w:tblHeader/>
                <w:jc w:val="center"/>
              </w:trPr>
              <w:tc>
                <w:tcPr>
                  <w:tcW w:w="1114" w:type="pct"/>
                  <w:gridSpan w:val="2"/>
                  <w:tcBorders>
                    <w:tl2br w:val="single" w:color="auto" w:sz="4" w:space="0"/>
                  </w:tcBorders>
                  <w:noWrap w:val="0"/>
                  <w:vAlign w:val="top"/>
                </w:tcPr>
                <w:p w14:paraId="0F71881D">
                  <w:pPr>
                    <w:pStyle w:val="170"/>
                    <w:spacing w:line="240" w:lineRule="auto"/>
                    <w:ind w:firstLine="632" w:firstLineChars="300"/>
                    <w:jc w:val="left"/>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污染物</w:t>
                  </w:r>
                </w:p>
                <w:p w14:paraId="490B75BE">
                  <w:pPr>
                    <w:pStyle w:val="170"/>
                    <w:spacing w:line="240" w:lineRule="auto"/>
                    <w:ind w:firstLine="0" w:firstLineChars="0"/>
                    <w:jc w:val="left"/>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废水</w:t>
                  </w:r>
                </w:p>
                <w:p w14:paraId="6BE83D85">
                  <w:pPr>
                    <w:pStyle w:val="170"/>
                    <w:spacing w:line="240" w:lineRule="auto"/>
                    <w:ind w:firstLine="0" w:firstLineChars="0"/>
                    <w:jc w:val="left"/>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种类</w:t>
                  </w:r>
                </w:p>
              </w:tc>
              <w:tc>
                <w:tcPr>
                  <w:tcW w:w="575" w:type="pct"/>
                  <w:noWrap w:val="0"/>
                  <w:vAlign w:val="center"/>
                </w:tcPr>
                <w:p w14:paraId="2758D6CB">
                  <w:pPr>
                    <w:pStyle w:val="170"/>
                    <w:adjustRightInd w:val="0"/>
                    <w:snapToGrid w:val="0"/>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pH</w:t>
                  </w:r>
                </w:p>
              </w:tc>
              <w:tc>
                <w:tcPr>
                  <w:tcW w:w="593" w:type="pct"/>
                  <w:noWrap w:val="0"/>
                  <w:vAlign w:val="center"/>
                </w:tcPr>
                <w:p w14:paraId="3A14A747">
                  <w:pPr>
                    <w:pStyle w:val="170"/>
                    <w:adjustRightInd w:val="0"/>
                    <w:snapToGrid w:val="0"/>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COD</w:t>
                  </w:r>
                  <w:r>
                    <w:rPr>
                      <w:rFonts w:hint="default" w:ascii="Times New Roman" w:hAnsi="Times New Roman" w:eastAsia="宋体" w:cs="Times New Roman"/>
                      <w:b/>
                      <w:bCs/>
                      <w:color w:val="auto"/>
                      <w:sz w:val="21"/>
                      <w:szCs w:val="21"/>
                      <w:highlight w:val="none"/>
                      <w:vertAlign w:val="subscript"/>
                      <w:lang w:val="en-US" w:eastAsia="zh-CN"/>
                    </w:rPr>
                    <w:t>cr</w:t>
                  </w:r>
                </w:p>
              </w:tc>
              <w:tc>
                <w:tcPr>
                  <w:tcW w:w="741" w:type="pct"/>
                  <w:noWrap w:val="0"/>
                  <w:vAlign w:val="center"/>
                </w:tcPr>
                <w:p w14:paraId="6B537B8D">
                  <w:pPr>
                    <w:pStyle w:val="170"/>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BOD</w:t>
                  </w:r>
                  <w:r>
                    <w:rPr>
                      <w:rFonts w:hint="eastAsia" w:ascii="Times New Roman" w:hAnsi="Times New Roman" w:eastAsia="宋体" w:cs="Times New Roman"/>
                      <w:b/>
                      <w:bCs/>
                      <w:color w:val="auto"/>
                      <w:sz w:val="21"/>
                      <w:szCs w:val="21"/>
                      <w:highlight w:val="none"/>
                      <w:vertAlign w:val="subscript"/>
                      <w:lang w:val="en-US" w:eastAsia="zh-CN"/>
                    </w:rPr>
                    <w:t>5</w:t>
                  </w:r>
                </w:p>
              </w:tc>
              <w:tc>
                <w:tcPr>
                  <w:tcW w:w="556" w:type="pct"/>
                  <w:noWrap w:val="0"/>
                  <w:vAlign w:val="center"/>
                </w:tcPr>
                <w:p w14:paraId="1B72FF23">
                  <w:pPr>
                    <w:pStyle w:val="170"/>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SS</w:t>
                  </w:r>
                </w:p>
              </w:tc>
              <w:tc>
                <w:tcPr>
                  <w:tcW w:w="723" w:type="pct"/>
                  <w:noWrap w:val="0"/>
                  <w:vAlign w:val="center"/>
                </w:tcPr>
                <w:p w14:paraId="27FAB931">
                  <w:pPr>
                    <w:pStyle w:val="170"/>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氨氮</w:t>
                  </w:r>
                </w:p>
              </w:tc>
              <w:tc>
                <w:tcPr>
                  <w:tcW w:w="694" w:type="pct"/>
                  <w:noWrap w:val="0"/>
                  <w:vAlign w:val="center"/>
                </w:tcPr>
                <w:p w14:paraId="0E04CE3F">
                  <w:pPr>
                    <w:pStyle w:val="170"/>
                    <w:spacing w:before="120" w:beforeLines="50" w:line="240" w:lineRule="auto"/>
                    <w:ind w:firstLine="0" w:firstLineChars="0"/>
                    <w:jc w:val="center"/>
                    <w:rPr>
                      <w:rFonts w:hint="default" w:eastAsia="宋体" w:cs="Times New Roman"/>
                      <w:b/>
                      <w:bCs/>
                      <w:color w:val="auto"/>
                      <w:sz w:val="21"/>
                      <w:szCs w:val="21"/>
                      <w:highlight w:val="none"/>
                      <w:lang w:val="en-US" w:eastAsia="zh-CN"/>
                    </w:rPr>
                  </w:pPr>
                  <w:r>
                    <w:rPr>
                      <w:rFonts w:hint="eastAsia" w:eastAsia="宋体" w:cs="Times New Roman"/>
                      <w:b/>
                      <w:bCs/>
                      <w:color w:val="auto"/>
                      <w:sz w:val="21"/>
                      <w:szCs w:val="21"/>
                      <w:highlight w:val="none"/>
                      <w:lang w:val="en-US" w:eastAsia="zh-CN"/>
                    </w:rPr>
                    <w:t>石油类</w:t>
                  </w:r>
                </w:p>
              </w:tc>
            </w:tr>
            <w:tr w14:paraId="325D6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114" w:type="pct"/>
                  <w:gridSpan w:val="2"/>
                  <w:noWrap w:val="0"/>
                  <w:vAlign w:val="center"/>
                </w:tcPr>
                <w:p w14:paraId="5D4A94E8">
                  <w:pPr>
                    <w:pStyle w:val="1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单位</w:t>
                  </w:r>
                </w:p>
              </w:tc>
              <w:tc>
                <w:tcPr>
                  <w:tcW w:w="575" w:type="pct"/>
                  <w:noWrap w:val="0"/>
                  <w:vAlign w:val="center"/>
                </w:tcPr>
                <w:p w14:paraId="1F7340F3">
                  <w:pPr>
                    <w:pStyle w:val="1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无量纲</w:t>
                  </w:r>
                </w:p>
              </w:tc>
              <w:tc>
                <w:tcPr>
                  <w:tcW w:w="3310" w:type="pct"/>
                  <w:gridSpan w:val="5"/>
                  <w:noWrap w:val="0"/>
                  <w:vAlign w:val="center"/>
                </w:tcPr>
                <w:p w14:paraId="592CECF7">
                  <w:pPr>
                    <w:pStyle w:val="170"/>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mg/L</w:t>
                  </w:r>
                </w:p>
              </w:tc>
            </w:tr>
            <w:tr w14:paraId="58E37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atLeast"/>
                <w:jc w:val="center"/>
              </w:trPr>
              <w:tc>
                <w:tcPr>
                  <w:tcW w:w="667" w:type="pct"/>
                  <w:vMerge w:val="restart"/>
                  <w:noWrap w:val="0"/>
                  <w:vAlign w:val="center"/>
                </w:tcPr>
                <w:p w14:paraId="593645D0">
                  <w:pPr>
                    <w:pStyle w:val="191"/>
                    <w:keepNext w:val="0"/>
                    <w:keepLines/>
                    <w:pageBreakBefore w:val="0"/>
                    <w:widowControl/>
                    <w:numPr>
                      <w:ilvl w:val="0"/>
                      <w:numId w:val="0"/>
                    </w:numPr>
                    <w:kinsoku/>
                    <w:wordWrap/>
                    <w:overflowPunct/>
                    <w:topLinePunct w:val="0"/>
                    <w:autoSpaceDE/>
                    <w:autoSpaceDN/>
                    <w:bidi w:val="0"/>
                    <w:adjustRightInd/>
                    <w:snapToGrid/>
                    <w:spacing w:before="121" w:line="336" w:lineRule="auto"/>
                    <w:ind w:left="0" w:leftChars="0" w:right="23" w:rightChars="0" w:firstLine="0" w:firstLineChars="0"/>
                    <w:jc w:val="center"/>
                    <w:textAlignment w:val="auto"/>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宋体"/>
                      <w:b/>
                      <w:bCs/>
                      <w:color w:val="auto"/>
                      <w:spacing w:val="0"/>
                      <w:sz w:val="21"/>
                      <w:szCs w:val="21"/>
                      <w:highlight w:val="none"/>
                      <w:vertAlign w:val="baseline"/>
                      <w:lang w:val="en-US" w:eastAsia="zh-CN"/>
                    </w:rPr>
                    <w:t>清洗废水</w:t>
                  </w:r>
                </w:p>
              </w:tc>
              <w:tc>
                <w:tcPr>
                  <w:tcW w:w="446" w:type="pct"/>
                  <w:noWrap w:val="0"/>
                  <w:vAlign w:val="center"/>
                </w:tcPr>
                <w:p w14:paraId="41A8183C">
                  <w:pPr>
                    <w:keepNext w:val="0"/>
                    <w:keepLines w:val="0"/>
                    <w:widowControl/>
                    <w:suppressLineNumbers w:val="0"/>
                    <w:jc w:val="center"/>
                    <w:textAlignment w:val="center"/>
                    <w:rPr>
                      <w:rFonts w:hint="eastAsia"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参考浓度</w:t>
                  </w:r>
                </w:p>
              </w:tc>
              <w:tc>
                <w:tcPr>
                  <w:tcW w:w="575" w:type="pct"/>
                  <w:noWrap w:val="0"/>
                  <w:vAlign w:val="center"/>
                </w:tcPr>
                <w:p w14:paraId="1EEE908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eastAsia="宋体" w:cs="宋体"/>
                      <w:color w:val="auto"/>
                      <w:spacing w:val="0"/>
                      <w:sz w:val="21"/>
                      <w:szCs w:val="21"/>
                      <w:highlight w:val="none"/>
                      <w:vertAlign w:val="baseline"/>
                      <w:lang w:val="en-US" w:eastAsia="zh-CN"/>
                    </w:rPr>
                    <w:t>7.7-7.9</w:t>
                  </w:r>
                </w:p>
              </w:tc>
              <w:tc>
                <w:tcPr>
                  <w:tcW w:w="593" w:type="pct"/>
                  <w:noWrap w:val="0"/>
                  <w:vAlign w:val="center"/>
                </w:tcPr>
                <w:p w14:paraId="37B2BB9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83-99</w:t>
                  </w:r>
                </w:p>
              </w:tc>
              <w:tc>
                <w:tcPr>
                  <w:tcW w:w="741" w:type="pct"/>
                  <w:noWrap w:val="0"/>
                  <w:vAlign w:val="center"/>
                </w:tcPr>
                <w:p w14:paraId="69AF03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21.9-26.2</w:t>
                  </w:r>
                </w:p>
              </w:tc>
              <w:tc>
                <w:tcPr>
                  <w:tcW w:w="556" w:type="pct"/>
                  <w:noWrap w:val="0"/>
                  <w:vAlign w:val="center"/>
                </w:tcPr>
                <w:p w14:paraId="13031A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66-84</w:t>
                  </w:r>
                </w:p>
              </w:tc>
              <w:tc>
                <w:tcPr>
                  <w:tcW w:w="723" w:type="pct"/>
                  <w:noWrap w:val="0"/>
                  <w:vAlign w:val="center"/>
                </w:tcPr>
                <w:p w14:paraId="36FBE3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4.56-5.36</w:t>
                  </w:r>
                </w:p>
              </w:tc>
              <w:tc>
                <w:tcPr>
                  <w:tcW w:w="694" w:type="pct"/>
                  <w:noWrap w:val="0"/>
                  <w:vAlign w:val="center"/>
                </w:tcPr>
                <w:p w14:paraId="7D50ED03">
                  <w:pPr>
                    <w:keepNext w:val="0"/>
                    <w:keepLines w:val="0"/>
                    <w:widowControl/>
                    <w:suppressLineNumbers w:val="0"/>
                    <w:jc w:val="center"/>
                    <w:textAlignment w:val="center"/>
                    <w:rPr>
                      <w:rFonts w:hint="default"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5.56-6.16</w:t>
                  </w:r>
                </w:p>
              </w:tc>
            </w:tr>
            <w:tr w14:paraId="14D8B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5" w:hRule="atLeast"/>
                <w:jc w:val="center"/>
              </w:trPr>
              <w:tc>
                <w:tcPr>
                  <w:tcW w:w="667" w:type="pct"/>
                  <w:vMerge w:val="continue"/>
                  <w:noWrap w:val="0"/>
                  <w:vAlign w:val="center"/>
                </w:tcPr>
                <w:p w14:paraId="2664EF7D">
                  <w:pPr>
                    <w:pStyle w:val="191"/>
                    <w:keepNext w:val="0"/>
                    <w:keepLines/>
                    <w:pageBreakBefore w:val="0"/>
                    <w:widowControl/>
                    <w:numPr>
                      <w:ilvl w:val="0"/>
                      <w:numId w:val="0"/>
                    </w:numPr>
                    <w:kinsoku/>
                    <w:wordWrap/>
                    <w:overflowPunct/>
                    <w:topLinePunct w:val="0"/>
                    <w:autoSpaceDE/>
                    <w:autoSpaceDN/>
                    <w:bidi w:val="0"/>
                    <w:adjustRightInd/>
                    <w:snapToGrid/>
                    <w:spacing w:before="121" w:line="336" w:lineRule="auto"/>
                    <w:ind w:left="0" w:leftChars="0" w:right="23" w:rightChars="0" w:firstLine="0" w:firstLineChars="0"/>
                    <w:jc w:val="center"/>
                    <w:textAlignment w:val="auto"/>
                    <w:rPr>
                      <w:rFonts w:hint="eastAsia" w:ascii="Times New Roman" w:hAnsi="Times New Roman" w:eastAsia="宋体" w:cs="Times New Roman"/>
                      <w:b w:val="0"/>
                      <w:color w:val="auto"/>
                      <w:sz w:val="21"/>
                      <w:szCs w:val="21"/>
                      <w:highlight w:val="none"/>
                      <w:lang w:val="en-US" w:eastAsia="zh-CN"/>
                    </w:rPr>
                  </w:pPr>
                </w:p>
              </w:tc>
              <w:tc>
                <w:tcPr>
                  <w:tcW w:w="446" w:type="pct"/>
                  <w:noWrap w:val="0"/>
                  <w:vAlign w:val="center"/>
                </w:tcPr>
                <w:p w14:paraId="086AE1EB">
                  <w:pPr>
                    <w:keepNext w:val="0"/>
                    <w:keepLines w:val="0"/>
                    <w:widowControl/>
                    <w:suppressLineNumbers w:val="0"/>
                    <w:jc w:val="center"/>
                    <w:textAlignment w:val="center"/>
                    <w:rPr>
                      <w:rFonts w:hint="eastAsia" w:ascii="Times New Roman" w:hAnsi="Times New Roman" w:eastAsia="宋体" w:cs="Times New Roman"/>
                      <w:b w:val="0"/>
                      <w:color w:val="auto"/>
                      <w:sz w:val="21"/>
                      <w:szCs w:val="21"/>
                      <w:highlight w:val="none"/>
                      <w:lang w:val="en-US" w:eastAsia="zh-CN"/>
                    </w:rPr>
                  </w:pPr>
                  <w:r>
                    <w:rPr>
                      <w:rFonts w:hint="eastAsia" w:eastAsia="宋体" w:cs="Times New Roman"/>
                      <w:color w:val="auto"/>
                      <w:sz w:val="21"/>
                      <w:szCs w:val="21"/>
                      <w:highlight w:val="none"/>
                      <w:lang w:val="en-US" w:eastAsia="zh-CN"/>
                    </w:rPr>
                    <w:t>本项目</w:t>
                  </w:r>
                  <w:r>
                    <w:rPr>
                      <w:rFonts w:hint="eastAsia" w:ascii="Times New Roman" w:hAnsi="Times New Roman" w:eastAsia="宋体" w:cs="Times New Roman"/>
                      <w:color w:val="auto"/>
                      <w:sz w:val="21"/>
                      <w:szCs w:val="21"/>
                      <w:highlight w:val="none"/>
                      <w:lang w:val="en-US" w:eastAsia="zh-CN"/>
                    </w:rPr>
                    <w:t>取值</w:t>
                  </w:r>
                </w:p>
              </w:tc>
              <w:tc>
                <w:tcPr>
                  <w:tcW w:w="575" w:type="pct"/>
                  <w:noWrap w:val="0"/>
                  <w:vAlign w:val="center"/>
                </w:tcPr>
                <w:p w14:paraId="3D2125A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8</w:t>
                  </w:r>
                </w:p>
              </w:tc>
              <w:tc>
                <w:tcPr>
                  <w:tcW w:w="593" w:type="pct"/>
                  <w:noWrap w:val="0"/>
                  <w:vAlign w:val="center"/>
                </w:tcPr>
                <w:p w14:paraId="40B002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0</w:t>
                  </w:r>
                </w:p>
              </w:tc>
              <w:tc>
                <w:tcPr>
                  <w:tcW w:w="741" w:type="pct"/>
                  <w:noWrap w:val="0"/>
                  <w:vAlign w:val="center"/>
                </w:tcPr>
                <w:p w14:paraId="0125C5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30</w:t>
                  </w:r>
                </w:p>
              </w:tc>
              <w:tc>
                <w:tcPr>
                  <w:tcW w:w="556" w:type="pct"/>
                  <w:noWrap w:val="0"/>
                  <w:vAlign w:val="center"/>
                </w:tcPr>
                <w:p w14:paraId="43EB4C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85</w:t>
                  </w:r>
                </w:p>
              </w:tc>
              <w:tc>
                <w:tcPr>
                  <w:tcW w:w="723" w:type="pct"/>
                  <w:noWrap w:val="0"/>
                  <w:vAlign w:val="center"/>
                </w:tcPr>
                <w:p w14:paraId="3F7D08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6</w:t>
                  </w:r>
                </w:p>
              </w:tc>
              <w:tc>
                <w:tcPr>
                  <w:tcW w:w="694" w:type="pct"/>
                  <w:noWrap w:val="0"/>
                  <w:vAlign w:val="center"/>
                </w:tcPr>
                <w:p w14:paraId="4C6EEAB0">
                  <w:pPr>
                    <w:keepNext w:val="0"/>
                    <w:keepLines w:val="0"/>
                    <w:widowControl/>
                    <w:suppressLineNumbers w:val="0"/>
                    <w:jc w:val="center"/>
                    <w:textAlignment w:val="top"/>
                    <w:rPr>
                      <w:rFonts w:hint="default" w:eastAsia="宋体" w:cs="Times New Roman"/>
                      <w:i w:val="0"/>
                      <w:iCs w:val="0"/>
                      <w:color w:val="auto"/>
                      <w:kern w:val="0"/>
                      <w:sz w:val="21"/>
                      <w:szCs w:val="21"/>
                      <w:highlight w:val="none"/>
                      <w:u w:val="none"/>
                      <w:lang w:val="en-US" w:eastAsia="zh-CN" w:bidi="ar"/>
                    </w:rPr>
                  </w:pPr>
                  <w:r>
                    <w:rPr>
                      <w:rFonts w:hint="eastAsia" w:eastAsia="宋体" w:cs="Times New Roman"/>
                      <w:i w:val="0"/>
                      <w:iCs w:val="0"/>
                      <w:color w:val="auto"/>
                      <w:kern w:val="0"/>
                      <w:sz w:val="21"/>
                      <w:szCs w:val="21"/>
                      <w:highlight w:val="none"/>
                      <w:u w:val="none"/>
                      <w:lang w:val="en-US" w:eastAsia="zh-CN" w:bidi="ar"/>
                    </w:rPr>
                    <w:t>6.5</w:t>
                  </w:r>
                </w:p>
              </w:tc>
            </w:tr>
          </w:tbl>
          <w:p w14:paraId="0A6D529A">
            <w:pPr>
              <w:tabs>
                <w:tab w:val="left" w:pos="960"/>
              </w:tabs>
              <w:adjustRightInd w:val="0"/>
              <w:snapToGrid w:val="0"/>
              <w:spacing w:line="360" w:lineRule="auto"/>
              <w:ind w:firstLine="480"/>
              <w:rPr>
                <w:rFonts w:hint="eastAsia"/>
                <w:color w:val="auto"/>
                <w:szCs w:val="21"/>
              </w:rPr>
            </w:pPr>
            <w:r>
              <w:rPr>
                <w:rFonts w:ascii="Times New Roman" w:hAnsi="Times New Roman" w:eastAsia="宋体"/>
                <w:b/>
                <w:bCs/>
                <w:color w:val="auto"/>
                <w:spacing w:val="0"/>
                <w:sz w:val="21"/>
                <w:szCs w:val="21"/>
                <w:highlight w:val="none"/>
              </w:rPr>
              <w:t>生产废水转移可行性</w:t>
            </w:r>
            <w:r>
              <w:rPr>
                <w:rFonts w:ascii="Times New Roman" w:hAnsi="Times New Roman" w:eastAsia="宋体"/>
                <w:color w:val="auto"/>
                <w:spacing w:val="0"/>
                <w:sz w:val="21"/>
                <w:szCs w:val="21"/>
                <w:highlight w:val="none"/>
              </w:rPr>
              <w:t>：</w:t>
            </w:r>
            <w:r>
              <w:rPr>
                <w:rFonts w:hint="eastAsia" w:ascii="Times New Roman" w:hAnsi="Times New Roman" w:eastAsia="宋体"/>
                <w:color w:val="auto"/>
                <w:spacing w:val="0"/>
                <w:sz w:val="21"/>
                <w:szCs w:val="21"/>
                <w:highlight w:val="none"/>
              </w:rPr>
              <w:t>项目</w:t>
            </w:r>
            <w:r>
              <w:rPr>
                <w:rFonts w:hint="eastAsia"/>
                <w:color w:val="auto"/>
                <w:spacing w:val="0"/>
                <w:sz w:val="21"/>
                <w:szCs w:val="21"/>
                <w:highlight w:val="none"/>
                <w:lang w:val="en-US" w:eastAsia="zh-CN"/>
              </w:rPr>
              <w:t>生产废水（</w:t>
            </w:r>
            <w:r>
              <w:rPr>
                <w:rFonts w:hint="eastAsia" w:ascii="Times New Roman" w:hAnsi="Times New Roman" w:eastAsia="宋体"/>
                <w:color w:val="auto"/>
                <w:spacing w:val="0"/>
                <w:sz w:val="21"/>
                <w:szCs w:val="21"/>
                <w:highlight w:val="none"/>
                <w:lang w:val="en-US" w:eastAsia="zh-CN"/>
              </w:rPr>
              <w:t>清洗</w:t>
            </w:r>
            <w:r>
              <w:rPr>
                <w:rFonts w:hint="eastAsia" w:ascii="Times New Roman" w:hAnsi="Times New Roman" w:eastAsia="宋体"/>
                <w:color w:val="auto"/>
                <w:spacing w:val="0"/>
                <w:sz w:val="21"/>
                <w:szCs w:val="21"/>
                <w:highlight w:val="none"/>
              </w:rPr>
              <w:t>废水</w:t>
            </w:r>
            <w:r>
              <w:rPr>
                <w:rFonts w:hint="eastAsia"/>
                <w:color w:val="auto"/>
                <w:spacing w:val="0"/>
                <w:sz w:val="21"/>
                <w:szCs w:val="21"/>
                <w:highlight w:val="none"/>
                <w:lang w:val="en-US" w:eastAsia="zh-CN"/>
              </w:rPr>
              <w:t>）</w:t>
            </w:r>
            <w:r>
              <w:rPr>
                <w:rFonts w:hint="eastAsia" w:ascii="Times New Roman" w:hAnsi="Times New Roman" w:eastAsia="宋体"/>
                <w:color w:val="auto"/>
                <w:spacing w:val="0"/>
                <w:sz w:val="21"/>
                <w:szCs w:val="21"/>
                <w:highlight w:val="none"/>
              </w:rPr>
              <w:t>委托给有处理能力的废水处理机构处理，转移废水量约</w:t>
            </w:r>
            <w:r>
              <w:rPr>
                <w:rFonts w:hint="eastAsia"/>
                <w:color w:val="auto"/>
                <w:szCs w:val="21"/>
                <w:lang w:val="en-US" w:eastAsia="zh-CN"/>
              </w:rPr>
              <w:t>544.8</w:t>
            </w:r>
            <w:r>
              <w:rPr>
                <w:rFonts w:hint="eastAsia" w:ascii="Times New Roman" w:hAnsi="Times New Roman" w:eastAsia="宋体"/>
                <w:color w:val="auto"/>
                <w:spacing w:val="0"/>
                <w:sz w:val="21"/>
                <w:szCs w:val="21"/>
                <w:highlight w:val="none"/>
              </w:rPr>
              <w:t>t/a（</w:t>
            </w:r>
            <w:r>
              <w:rPr>
                <w:rFonts w:hint="eastAsia"/>
                <w:color w:val="auto"/>
                <w:spacing w:val="0"/>
                <w:sz w:val="21"/>
                <w:szCs w:val="21"/>
                <w:highlight w:val="none"/>
                <w:lang w:val="en-US" w:eastAsia="zh-CN"/>
              </w:rPr>
              <w:t>1</w:t>
            </w:r>
            <w:r>
              <w:rPr>
                <w:rFonts w:hint="eastAsia" w:ascii="Times New Roman" w:hAnsi="Times New Roman" w:eastAsia="宋体"/>
                <w:color w:val="auto"/>
                <w:spacing w:val="0"/>
                <w:sz w:val="21"/>
                <w:szCs w:val="21"/>
                <w:highlight w:val="none"/>
              </w:rPr>
              <w:t>.</w:t>
            </w:r>
            <w:r>
              <w:rPr>
                <w:rFonts w:hint="eastAsia"/>
                <w:color w:val="auto"/>
                <w:spacing w:val="0"/>
                <w:sz w:val="21"/>
                <w:szCs w:val="21"/>
                <w:highlight w:val="none"/>
                <w:lang w:val="en-US" w:eastAsia="zh-CN"/>
              </w:rPr>
              <w:t>816</w:t>
            </w:r>
            <w:r>
              <w:rPr>
                <w:rFonts w:hint="eastAsia" w:ascii="Times New Roman" w:hAnsi="Times New Roman" w:eastAsia="宋体"/>
                <w:color w:val="auto"/>
                <w:spacing w:val="0"/>
                <w:sz w:val="21"/>
                <w:szCs w:val="21"/>
                <w:highlight w:val="none"/>
              </w:rPr>
              <w:t>t/d）</w:t>
            </w:r>
            <w:r>
              <w:rPr>
                <w:rFonts w:hint="eastAsia" w:ascii="Times New Roman" w:hAnsi="Times New Roman" w:eastAsia="宋体"/>
                <w:color w:val="auto"/>
                <w:spacing w:val="0"/>
                <w:sz w:val="21"/>
                <w:szCs w:val="21"/>
                <w:highlight w:val="none"/>
              </w:rPr>
              <w:t>，最大暂存量约</w:t>
            </w:r>
            <w:r>
              <w:rPr>
                <w:rFonts w:hint="eastAsia"/>
                <w:color w:val="auto"/>
                <w:spacing w:val="0"/>
                <w:sz w:val="21"/>
                <w:szCs w:val="21"/>
                <w:highlight w:val="none"/>
                <w:lang w:val="en-US" w:eastAsia="zh-CN"/>
              </w:rPr>
              <w:t>16</w:t>
            </w:r>
            <w:r>
              <w:rPr>
                <w:rFonts w:hint="eastAsia" w:ascii="Times New Roman" w:hAnsi="Times New Roman" w:eastAsia="宋体"/>
                <w:color w:val="auto"/>
                <w:spacing w:val="0"/>
                <w:sz w:val="21"/>
                <w:szCs w:val="21"/>
                <w:highlight w:val="none"/>
              </w:rPr>
              <w:t>吨，约每</w:t>
            </w:r>
            <w:r>
              <w:rPr>
                <w:rFonts w:hint="eastAsia"/>
                <w:color w:val="auto"/>
                <w:spacing w:val="0"/>
                <w:sz w:val="21"/>
                <w:szCs w:val="21"/>
                <w:highlight w:val="none"/>
                <w:lang w:val="en-US" w:eastAsia="zh-CN"/>
              </w:rPr>
              <w:t>9天</w:t>
            </w:r>
            <w:r>
              <w:rPr>
                <w:rFonts w:hint="eastAsia" w:ascii="Times New Roman" w:hAnsi="Times New Roman" w:eastAsia="宋体"/>
                <w:color w:val="auto"/>
                <w:spacing w:val="0"/>
                <w:sz w:val="21"/>
                <w:szCs w:val="21"/>
                <w:highlight w:val="none"/>
              </w:rPr>
              <w:t>转运一次。中山市辖区内目前有能力接收项目产生的生产废水的处理机构如下，可接受废水处理单位处理余量为575吨/日，项目废水占可接受废水处理单位处理余量的0.</w:t>
            </w:r>
            <w:r>
              <w:rPr>
                <w:rFonts w:hint="eastAsia"/>
                <w:color w:val="auto"/>
                <w:spacing w:val="0"/>
                <w:sz w:val="21"/>
                <w:szCs w:val="21"/>
                <w:highlight w:val="none"/>
                <w:lang w:val="en-US" w:eastAsia="zh-CN"/>
              </w:rPr>
              <w:t>32</w:t>
            </w:r>
            <w:r>
              <w:rPr>
                <w:rFonts w:hint="eastAsia" w:ascii="Times New Roman" w:hAnsi="Times New Roman" w:eastAsia="宋体"/>
                <w:color w:val="auto"/>
                <w:spacing w:val="0"/>
                <w:sz w:val="21"/>
                <w:szCs w:val="21"/>
                <w:highlight w:val="none"/>
              </w:rPr>
              <w:t>%；根据表</w:t>
            </w:r>
            <w:r>
              <w:rPr>
                <w:rFonts w:hint="eastAsia"/>
                <w:color w:val="auto"/>
                <w:spacing w:val="0"/>
                <w:sz w:val="21"/>
                <w:szCs w:val="21"/>
                <w:highlight w:val="none"/>
                <w:lang w:val="en-US" w:eastAsia="zh-CN"/>
              </w:rPr>
              <w:t>37</w:t>
            </w:r>
            <w:r>
              <w:rPr>
                <w:rFonts w:hint="eastAsia" w:ascii="Times New Roman" w:hAnsi="Times New Roman" w:eastAsia="宋体"/>
                <w:color w:val="auto"/>
                <w:spacing w:val="0"/>
                <w:sz w:val="21"/>
                <w:szCs w:val="21"/>
                <w:highlight w:val="none"/>
              </w:rPr>
              <w:t>和表</w:t>
            </w:r>
            <w:r>
              <w:rPr>
                <w:rFonts w:hint="eastAsia"/>
                <w:color w:val="auto"/>
                <w:spacing w:val="0"/>
                <w:sz w:val="21"/>
                <w:szCs w:val="21"/>
                <w:highlight w:val="none"/>
                <w:lang w:val="en-US" w:eastAsia="zh-CN"/>
              </w:rPr>
              <w:t>38</w:t>
            </w:r>
            <w:r>
              <w:rPr>
                <w:rFonts w:hint="eastAsia" w:ascii="Times New Roman" w:hAnsi="Times New Roman" w:eastAsia="宋体"/>
                <w:color w:val="auto"/>
                <w:spacing w:val="0"/>
                <w:sz w:val="21"/>
                <w:szCs w:val="21"/>
                <w:highlight w:val="none"/>
              </w:rPr>
              <w:t>，</w:t>
            </w:r>
            <w:r>
              <w:rPr>
                <w:rFonts w:hint="eastAsia"/>
                <w:color w:val="auto"/>
                <w:spacing w:val="0"/>
                <w:sz w:val="21"/>
                <w:szCs w:val="21"/>
                <w:highlight w:val="none"/>
                <w:lang w:val="en-US" w:eastAsia="zh-CN"/>
              </w:rPr>
              <w:t>生产废水（</w:t>
            </w:r>
            <w:r>
              <w:rPr>
                <w:rFonts w:hint="eastAsia" w:ascii="Times New Roman" w:hAnsi="Times New Roman" w:eastAsia="宋体"/>
                <w:color w:val="auto"/>
                <w:spacing w:val="0"/>
                <w:sz w:val="21"/>
                <w:szCs w:val="21"/>
                <w:highlight w:val="none"/>
                <w:lang w:val="en-US" w:eastAsia="zh-CN"/>
              </w:rPr>
              <w:t>清洗</w:t>
            </w:r>
            <w:r>
              <w:rPr>
                <w:rFonts w:hint="eastAsia" w:ascii="Times New Roman" w:hAnsi="Times New Roman" w:eastAsia="宋体"/>
                <w:color w:val="auto"/>
                <w:spacing w:val="0"/>
                <w:sz w:val="21"/>
                <w:szCs w:val="21"/>
                <w:highlight w:val="none"/>
              </w:rPr>
              <w:t>废水</w:t>
            </w:r>
            <w:r>
              <w:rPr>
                <w:rFonts w:hint="eastAsia"/>
                <w:color w:val="auto"/>
                <w:spacing w:val="0"/>
                <w:sz w:val="21"/>
                <w:szCs w:val="21"/>
                <w:highlight w:val="none"/>
                <w:lang w:val="en-US" w:eastAsia="zh-CN"/>
              </w:rPr>
              <w:t>）</w:t>
            </w:r>
            <w:r>
              <w:rPr>
                <w:rFonts w:hint="eastAsia" w:ascii="Times New Roman" w:hAnsi="Times New Roman" w:eastAsia="宋体"/>
                <w:color w:val="auto"/>
                <w:spacing w:val="0"/>
                <w:sz w:val="21"/>
                <w:szCs w:val="21"/>
                <w:highlight w:val="none"/>
              </w:rPr>
              <w:t>的污染物浓度能达到可接受废水处理单位的接收水质要求，交由相应的处理机构处理后能得到妥善处置，则项目的生产废水处理措施是可行的。</w:t>
            </w:r>
          </w:p>
          <w:p w14:paraId="24C9BC38">
            <w:pPr>
              <w:pStyle w:val="9"/>
              <w:spacing w:line="360" w:lineRule="auto"/>
              <w:ind w:left="630" w:leftChars="0" w:firstLineChars="0"/>
              <w:rPr>
                <w:color w:val="auto"/>
                <w:szCs w:val="21"/>
              </w:rPr>
            </w:pPr>
            <w:r>
              <w:rPr>
                <w:color w:val="auto"/>
                <w:szCs w:val="21"/>
              </w:rPr>
              <w:t>废水转移单位情况一览表</w:t>
            </w:r>
          </w:p>
          <w:tbl>
            <w:tblPr>
              <w:tblStyle w:val="192"/>
              <w:tblW w:w="84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6"/>
              <w:gridCol w:w="940"/>
              <w:gridCol w:w="926"/>
              <w:gridCol w:w="1152"/>
              <w:gridCol w:w="1050"/>
              <w:gridCol w:w="1112"/>
              <w:gridCol w:w="2759"/>
            </w:tblGrid>
            <w:tr w14:paraId="2687A6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19" w:hRule="atLeast"/>
                <w:jc w:val="center"/>
              </w:trPr>
              <w:tc>
                <w:tcPr>
                  <w:tcW w:w="556" w:type="dxa"/>
                  <w:noWrap w:val="0"/>
                  <w:vAlign w:val="center"/>
                </w:tcPr>
                <w:p w14:paraId="1D0F4376">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b/>
                      <w:bCs/>
                      <w:color w:val="auto"/>
                      <w:spacing w:val="0"/>
                      <w:sz w:val="21"/>
                      <w:szCs w:val="21"/>
                      <w:highlight w:val="none"/>
                    </w:rPr>
                  </w:pPr>
                  <w:r>
                    <w:rPr>
                      <w:rFonts w:ascii="Times New Roman" w:hAnsi="Times New Roman" w:eastAsia="宋体"/>
                      <w:b/>
                      <w:bCs/>
                      <w:color w:val="auto"/>
                      <w:spacing w:val="0"/>
                      <w:sz w:val="21"/>
                      <w:szCs w:val="21"/>
                      <w:highlight w:val="none"/>
                    </w:rPr>
                    <w:t>序号</w:t>
                  </w:r>
                </w:p>
              </w:tc>
              <w:tc>
                <w:tcPr>
                  <w:tcW w:w="940" w:type="dxa"/>
                  <w:noWrap w:val="0"/>
                  <w:vAlign w:val="center"/>
                </w:tcPr>
                <w:p w14:paraId="4333F7AF">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b/>
                      <w:bCs/>
                      <w:color w:val="auto"/>
                      <w:spacing w:val="0"/>
                      <w:sz w:val="21"/>
                      <w:szCs w:val="21"/>
                      <w:highlight w:val="none"/>
                    </w:rPr>
                  </w:pPr>
                  <w:r>
                    <w:rPr>
                      <w:rFonts w:ascii="Times New Roman" w:hAnsi="Times New Roman" w:eastAsia="宋体"/>
                      <w:b/>
                      <w:bCs/>
                      <w:color w:val="auto"/>
                      <w:spacing w:val="0"/>
                      <w:sz w:val="21"/>
                      <w:szCs w:val="21"/>
                      <w:highlight w:val="none"/>
                    </w:rPr>
                    <w:t>单位名称</w:t>
                  </w:r>
                </w:p>
              </w:tc>
              <w:tc>
                <w:tcPr>
                  <w:tcW w:w="926" w:type="dxa"/>
                  <w:noWrap w:val="0"/>
                  <w:vAlign w:val="center"/>
                </w:tcPr>
                <w:p w14:paraId="12B6EC9E">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b/>
                      <w:bCs/>
                      <w:color w:val="auto"/>
                      <w:spacing w:val="0"/>
                      <w:sz w:val="21"/>
                      <w:szCs w:val="21"/>
                      <w:highlight w:val="none"/>
                    </w:rPr>
                  </w:pPr>
                  <w:r>
                    <w:rPr>
                      <w:rFonts w:ascii="Times New Roman" w:hAnsi="Times New Roman" w:eastAsia="宋体"/>
                      <w:b/>
                      <w:bCs/>
                      <w:color w:val="auto"/>
                      <w:spacing w:val="0"/>
                      <w:sz w:val="21"/>
                      <w:szCs w:val="21"/>
                      <w:highlight w:val="none"/>
                    </w:rPr>
                    <w:t>地址</w:t>
                  </w:r>
                </w:p>
              </w:tc>
              <w:tc>
                <w:tcPr>
                  <w:tcW w:w="1152" w:type="dxa"/>
                  <w:noWrap w:val="0"/>
                  <w:vAlign w:val="center"/>
                </w:tcPr>
                <w:p w14:paraId="41F0257B">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firstLine="0"/>
                    <w:jc w:val="center"/>
                    <w:textAlignment w:val="auto"/>
                    <w:rPr>
                      <w:rFonts w:hint="default" w:ascii="Times New Roman" w:hAnsi="Times New Roman" w:eastAsia="宋体"/>
                      <w:b/>
                      <w:bCs/>
                      <w:color w:val="auto"/>
                      <w:spacing w:val="0"/>
                      <w:sz w:val="21"/>
                      <w:szCs w:val="21"/>
                      <w:highlight w:val="none"/>
                      <w:lang w:val="en-US" w:eastAsia="zh-CN"/>
                    </w:rPr>
                  </w:pPr>
                  <w:r>
                    <w:rPr>
                      <w:rFonts w:ascii="Times New Roman" w:hAnsi="Times New Roman" w:eastAsia="宋体"/>
                      <w:b/>
                      <w:bCs/>
                      <w:color w:val="auto"/>
                      <w:spacing w:val="0"/>
                      <w:sz w:val="21"/>
                      <w:szCs w:val="21"/>
                      <w:highlight w:val="none"/>
                    </w:rPr>
                    <w:t>处理</w:t>
                  </w:r>
                  <w:r>
                    <w:rPr>
                      <w:rFonts w:hint="eastAsia" w:ascii="Times New Roman" w:hAnsi="Times New Roman" w:eastAsia="宋体"/>
                      <w:b/>
                      <w:bCs/>
                      <w:color w:val="auto"/>
                      <w:spacing w:val="0"/>
                      <w:sz w:val="21"/>
                      <w:szCs w:val="21"/>
                      <w:highlight w:val="none"/>
                      <w:lang w:val="en-US" w:eastAsia="zh-CN"/>
                    </w:rPr>
                    <w:t>废水类别</w:t>
                  </w:r>
                </w:p>
              </w:tc>
              <w:tc>
                <w:tcPr>
                  <w:tcW w:w="1050" w:type="dxa"/>
                  <w:noWrap w:val="0"/>
                  <w:vAlign w:val="center"/>
                </w:tcPr>
                <w:p w14:paraId="3D91F7FA">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b/>
                      <w:bCs/>
                      <w:color w:val="auto"/>
                      <w:spacing w:val="0"/>
                      <w:sz w:val="21"/>
                      <w:szCs w:val="21"/>
                      <w:highlight w:val="none"/>
                      <w:lang w:val="en-US" w:eastAsia="zh-CN"/>
                    </w:rPr>
                  </w:pPr>
                  <w:r>
                    <w:rPr>
                      <w:rFonts w:hint="eastAsia" w:ascii="Times New Roman" w:hAnsi="Times New Roman" w:eastAsia="宋体"/>
                      <w:b/>
                      <w:bCs/>
                      <w:color w:val="auto"/>
                      <w:spacing w:val="0"/>
                      <w:sz w:val="21"/>
                      <w:szCs w:val="21"/>
                      <w:highlight w:val="none"/>
                      <w:lang w:val="en-US" w:eastAsia="zh-CN"/>
                    </w:rPr>
                    <w:t>处理能力</w:t>
                  </w:r>
                </w:p>
              </w:tc>
              <w:tc>
                <w:tcPr>
                  <w:tcW w:w="1112" w:type="dxa"/>
                  <w:noWrap w:val="0"/>
                  <w:vAlign w:val="center"/>
                </w:tcPr>
                <w:p w14:paraId="20A48269">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b/>
                      <w:bCs/>
                      <w:color w:val="auto"/>
                      <w:spacing w:val="0"/>
                      <w:sz w:val="21"/>
                      <w:szCs w:val="21"/>
                      <w:highlight w:val="none"/>
                      <w:lang w:val="en-US" w:eastAsia="zh-CN"/>
                    </w:rPr>
                  </w:pPr>
                  <w:r>
                    <w:rPr>
                      <w:rFonts w:hint="eastAsia" w:ascii="Times New Roman" w:hAnsi="Times New Roman" w:eastAsia="宋体"/>
                      <w:b/>
                      <w:bCs/>
                      <w:color w:val="auto"/>
                      <w:spacing w:val="0"/>
                      <w:sz w:val="21"/>
                      <w:szCs w:val="21"/>
                      <w:highlight w:val="none"/>
                      <w:lang w:val="en-US" w:eastAsia="zh-CN"/>
                    </w:rPr>
                    <w:t>余量</w:t>
                  </w:r>
                </w:p>
              </w:tc>
              <w:tc>
                <w:tcPr>
                  <w:tcW w:w="2759" w:type="dxa"/>
                  <w:noWrap w:val="0"/>
                  <w:vAlign w:val="center"/>
                </w:tcPr>
                <w:p w14:paraId="06AC3963">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b/>
                      <w:bCs/>
                      <w:color w:val="auto"/>
                      <w:spacing w:val="0"/>
                      <w:sz w:val="21"/>
                      <w:szCs w:val="21"/>
                      <w:highlight w:val="none"/>
                      <w:lang w:val="en-US" w:eastAsia="zh-CN"/>
                    </w:rPr>
                  </w:pPr>
                  <w:r>
                    <w:rPr>
                      <w:rFonts w:hint="eastAsia" w:ascii="Times New Roman" w:hAnsi="Times New Roman" w:eastAsia="宋体"/>
                      <w:b/>
                      <w:bCs/>
                      <w:color w:val="auto"/>
                      <w:spacing w:val="0"/>
                      <w:sz w:val="21"/>
                      <w:szCs w:val="21"/>
                      <w:highlight w:val="none"/>
                      <w:lang w:val="en-US" w:eastAsia="zh-CN"/>
                    </w:rPr>
                    <w:t>接收水质要求</w:t>
                  </w:r>
                </w:p>
              </w:tc>
            </w:tr>
            <w:tr w14:paraId="0BB796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666" w:hRule="atLeast"/>
                <w:jc w:val="center"/>
              </w:trPr>
              <w:tc>
                <w:tcPr>
                  <w:tcW w:w="556" w:type="dxa"/>
                  <w:noWrap w:val="0"/>
                  <w:vAlign w:val="center"/>
                </w:tcPr>
                <w:p w14:paraId="03FE3DA2">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1</w:t>
                  </w:r>
                </w:p>
              </w:tc>
              <w:tc>
                <w:tcPr>
                  <w:tcW w:w="940" w:type="dxa"/>
                  <w:noWrap w:val="0"/>
                  <w:vAlign w:val="center"/>
                </w:tcPr>
                <w:p w14:paraId="7470E7D6">
                  <w:pPr>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p w14:paraId="583CD859">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中山市黄圃食品工业园污水处理有限公司</w:t>
                  </w:r>
                </w:p>
              </w:tc>
              <w:tc>
                <w:tcPr>
                  <w:tcW w:w="926" w:type="dxa"/>
                  <w:noWrap w:val="0"/>
                  <w:vAlign w:val="center"/>
                </w:tcPr>
                <w:p w14:paraId="290AEEBB">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中山市黄圃镇食品工业园内</w:t>
                  </w:r>
                </w:p>
              </w:tc>
              <w:tc>
                <w:tcPr>
                  <w:tcW w:w="1152" w:type="dxa"/>
                  <w:noWrap w:val="0"/>
                  <w:vAlign w:val="center"/>
                </w:tcPr>
                <w:p w14:paraId="5EB9A6CE">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firstLine="0"/>
                    <w:jc w:val="center"/>
                    <w:textAlignment w:val="auto"/>
                    <w:rPr>
                      <w:rFonts w:ascii="Times New Roman" w:hAnsi="Times New Roman" w:eastAsia="宋体"/>
                      <w:color w:val="auto"/>
                      <w:spacing w:val="0"/>
                      <w:sz w:val="21"/>
                      <w:szCs w:val="21"/>
                      <w:highlight w:val="none"/>
                    </w:rPr>
                  </w:pPr>
                  <w:r>
                    <w:rPr>
                      <w:rFonts w:hint="eastAsia" w:ascii="Times New Roman" w:hAnsi="Times New Roman" w:eastAsia="宋体"/>
                      <w:color w:val="auto"/>
                      <w:spacing w:val="0"/>
                      <w:sz w:val="21"/>
                      <w:szCs w:val="21"/>
                      <w:highlight w:val="none"/>
                      <w:lang w:eastAsia="zh-CN"/>
                    </w:rPr>
                    <w:t>喷漆</w:t>
                  </w:r>
                  <w:r>
                    <w:rPr>
                      <w:rFonts w:ascii="Times New Roman" w:hAnsi="Times New Roman" w:eastAsia="宋体" w:cs="Times New Roman"/>
                      <w:color w:val="auto"/>
                      <w:spacing w:val="0"/>
                      <w:sz w:val="21"/>
                      <w:szCs w:val="21"/>
                      <w:highlight w:val="none"/>
                    </w:rPr>
                    <w:t>、印刷、印花、清洗废水</w:t>
                  </w:r>
                </w:p>
              </w:tc>
              <w:tc>
                <w:tcPr>
                  <w:tcW w:w="1050" w:type="dxa"/>
                  <w:noWrap w:val="0"/>
                  <w:vAlign w:val="center"/>
                </w:tcPr>
                <w:p w14:paraId="6AD163A5">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lang w:val="en-US"/>
                    </w:rPr>
                    <w:t>900</w:t>
                  </w:r>
                  <w:r>
                    <w:rPr>
                      <w:rFonts w:ascii="Times New Roman" w:hAnsi="Times New Roman" w:eastAsia="宋体" w:cs="Times New Roman"/>
                      <w:color w:val="auto"/>
                      <w:spacing w:val="0"/>
                      <w:sz w:val="21"/>
                      <w:szCs w:val="21"/>
                      <w:highlight w:val="none"/>
                    </w:rPr>
                    <w:t>吨/日</w:t>
                  </w:r>
                </w:p>
              </w:tc>
              <w:tc>
                <w:tcPr>
                  <w:tcW w:w="1112" w:type="dxa"/>
                  <w:noWrap w:val="0"/>
                  <w:vAlign w:val="center"/>
                </w:tcPr>
                <w:p w14:paraId="6B655707">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约400吨/日</w:t>
                  </w:r>
                </w:p>
              </w:tc>
              <w:tc>
                <w:tcPr>
                  <w:tcW w:w="2759" w:type="dxa"/>
                  <w:noWrap w:val="0"/>
                  <w:vAlign w:val="center"/>
                </w:tcPr>
                <w:p w14:paraId="441FEF86">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CODcr≤1700mg/L、BOD</w:t>
                  </w:r>
                  <w:r>
                    <w:rPr>
                      <w:rFonts w:ascii="Times New Roman" w:hAnsi="Times New Roman" w:eastAsia="宋体"/>
                      <w:color w:val="auto"/>
                      <w:spacing w:val="0"/>
                      <w:sz w:val="21"/>
                      <w:szCs w:val="21"/>
                      <w:highlight w:val="none"/>
                      <w:vertAlign w:val="subscript"/>
                    </w:rPr>
                    <w:t>5</w:t>
                  </w:r>
                  <w:r>
                    <w:rPr>
                      <w:rFonts w:ascii="Times New Roman" w:hAnsi="Times New Roman" w:eastAsia="宋体"/>
                      <w:color w:val="auto"/>
                      <w:spacing w:val="0"/>
                      <w:sz w:val="21"/>
                      <w:szCs w:val="21"/>
                      <w:highlight w:val="none"/>
                    </w:rPr>
                    <w:t>≤900mg/L、氨氮≤20mg/L、SS≤600mg/L、动植物油≤150mg/L</w:t>
                  </w:r>
                </w:p>
              </w:tc>
            </w:tr>
            <w:tr w14:paraId="4960E4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474" w:hRule="atLeast"/>
                <w:jc w:val="center"/>
              </w:trPr>
              <w:tc>
                <w:tcPr>
                  <w:tcW w:w="556" w:type="dxa"/>
                  <w:vMerge w:val="restart"/>
                  <w:noWrap w:val="0"/>
                  <w:vAlign w:val="center"/>
                </w:tcPr>
                <w:p w14:paraId="59552074">
                  <w:pPr>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p w14:paraId="695C3A80">
                  <w:pPr>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p w14:paraId="273A8051">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2</w:t>
                  </w:r>
                </w:p>
              </w:tc>
              <w:tc>
                <w:tcPr>
                  <w:tcW w:w="940" w:type="dxa"/>
                  <w:vMerge w:val="restart"/>
                  <w:noWrap w:val="0"/>
                  <w:vAlign w:val="center"/>
                </w:tcPr>
                <w:p w14:paraId="4DFAE389">
                  <w:pPr>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p w14:paraId="5FB220AA">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中山市佳顺环保服务有限公司</w:t>
                  </w:r>
                </w:p>
              </w:tc>
              <w:tc>
                <w:tcPr>
                  <w:tcW w:w="926" w:type="dxa"/>
                  <w:vMerge w:val="restart"/>
                  <w:noWrap w:val="0"/>
                  <w:vAlign w:val="center"/>
                </w:tcPr>
                <w:p w14:paraId="3BD262D0">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中山市港口镇石特社区福田七路13号</w:t>
                  </w:r>
                </w:p>
              </w:tc>
              <w:tc>
                <w:tcPr>
                  <w:tcW w:w="1152" w:type="dxa"/>
                  <w:noWrap w:val="0"/>
                  <w:vAlign w:val="center"/>
                </w:tcPr>
                <w:p w14:paraId="72DA328F">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rPr>
                    <w:t>印</w:t>
                  </w:r>
                  <w:r>
                    <w:rPr>
                      <w:rFonts w:ascii="Times New Roman" w:hAnsi="Times New Roman" w:eastAsia="宋体" w:cs="Times New Roman"/>
                      <w:color w:val="auto"/>
                      <w:spacing w:val="0"/>
                      <w:sz w:val="21"/>
                      <w:szCs w:val="21"/>
                      <w:highlight w:val="none"/>
                      <w:lang w:val="en-US"/>
                    </w:rPr>
                    <w:t>刷、印花废水</w:t>
                  </w:r>
                </w:p>
              </w:tc>
              <w:tc>
                <w:tcPr>
                  <w:tcW w:w="1050" w:type="dxa"/>
                  <w:noWrap w:val="0"/>
                  <w:vAlign w:val="center"/>
                </w:tcPr>
                <w:p w14:paraId="3FABF3D6">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lang w:val="en-US"/>
                    </w:rPr>
                    <w:t>140</w:t>
                  </w:r>
                  <w:r>
                    <w:rPr>
                      <w:rFonts w:ascii="Times New Roman" w:hAnsi="Times New Roman" w:eastAsia="宋体" w:cs="Times New Roman"/>
                      <w:color w:val="auto"/>
                      <w:spacing w:val="0"/>
                      <w:sz w:val="21"/>
                      <w:szCs w:val="21"/>
                      <w:highlight w:val="none"/>
                    </w:rPr>
                    <w:t>吨/日</w:t>
                  </w:r>
                </w:p>
              </w:tc>
              <w:tc>
                <w:tcPr>
                  <w:tcW w:w="1112" w:type="dxa"/>
                  <w:vMerge w:val="restart"/>
                  <w:noWrap w:val="0"/>
                  <w:vAlign w:val="center"/>
                </w:tcPr>
                <w:p w14:paraId="2B0CFD40">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约75吨/日</w:t>
                  </w:r>
                </w:p>
              </w:tc>
              <w:tc>
                <w:tcPr>
                  <w:tcW w:w="2759" w:type="dxa"/>
                  <w:noWrap w:val="0"/>
                  <w:vAlign w:val="center"/>
                </w:tcPr>
                <w:p w14:paraId="7ED77A4B">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CODcr≤2000mg/L、BOD</w:t>
                  </w:r>
                  <w:r>
                    <w:rPr>
                      <w:rFonts w:ascii="Times New Roman" w:hAnsi="Times New Roman" w:eastAsia="宋体"/>
                      <w:color w:val="auto"/>
                      <w:spacing w:val="0"/>
                      <w:sz w:val="21"/>
                      <w:szCs w:val="21"/>
                      <w:highlight w:val="none"/>
                      <w:vertAlign w:val="subscript"/>
                    </w:rPr>
                    <w:t>5</w:t>
                  </w:r>
                  <w:r>
                    <w:rPr>
                      <w:rFonts w:ascii="Times New Roman" w:hAnsi="Times New Roman" w:eastAsia="宋体"/>
                      <w:color w:val="auto"/>
                      <w:spacing w:val="0"/>
                      <w:sz w:val="21"/>
                      <w:szCs w:val="21"/>
                      <w:highlight w:val="none"/>
                    </w:rPr>
                    <w:t>≤400mg/L、SS≤200mg/L、石油类≤10mg/L、色度≤400倍、pH值6~7</w:t>
                  </w:r>
                </w:p>
              </w:tc>
            </w:tr>
            <w:tr w14:paraId="41F63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125" w:hRule="atLeast"/>
                <w:jc w:val="center"/>
              </w:trPr>
              <w:tc>
                <w:tcPr>
                  <w:tcW w:w="556" w:type="dxa"/>
                  <w:vMerge w:val="continue"/>
                  <w:noWrap w:val="0"/>
                  <w:vAlign w:val="center"/>
                </w:tcPr>
                <w:p w14:paraId="0CECCB8D">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940" w:type="dxa"/>
                  <w:vMerge w:val="continue"/>
                  <w:noWrap w:val="0"/>
                  <w:vAlign w:val="center"/>
                </w:tcPr>
                <w:p w14:paraId="63E113D3">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926" w:type="dxa"/>
                  <w:vMerge w:val="continue"/>
                  <w:noWrap w:val="0"/>
                  <w:vAlign w:val="center"/>
                </w:tcPr>
                <w:p w14:paraId="7AFC6BDA">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1152" w:type="dxa"/>
                  <w:noWrap w:val="0"/>
                  <w:vAlign w:val="center"/>
                </w:tcPr>
                <w:p w14:paraId="56B78653">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rPr>
                    <w:t>喷漆</w:t>
                  </w:r>
                  <w:r>
                    <w:rPr>
                      <w:rFonts w:ascii="Times New Roman" w:hAnsi="Times New Roman" w:eastAsia="宋体" w:cs="Times New Roman"/>
                      <w:color w:val="auto"/>
                      <w:spacing w:val="0"/>
                      <w:sz w:val="21"/>
                      <w:szCs w:val="21"/>
                      <w:highlight w:val="none"/>
                      <w:lang w:val="en-US"/>
                    </w:rPr>
                    <w:t>废水</w:t>
                  </w:r>
                </w:p>
              </w:tc>
              <w:tc>
                <w:tcPr>
                  <w:tcW w:w="1050" w:type="dxa"/>
                  <w:noWrap w:val="0"/>
                  <w:vAlign w:val="center"/>
                </w:tcPr>
                <w:p w14:paraId="7BCA59B0">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100吨/日</w:t>
                  </w:r>
                </w:p>
              </w:tc>
              <w:tc>
                <w:tcPr>
                  <w:tcW w:w="1112" w:type="dxa"/>
                  <w:vMerge w:val="continue"/>
                  <w:noWrap w:val="0"/>
                  <w:vAlign w:val="center"/>
                </w:tcPr>
                <w:p w14:paraId="79DAA72F">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2759" w:type="dxa"/>
                  <w:noWrap w:val="0"/>
                  <w:vAlign w:val="center"/>
                </w:tcPr>
                <w:p w14:paraId="3FBFC0AC">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CODcr≤2000mg/L、BOD</w:t>
                  </w:r>
                  <w:r>
                    <w:rPr>
                      <w:rFonts w:ascii="Times New Roman" w:hAnsi="Times New Roman" w:eastAsia="宋体"/>
                      <w:color w:val="auto"/>
                      <w:spacing w:val="0"/>
                      <w:sz w:val="21"/>
                      <w:szCs w:val="21"/>
                      <w:highlight w:val="none"/>
                      <w:vertAlign w:val="subscript"/>
                    </w:rPr>
                    <w:t>5</w:t>
                  </w:r>
                  <w:r>
                    <w:rPr>
                      <w:rFonts w:ascii="Times New Roman" w:hAnsi="Times New Roman" w:eastAsia="宋体"/>
                      <w:color w:val="auto"/>
                      <w:spacing w:val="0"/>
                      <w:sz w:val="21"/>
                      <w:szCs w:val="21"/>
                      <w:highlight w:val="none"/>
                    </w:rPr>
                    <w:t>≤300mg/L、石油类≤10mg/L、色度≤200倍、pH值6~8</w:t>
                  </w:r>
                </w:p>
              </w:tc>
            </w:tr>
            <w:tr w14:paraId="725678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379" w:hRule="atLeast"/>
                <w:jc w:val="center"/>
              </w:trPr>
              <w:tc>
                <w:tcPr>
                  <w:tcW w:w="556" w:type="dxa"/>
                  <w:vMerge w:val="continue"/>
                  <w:noWrap w:val="0"/>
                  <w:vAlign w:val="center"/>
                </w:tcPr>
                <w:p w14:paraId="6380D165">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940" w:type="dxa"/>
                  <w:vMerge w:val="continue"/>
                  <w:noWrap w:val="0"/>
                  <w:vAlign w:val="center"/>
                </w:tcPr>
                <w:p w14:paraId="444DE91E">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926" w:type="dxa"/>
                  <w:vMerge w:val="continue"/>
                  <w:noWrap w:val="0"/>
                  <w:vAlign w:val="center"/>
                </w:tcPr>
                <w:p w14:paraId="3341C162">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1152" w:type="dxa"/>
                  <w:noWrap w:val="0"/>
                  <w:vAlign w:val="center"/>
                </w:tcPr>
                <w:p w14:paraId="3CD0ACAA">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rPr>
                    <w:t>酸洗磷化</w:t>
                  </w:r>
                  <w:r>
                    <w:rPr>
                      <w:rFonts w:ascii="Times New Roman" w:hAnsi="Times New Roman" w:eastAsia="宋体" w:cs="Times New Roman"/>
                      <w:color w:val="auto"/>
                      <w:spacing w:val="0"/>
                      <w:sz w:val="21"/>
                      <w:szCs w:val="21"/>
                      <w:highlight w:val="none"/>
                      <w:lang w:val="en-US"/>
                    </w:rPr>
                    <w:t>废水</w:t>
                  </w:r>
                </w:p>
              </w:tc>
              <w:tc>
                <w:tcPr>
                  <w:tcW w:w="1050" w:type="dxa"/>
                  <w:noWrap w:val="0"/>
                  <w:vAlign w:val="center"/>
                </w:tcPr>
                <w:p w14:paraId="7644E928">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40吨/日</w:t>
                  </w:r>
                </w:p>
              </w:tc>
              <w:tc>
                <w:tcPr>
                  <w:tcW w:w="1112" w:type="dxa"/>
                  <w:vMerge w:val="continue"/>
                  <w:noWrap w:val="0"/>
                  <w:vAlign w:val="center"/>
                </w:tcPr>
                <w:p w14:paraId="5ECBC831">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2759" w:type="dxa"/>
                  <w:noWrap w:val="0"/>
                  <w:vAlign w:val="center"/>
                </w:tcPr>
                <w:p w14:paraId="449BBA2D">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CODcr≤500mg/L、BOD</w:t>
                  </w:r>
                  <w:r>
                    <w:rPr>
                      <w:rFonts w:ascii="Times New Roman" w:hAnsi="Times New Roman" w:eastAsia="宋体"/>
                      <w:color w:val="auto"/>
                      <w:spacing w:val="0"/>
                      <w:sz w:val="21"/>
                      <w:szCs w:val="21"/>
                      <w:highlight w:val="none"/>
                      <w:vertAlign w:val="subscript"/>
                    </w:rPr>
                    <w:t>5</w:t>
                  </w:r>
                  <w:r>
                    <w:rPr>
                      <w:rFonts w:ascii="Times New Roman" w:hAnsi="Times New Roman" w:eastAsia="宋体"/>
                      <w:color w:val="auto"/>
                      <w:spacing w:val="0"/>
                      <w:sz w:val="21"/>
                      <w:szCs w:val="21"/>
                      <w:highlight w:val="none"/>
                    </w:rPr>
                    <w:t>≤80mg/L、SS≤300mg/L、石油类≤10mg/L、色度≤80倍、pH值4~7、磷化物≤50mg/L、总锌≤15mg/L</w:t>
                  </w:r>
                </w:p>
              </w:tc>
            </w:tr>
            <w:tr w14:paraId="40AA40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016" w:hRule="atLeast"/>
                <w:jc w:val="center"/>
              </w:trPr>
              <w:tc>
                <w:tcPr>
                  <w:tcW w:w="556" w:type="dxa"/>
                  <w:vMerge w:val="continue"/>
                  <w:noWrap w:val="0"/>
                  <w:vAlign w:val="center"/>
                </w:tcPr>
                <w:p w14:paraId="142BE71C">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940" w:type="dxa"/>
                  <w:vMerge w:val="continue"/>
                  <w:noWrap w:val="0"/>
                  <w:vAlign w:val="center"/>
                </w:tcPr>
                <w:p w14:paraId="2DC9C0D8">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926" w:type="dxa"/>
                  <w:vMerge w:val="continue"/>
                  <w:noWrap w:val="0"/>
                  <w:vAlign w:val="center"/>
                </w:tcPr>
                <w:p w14:paraId="0763F5B6">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1152" w:type="dxa"/>
                  <w:noWrap w:val="0"/>
                  <w:vAlign w:val="center"/>
                </w:tcPr>
                <w:p w14:paraId="45E47466">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rPr>
                    <w:t>食品废</w:t>
                  </w:r>
                  <w:r>
                    <w:rPr>
                      <w:rFonts w:ascii="Times New Roman" w:hAnsi="Times New Roman" w:eastAsia="宋体" w:cs="Times New Roman"/>
                      <w:color w:val="auto"/>
                      <w:spacing w:val="0"/>
                      <w:sz w:val="21"/>
                      <w:szCs w:val="21"/>
                      <w:highlight w:val="none"/>
                      <w:lang w:val="en-US"/>
                    </w:rPr>
                    <w:t>水</w:t>
                  </w:r>
                </w:p>
              </w:tc>
              <w:tc>
                <w:tcPr>
                  <w:tcW w:w="1050" w:type="dxa"/>
                  <w:noWrap w:val="0"/>
                  <w:vAlign w:val="center"/>
                </w:tcPr>
                <w:p w14:paraId="43C6820E">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20吨/日</w:t>
                  </w:r>
                </w:p>
              </w:tc>
              <w:tc>
                <w:tcPr>
                  <w:tcW w:w="1112" w:type="dxa"/>
                  <w:vMerge w:val="continue"/>
                  <w:noWrap w:val="0"/>
                  <w:vAlign w:val="center"/>
                </w:tcPr>
                <w:p w14:paraId="4EC9AC1B">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tc>
              <w:tc>
                <w:tcPr>
                  <w:tcW w:w="2759" w:type="dxa"/>
                  <w:noWrap w:val="0"/>
                  <w:vAlign w:val="center"/>
                </w:tcPr>
                <w:p w14:paraId="5FFBD760">
                  <w:pPr>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CODcr≤1800mg/L、BOD</w:t>
                  </w:r>
                  <w:r>
                    <w:rPr>
                      <w:rFonts w:ascii="Times New Roman" w:hAnsi="Times New Roman" w:eastAsia="宋体"/>
                      <w:color w:val="auto"/>
                      <w:spacing w:val="0"/>
                      <w:sz w:val="21"/>
                      <w:szCs w:val="21"/>
                      <w:highlight w:val="none"/>
                      <w:vertAlign w:val="subscript"/>
                    </w:rPr>
                    <w:t>5</w:t>
                  </w:r>
                  <w:r>
                    <w:rPr>
                      <w:rFonts w:ascii="Times New Roman" w:hAnsi="Times New Roman" w:eastAsia="宋体"/>
                      <w:color w:val="auto"/>
                      <w:spacing w:val="0"/>
                      <w:sz w:val="21"/>
                      <w:szCs w:val="21"/>
                      <w:highlight w:val="none"/>
                    </w:rPr>
                    <w:t>≤1000mg/L、SS≤800mg/L、氨氮≤100mg/L</w:t>
                  </w:r>
                </w:p>
              </w:tc>
            </w:tr>
            <w:tr w14:paraId="37AF18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290" w:hRule="atLeast"/>
                <w:jc w:val="center"/>
              </w:trPr>
              <w:tc>
                <w:tcPr>
                  <w:tcW w:w="556" w:type="dxa"/>
                  <w:noWrap w:val="0"/>
                  <w:vAlign w:val="center"/>
                </w:tcPr>
                <w:p w14:paraId="6AD9F131">
                  <w:pPr>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p>
                <w:p w14:paraId="17120C56">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3</w:t>
                  </w:r>
                </w:p>
              </w:tc>
              <w:tc>
                <w:tcPr>
                  <w:tcW w:w="940" w:type="dxa"/>
                  <w:noWrap w:val="0"/>
                  <w:vAlign w:val="center"/>
                </w:tcPr>
                <w:p w14:paraId="2AB715C2">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中山市中丽环境服务有限公司</w:t>
                  </w:r>
                </w:p>
              </w:tc>
              <w:tc>
                <w:tcPr>
                  <w:tcW w:w="926" w:type="dxa"/>
                  <w:noWrap w:val="0"/>
                  <w:vAlign w:val="center"/>
                </w:tcPr>
                <w:p w14:paraId="032569FE">
                  <w:pPr>
                    <w:pStyle w:val="191"/>
                    <w:keepNext w:val="0"/>
                    <w:keepLines/>
                    <w:pageBreakBefore w:val="0"/>
                    <w:widowControl/>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olor w:val="auto"/>
                      <w:spacing w:val="0"/>
                      <w:sz w:val="21"/>
                      <w:szCs w:val="21"/>
                      <w:highlight w:val="none"/>
                    </w:rPr>
                    <w:t>中山市角镇高平工业区福泽一街</w:t>
                  </w:r>
                </w:p>
              </w:tc>
              <w:tc>
                <w:tcPr>
                  <w:tcW w:w="1152" w:type="dxa"/>
                  <w:noWrap w:val="0"/>
                  <w:vAlign w:val="center"/>
                </w:tcPr>
                <w:p w14:paraId="4FA3DA2B">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rPr>
                    <w:t>洗染、印刷、印花、喷漆废水</w:t>
                  </w:r>
                </w:p>
              </w:tc>
              <w:tc>
                <w:tcPr>
                  <w:tcW w:w="1050" w:type="dxa"/>
                  <w:noWrap w:val="0"/>
                  <w:vAlign w:val="center"/>
                </w:tcPr>
                <w:p w14:paraId="0925641B">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lang w:val="en-US"/>
                    </w:rPr>
                    <w:t>400</w:t>
                  </w:r>
                  <w:r>
                    <w:rPr>
                      <w:rFonts w:ascii="Times New Roman" w:hAnsi="Times New Roman" w:eastAsia="宋体" w:cs="Times New Roman"/>
                      <w:color w:val="auto"/>
                      <w:spacing w:val="0"/>
                      <w:sz w:val="21"/>
                      <w:szCs w:val="21"/>
                      <w:highlight w:val="none"/>
                    </w:rPr>
                    <w:t>吨/日</w:t>
                  </w:r>
                </w:p>
              </w:tc>
              <w:tc>
                <w:tcPr>
                  <w:tcW w:w="1112" w:type="dxa"/>
                  <w:noWrap w:val="0"/>
                  <w:vAlign w:val="center"/>
                </w:tcPr>
                <w:p w14:paraId="71979840">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lang w:val="en-US"/>
                    </w:rPr>
                    <w:t>约100吨/日</w:t>
                  </w:r>
                </w:p>
              </w:tc>
              <w:tc>
                <w:tcPr>
                  <w:tcW w:w="2759" w:type="dxa"/>
                  <w:noWrap w:val="0"/>
                  <w:vAlign w:val="center"/>
                </w:tcPr>
                <w:p w14:paraId="3C628913">
                  <w:pPr>
                    <w:pStyle w:val="181"/>
                    <w:keepNext w:val="0"/>
                    <w:pageBreakBefore w:val="0"/>
                    <w:kinsoku/>
                    <w:wordWrap/>
                    <w:overflowPunct/>
                    <w:topLinePunct w:val="0"/>
                    <w:autoSpaceDE/>
                    <w:autoSpaceDN/>
                    <w:bidi w:val="0"/>
                    <w:adjustRightInd/>
                    <w:snapToGrid/>
                    <w:spacing w:line="360" w:lineRule="auto"/>
                    <w:ind w:left="0" w:leftChars="0" w:right="0" w:rightChars="0"/>
                    <w:jc w:val="center"/>
                    <w:textAlignment w:val="auto"/>
                    <w:rPr>
                      <w:rFonts w:ascii="Times New Roman" w:hAnsi="Times New Roman" w:eastAsia="宋体"/>
                      <w:color w:val="auto"/>
                      <w:spacing w:val="0"/>
                      <w:sz w:val="21"/>
                      <w:szCs w:val="21"/>
                      <w:highlight w:val="none"/>
                    </w:rPr>
                  </w:pPr>
                  <w:r>
                    <w:rPr>
                      <w:rFonts w:ascii="Times New Roman" w:hAnsi="Times New Roman" w:eastAsia="宋体" w:cs="Times New Roman"/>
                      <w:color w:val="auto"/>
                      <w:spacing w:val="0"/>
                      <w:sz w:val="21"/>
                      <w:szCs w:val="21"/>
                      <w:highlight w:val="none"/>
                      <w:lang w:val="en-US"/>
                    </w:rPr>
                    <w:t>CODcr≤5000mg/L、BOD</w:t>
                  </w:r>
                  <w:r>
                    <w:rPr>
                      <w:rFonts w:ascii="Times New Roman" w:hAnsi="Times New Roman" w:eastAsia="宋体" w:cs="Times New Roman"/>
                      <w:color w:val="auto"/>
                      <w:spacing w:val="0"/>
                      <w:sz w:val="21"/>
                      <w:szCs w:val="21"/>
                      <w:highlight w:val="none"/>
                      <w:vertAlign w:val="subscript"/>
                      <w:lang w:val="en-US"/>
                    </w:rPr>
                    <w:t>5</w:t>
                  </w:r>
                  <w:r>
                    <w:rPr>
                      <w:rFonts w:ascii="Times New Roman" w:hAnsi="Times New Roman" w:eastAsia="宋体" w:cs="Times New Roman"/>
                      <w:color w:val="auto"/>
                      <w:spacing w:val="0"/>
                      <w:sz w:val="21"/>
                      <w:szCs w:val="21"/>
                      <w:highlight w:val="none"/>
                      <w:lang w:val="en-US"/>
                    </w:rPr>
                    <w:t>≤2000mg/L、氨氮≤30mg/L、总磷≤10mg/L、SS≤500mg/L</w:t>
                  </w:r>
                </w:p>
              </w:tc>
            </w:tr>
          </w:tbl>
          <w:p w14:paraId="7F448A1D">
            <w:pPr>
              <w:pStyle w:val="9"/>
              <w:spacing w:line="360" w:lineRule="auto"/>
              <w:ind w:left="630" w:leftChars="0" w:firstLineChars="0"/>
              <w:rPr>
                <w:color w:val="auto"/>
                <w:szCs w:val="21"/>
              </w:rPr>
            </w:pPr>
            <w:r>
              <w:rPr>
                <w:rFonts w:hint="eastAsia"/>
                <w:color w:val="auto"/>
                <w:szCs w:val="21"/>
              </w:rPr>
              <w:t>工业废水暂存和废水转移频次一览表</w:t>
            </w:r>
          </w:p>
          <w:tbl>
            <w:tblPr>
              <w:tblStyle w:val="35"/>
              <w:tblW w:w="81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427"/>
              <w:gridCol w:w="1276"/>
              <w:gridCol w:w="1276"/>
              <w:gridCol w:w="1158"/>
              <w:gridCol w:w="1755"/>
            </w:tblGrid>
            <w:tr w14:paraId="22E31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18" w:type="dxa"/>
                  <w:vAlign w:val="center"/>
                </w:tcPr>
                <w:p w14:paraId="319AACBF">
                  <w:pPr>
                    <w:spacing w:line="360" w:lineRule="auto"/>
                    <w:jc w:val="center"/>
                    <w:rPr>
                      <w:color w:val="auto"/>
                      <w:szCs w:val="21"/>
                    </w:rPr>
                  </w:pPr>
                  <w:r>
                    <w:rPr>
                      <w:rFonts w:hint="eastAsia"/>
                      <w:color w:val="auto"/>
                      <w:szCs w:val="21"/>
                    </w:rPr>
                    <w:t>废水类别</w:t>
                  </w:r>
                </w:p>
              </w:tc>
              <w:tc>
                <w:tcPr>
                  <w:tcW w:w="1427" w:type="dxa"/>
                  <w:vAlign w:val="center"/>
                </w:tcPr>
                <w:p w14:paraId="4F545BE6">
                  <w:pPr>
                    <w:spacing w:line="360" w:lineRule="auto"/>
                    <w:jc w:val="center"/>
                    <w:rPr>
                      <w:color w:val="auto"/>
                      <w:szCs w:val="21"/>
                    </w:rPr>
                  </w:pPr>
                  <w:r>
                    <w:rPr>
                      <w:rFonts w:hint="eastAsia"/>
                      <w:color w:val="auto"/>
                      <w:szCs w:val="21"/>
                    </w:rPr>
                    <w:t>废水产生量</w:t>
                  </w:r>
                </w:p>
              </w:tc>
              <w:tc>
                <w:tcPr>
                  <w:tcW w:w="1276" w:type="dxa"/>
                  <w:vAlign w:val="center"/>
                </w:tcPr>
                <w:p w14:paraId="529722FA">
                  <w:pPr>
                    <w:spacing w:line="360" w:lineRule="auto"/>
                    <w:jc w:val="center"/>
                    <w:rPr>
                      <w:rFonts w:hint="default" w:eastAsia="宋体"/>
                      <w:color w:val="auto"/>
                      <w:szCs w:val="21"/>
                      <w:lang w:val="en-US" w:eastAsia="zh-CN"/>
                    </w:rPr>
                  </w:pPr>
                  <w:r>
                    <w:rPr>
                      <w:rFonts w:hint="eastAsia"/>
                      <w:color w:val="auto"/>
                      <w:szCs w:val="21"/>
                      <w:lang w:val="en-US" w:eastAsia="zh-CN"/>
                    </w:rPr>
                    <w:t>废水暂存装置容量</w:t>
                  </w:r>
                </w:p>
              </w:tc>
              <w:tc>
                <w:tcPr>
                  <w:tcW w:w="1276" w:type="dxa"/>
                  <w:vAlign w:val="center"/>
                </w:tcPr>
                <w:p w14:paraId="621AEDB9">
                  <w:pPr>
                    <w:spacing w:line="360" w:lineRule="auto"/>
                    <w:jc w:val="center"/>
                    <w:rPr>
                      <w:color w:val="auto"/>
                      <w:szCs w:val="21"/>
                    </w:rPr>
                  </w:pPr>
                  <w:r>
                    <w:rPr>
                      <w:rFonts w:hint="eastAsia"/>
                      <w:color w:val="auto"/>
                      <w:szCs w:val="21"/>
                    </w:rPr>
                    <w:t>废水最大</w:t>
                  </w:r>
                  <w:r>
                    <w:rPr>
                      <w:rFonts w:hint="eastAsia"/>
                      <w:color w:val="auto"/>
                      <w:szCs w:val="21"/>
                      <w:lang w:val="en-US" w:eastAsia="zh-CN"/>
                    </w:rPr>
                    <w:t>暂</w:t>
                  </w:r>
                  <w:r>
                    <w:rPr>
                      <w:rFonts w:hint="eastAsia"/>
                      <w:color w:val="auto"/>
                      <w:szCs w:val="21"/>
                    </w:rPr>
                    <w:t>存量</w:t>
                  </w:r>
                </w:p>
              </w:tc>
              <w:tc>
                <w:tcPr>
                  <w:tcW w:w="1158" w:type="dxa"/>
                  <w:vAlign w:val="center"/>
                </w:tcPr>
                <w:p w14:paraId="1D8C5E6C">
                  <w:pPr>
                    <w:spacing w:line="360" w:lineRule="auto"/>
                    <w:jc w:val="center"/>
                    <w:rPr>
                      <w:color w:val="auto"/>
                      <w:szCs w:val="21"/>
                    </w:rPr>
                  </w:pPr>
                  <w:r>
                    <w:rPr>
                      <w:rFonts w:hint="eastAsia"/>
                      <w:color w:val="auto"/>
                      <w:szCs w:val="21"/>
                    </w:rPr>
                    <w:t>废水转移频次</w:t>
                  </w:r>
                </w:p>
              </w:tc>
              <w:tc>
                <w:tcPr>
                  <w:tcW w:w="1755" w:type="dxa"/>
                  <w:vAlign w:val="center"/>
                </w:tcPr>
                <w:p w14:paraId="32CED1DB">
                  <w:pPr>
                    <w:spacing w:line="360" w:lineRule="auto"/>
                    <w:jc w:val="center"/>
                    <w:rPr>
                      <w:color w:val="auto"/>
                      <w:szCs w:val="21"/>
                    </w:rPr>
                  </w:pPr>
                  <w:r>
                    <w:rPr>
                      <w:rFonts w:hint="eastAsia"/>
                      <w:color w:val="auto"/>
                      <w:szCs w:val="21"/>
                    </w:rPr>
                    <w:t>废水转移量</w:t>
                  </w:r>
                </w:p>
              </w:tc>
            </w:tr>
            <w:tr w14:paraId="7D920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18" w:type="dxa"/>
                  <w:vAlign w:val="center"/>
                </w:tcPr>
                <w:p w14:paraId="1A188B3A">
                  <w:pPr>
                    <w:spacing w:line="360" w:lineRule="auto"/>
                    <w:jc w:val="center"/>
                    <w:rPr>
                      <w:color w:val="auto"/>
                      <w:szCs w:val="21"/>
                    </w:rPr>
                  </w:pPr>
                  <w:r>
                    <w:rPr>
                      <w:rFonts w:hint="eastAsia"/>
                      <w:color w:val="auto"/>
                      <w:szCs w:val="21"/>
                    </w:rPr>
                    <w:t>清洗废水</w:t>
                  </w:r>
                </w:p>
              </w:tc>
              <w:tc>
                <w:tcPr>
                  <w:tcW w:w="1427" w:type="dxa"/>
                  <w:vAlign w:val="center"/>
                </w:tcPr>
                <w:p w14:paraId="0C133CE4">
                  <w:pPr>
                    <w:spacing w:line="360" w:lineRule="auto"/>
                    <w:jc w:val="center"/>
                    <w:rPr>
                      <w:color w:val="auto"/>
                      <w:szCs w:val="21"/>
                    </w:rPr>
                  </w:pPr>
                  <w:r>
                    <w:rPr>
                      <w:rFonts w:hint="eastAsia"/>
                      <w:color w:val="auto"/>
                      <w:szCs w:val="21"/>
                      <w:lang w:val="en-US" w:eastAsia="zh-CN"/>
                    </w:rPr>
                    <w:t>544.8</w:t>
                  </w:r>
                  <w:r>
                    <w:rPr>
                      <w:rFonts w:hint="eastAsia"/>
                      <w:color w:val="auto"/>
                      <w:szCs w:val="21"/>
                    </w:rPr>
                    <w:t>t/a</w:t>
                  </w:r>
                </w:p>
              </w:tc>
              <w:tc>
                <w:tcPr>
                  <w:tcW w:w="1276" w:type="dxa"/>
                  <w:vAlign w:val="center"/>
                </w:tcPr>
                <w:p w14:paraId="3324FB1B">
                  <w:pPr>
                    <w:spacing w:line="360" w:lineRule="auto"/>
                    <w:jc w:val="center"/>
                    <w:rPr>
                      <w:rFonts w:hint="default"/>
                      <w:color w:val="auto"/>
                      <w:szCs w:val="21"/>
                      <w:highlight w:val="none"/>
                      <w:lang w:val="en-US" w:eastAsia="zh-CN"/>
                    </w:rPr>
                  </w:pPr>
                  <w:r>
                    <w:rPr>
                      <w:rFonts w:hint="eastAsia"/>
                      <w:color w:val="auto"/>
                      <w:szCs w:val="21"/>
                      <w:highlight w:val="none"/>
                      <w:lang w:val="en-US" w:eastAsia="zh-CN"/>
                    </w:rPr>
                    <w:t>20t/a</w:t>
                  </w:r>
                </w:p>
              </w:tc>
              <w:tc>
                <w:tcPr>
                  <w:tcW w:w="1276" w:type="dxa"/>
                  <w:vAlign w:val="center"/>
                </w:tcPr>
                <w:p w14:paraId="720ABA24">
                  <w:pPr>
                    <w:spacing w:line="360" w:lineRule="auto"/>
                    <w:jc w:val="center"/>
                    <w:rPr>
                      <w:color w:val="auto"/>
                      <w:szCs w:val="21"/>
                      <w:highlight w:val="none"/>
                    </w:rPr>
                  </w:pPr>
                  <w:r>
                    <w:rPr>
                      <w:rFonts w:hint="eastAsia"/>
                      <w:color w:val="auto"/>
                      <w:szCs w:val="21"/>
                      <w:highlight w:val="none"/>
                      <w:lang w:val="en-US" w:eastAsia="zh-CN"/>
                    </w:rPr>
                    <w:t>16</w:t>
                  </w:r>
                  <w:r>
                    <w:rPr>
                      <w:rFonts w:hint="eastAsia"/>
                      <w:color w:val="auto"/>
                      <w:szCs w:val="21"/>
                      <w:highlight w:val="none"/>
                    </w:rPr>
                    <w:t>t/a</w:t>
                  </w:r>
                </w:p>
              </w:tc>
              <w:tc>
                <w:tcPr>
                  <w:tcW w:w="1158" w:type="dxa"/>
                  <w:vAlign w:val="center"/>
                </w:tcPr>
                <w:p w14:paraId="19194D0A">
                  <w:pPr>
                    <w:spacing w:line="360" w:lineRule="auto"/>
                    <w:jc w:val="center"/>
                    <w:rPr>
                      <w:color w:val="auto"/>
                      <w:szCs w:val="21"/>
                    </w:rPr>
                  </w:pPr>
                  <w:r>
                    <w:rPr>
                      <w:rFonts w:hint="eastAsia"/>
                      <w:color w:val="auto"/>
                      <w:szCs w:val="21"/>
                      <w:lang w:val="en-US" w:eastAsia="zh-CN"/>
                    </w:rPr>
                    <w:t>35</w:t>
                  </w:r>
                  <w:r>
                    <w:rPr>
                      <w:rFonts w:hint="eastAsia"/>
                      <w:color w:val="auto"/>
                      <w:szCs w:val="21"/>
                    </w:rPr>
                    <w:t>次/a</w:t>
                  </w:r>
                </w:p>
              </w:tc>
              <w:tc>
                <w:tcPr>
                  <w:tcW w:w="1755" w:type="dxa"/>
                  <w:vAlign w:val="center"/>
                </w:tcPr>
                <w:p w14:paraId="304475EF">
                  <w:pPr>
                    <w:spacing w:line="360" w:lineRule="auto"/>
                    <w:jc w:val="center"/>
                    <w:rPr>
                      <w:color w:val="auto"/>
                      <w:szCs w:val="21"/>
                    </w:rPr>
                  </w:pPr>
                  <w:r>
                    <w:rPr>
                      <w:rFonts w:hint="eastAsia"/>
                      <w:color w:val="auto"/>
                      <w:szCs w:val="21"/>
                      <w:lang w:val="en-US" w:eastAsia="zh-CN"/>
                    </w:rPr>
                    <w:t>16</w:t>
                  </w:r>
                  <w:r>
                    <w:rPr>
                      <w:rFonts w:hint="eastAsia"/>
                      <w:color w:val="auto"/>
                      <w:szCs w:val="21"/>
                    </w:rPr>
                    <w:t>t/次</w:t>
                  </w:r>
                </w:p>
              </w:tc>
            </w:tr>
          </w:tbl>
          <w:p w14:paraId="21CCF3CA">
            <w:pPr>
              <w:pStyle w:val="9"/>
              <w:spacing w:line="360" w:lineRule="auto"/>
              <w:ind w:left="630" w:leftChars="0" w:firstLineChars="0"/>
              <w:rPr>
                <w:rFonts w:hint="eastAsia" w:ascii="Times New Roman" w:hAnsi="Times New Roman" w:eastAsia="宋体" w:cs="Times New Roman"/>
                <w:b/>
                <w:color w:val="auto"/>
                <w:kern w:val="2"/>
                <w:sz w:val="21"/>
                <w:szCs w:val="21"/>
                <w:lang w:val="en-US" w:eastAsia="zh-CN" w:bidi="ar-SA"/>
              </w:rPr>
            </w:pPr>
            <w:r>
              <w:rPr>
                <w:rFonts w:hint="eastAsia" w:ascii="Times New Roman" w:hAnsi="Times New Roman" w:eastAsia="宋体" w:cs="Times New Roman"/>
                <w:b/>
                <w:color w:val="auto"/>
                <w:kern w:val="2"/>
                <w:sz w:val="21"/>
                <w:szCs w:val="21"/>
                <w:lang w:val="en-US" w:eastAsia="zh-CN" w:bidi="ar-SA"/>
              </w:rPr>
              <w:t>废水类别、污染物及污染治理设施信息表</w:t>
            </w:r>
          </w:p>
          <w:tbl>
            <w:tblPr>
              <w:tblStyle w:val="3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9"/>
              <w:gridCol w:w="472"/>
              <w:gridCol w:w="857"/>
              <w:gridCol w:w="690"/>
              <w:gridCol w:w="675"/>
              <w:gridCol w:w="705"/>
              <w:gridCol w:w="645"/>
              <w:gridCol w:w="780"/>
              <w:gridCol w:w="710"/>
              <w:gridCol w:w="610"/>
              <w:gridCol w:w="540"/>
              <w:gridCol w:w="1309"/>
            </w:tblGrid>
            <w:tr w14:paraId="4F802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43" w:type="pct"/>
                  <w:vMerge w:val="restart"/>
                  <w:vAlign w:val="center"/>
                </w:tcPr>
                <w:p w14:paraId="363FFF04">
                  <w:pPr>
                    <w:pStyle w:val="70"/>
                    <w:spacing w:line="360" w:lineRule="auto"/>
                    <w:rPr>
                      <w:b/>
                      <w:color w:val="auto"/>
                      <w:lang w:val="en-US"/>
                    </w:rPr>
                  </w:pPr>
                  <w:r>
                    <w:rPr>
                      <w:rFonts w:hint="eastAsia"/>
                      <w:b/>
                      <w:color w:val="auto"/>
                      <w:lang w:val="en-US"/>
                    </w:rPr>
                    <w:t>序号</w:t>
                  </w:r>
                </w:p>
              </w:tc>
              <w:tc>
                <w:tcPr>
                  <w:tcW w:w="280" w:type="pct"/>
                  <w:vMerge w:val="restart"/>
                  <w:vAlign w:val="center"/>
                </w:tcPr>
                <w:p w14:paraId="6135D969">
                  <w:pPr>
                    <w:pStyle w:val="70"/>
                    <w:spacing w:line="360" w:lineRule="auto"/>
                    <w:rPr>
                      <w:b/>
                      <w:color w:val="auto"/>
                      <w:lang w:val="en-US"/>
                    </w:rPr>
                  </w:pPr>
                  <w:r>
                    <w:rPr>
                      <w:rFonts w:hint="eastAsia"/>
                      <w:b/>
                      <w:color w:val="auto"/>
                      <w:lang w:val="en-US"/>
                    </w:rPr>
                    <w:t>废水类别</w:t>
                  </w:r>
                </w:p>
              </w:tc>
              <w:tc>
                <w:tcPr>
                  <w:tcW w:w="509" w:type="pct"/>
                  <w:vMerge w:val="restart"/>
                  <w:vAlign w:val="center"/>
                </w:tcPr>
                <w:p w14:paraId="407BD4C1">
                  <w:pPr>
                    <w:pStyle w:val="70"/>
                    <w:spacing w:line="360" w:lineRule="auto"/>
                    <w:rPr>
                      <w:b/>
                      <w:color w:val="auto"/>
                      <w:lang w:val="en-US"/>
                    </w:rPr>
                  </w:pPr>
                  <w:r>
                    <w:rPr>
                      <w:rFonts w:hint="eastAsia"/>
                      <w:b/>
                      <w:color w:val="auto"/>
                      <w:lang w:val="en-US"/>
                    </w:rPr>
                    <w:t>污染物</w:t>
                  </w:r>
                </w:p>
                <w:p w14:paraId="0B723FEB">
                  <w:pPr>
                    <w:pStyle w:val="70"/>
                    <w:spacing w:line="360" w:lineRule="auto"/>
                    <w:rPr>
                      <w:b/>
                      <w:color w:val="auto"/>
                      <w:lang w:val="en-US"/>
                    </w:rPr>
                  </w:pPr>
                  <w:r>
                    <w:rPr>
                      <w:rFonts w:hint="eastAsia"/>
                      <w:b/>
                      <w:color w:val="auto"/>
                      <w:lang w:val="en-US"/>
                    </w:rPr>
                    <w:t>种类</w:t>
                  </w:r>
                </w:p>
              </w:tc>
              <w:tc>
                <w:tcPr>
                  <w:tcW w:w="410" w:type="pct"/>
                  <w:vMerge w:val="restart"/>
                  <w:vAlign w:val="center"/>
                </w:tcPr>
                <w:p w14:paraId="56F5466D">
                  <w:pPr>
                    <w:pStyle w:val="70"/>
                    <w:spacing w:line="360" w:lineRule="auto"/>
                    <w:rPr>
                      <w:b/>
                      <w:color w:val="auto"/>
                      <w:lang w:val="en-US"/>
                    </w:rPr>
                  </w:pPr>
                  <w:r>
                    <w:rPr>
                      <w:rFonts w:hint="eastAsia"/>
                      <w:b/>
                      <w:color w:val="auto"/>
                      <w:lang w:val="en-US"/>
                    </w:rPr>
                    <w:t>排放去向</w:t>
                  </w:r>
                </w:p>
              </w:tc>
              <w:tc>
                <w:tcPr>
                  <w:tcW w:w="401" w:type="pct"/>
                  <w:vMerge w:val="restart"/>
                  <w:vAlign w:val="center"/>
                </w:tcPr>
                <w:p w14:paraId="513B2211">
                  <w:pPr>
                    <w:pStyle w:val="70"/>
                    <w:spacing w:line="360" w:lineRule="auto"/>
                    <w:rPr>
                      <w:b/>
                      <w:color w:val="auto"/>
                      <w:lang w:val="en-US"/>
                    </w:rPr>
                  </w:pPr>
                  <w:r>
                    <w:rPr>
                      <w:rFonts w:hint="eastAsia"/>
                      <w:b/>
                      <w:color w:val="auto"/>
                      <w:lang w:val="en-US"/>
                    </w:rPr>
                    <w:t>排放规律</w:t>
                  </w:r>
                </w:p>
              </w:tc>
              <w:tc>
                <w:tcPr>
                  <w:tcW w:w="1690" w:type="pct"/>
                  <w:gridSpan w:val="4"/>
                  <w:vAlign w:val="center"/>
                </w:tcPr>
                <w:p w14:paraId="3AA8591A">
                  <w:pPr>
                    <w:pStyle w:val="70"/>
                    <w:spacing w:line="360" w:lineRule="auto"/>
                    <w:rPr>
                      <w:b/>
                      <w:color w:val="auto"/>
                      <w:lang w:val="en-US"/>
                    </w:rPr>
                  </w:pPr>
                  <w:r>
                    <w:rPr>
                      <w:rFonts w:hint="eastAsia"/>
                      <w:b/>
                      <w:color w:val="auto"/>
                      <w:lang w:val="en-US"/>
                    </w:rPr>
                    <w:t>污染治理设施</w:t>
                  </w:r>
                </w:p>
              </w:tc>
              <w:tc>
                <w:tcPr>
                  <w:tcW w:w="363" w:type="pct"/>
                  <w:vMerge w:val="restart"/>
                  <w:vAlign w:val="center"/>
                </w:tcPr>
                <w:p w14:paraId="093F7A04">
                  <w:pPr>
                    <w:pStyle w:val="70"/>
                    <w:spacing w:line="360" w:lineRule="auto"/>
                    <w:rPr>
                      <w:b/>
                      <w:color w:val="auto"/>
                      <w:lang w:val="en-US"/>
                    </w:rPr>
                  </w:pPr>
                  <w:r>
                    <w:rPr>
                      <w:rFonts w:hint="eastAsia"/>
                      <w:b/>
                      <w:color w:val="auto"/>
                      <w:lang w:val="en-US"/>
                    </w:rPr>
                    <w:t>排放口编号</w:t>
                  </w:r>
                </w:p>
              </w:tc>
              <w:tc>
                <w:tcPr>
                  <w:tcW w:w="321" w:type="pct"/>
                  <w:vMerge w:val="restart"/>
                  <w:vAlign w:val="center"/>
                </w:tcPr>
                <w:p w14:paraId="2FF58196">
                  <w:pPr>
                    <w:pStyle w:val="70"/>
                    <w:spacing w:line="240" w:lineRule="auto"/>
                    <w:rPr>
                      <w:b/>
                      <w:color w:val="auto"/>
                      <w:lang w:val="en-US"/>
                    </w:rPr>
                  </w:pPr>
                  <w:r>
                    <w:rPr>
                      <w:rFonts w:hint="eastAsia"/>
                      <w:b/>
                      <w:color w:val="auto"/>
                      <w:lang w:val="en-US"/>
                    </w:rPr>
                    <w:t>排放口设置是否符合要求</w:t>
                  </w:r>
                </w:p>
              </w:tc>
              <w:tc>
                <w:tcPr>
                  <w:tcW w:w="778" w:type="pct"/>
                  <w:vMerge w:val="restart"/>
                  <w:vAlign w:val="center"/>
                </w:tcPr>
                <w:p w14:paraId="6B5C6A4B">
                  <w:pPr>
                    <w:pStyle w:val="70"/>
                    <w:spacing w:line="360" w:lineRule="auto"/>
                    <w:rPr>
                      <w:b/>
                      <w:color w:val="auto"/>
                      <w:lang w:val="en-US"/>
                    </w:rPr>
                  </w:pPr>
                  <w:r>
                    <w:rPr>
                      <w:rFonts w:hint="eastAsia"/>
                      <w:b/>
                      <w:color w:val="auto"/>
                      <w:lang w:val="en-US"/>
                    </w:rPr>
                    <w:t>排放口</w:t>
                  </w:r>
                </w:p>
                <w:p w14:paraId="4C83F4BD">
                  <w:pPr>
                    <w:pStyle w:val="70"/>
                    <w:spacing w:line="360" w:lineRule="auto"/>
                    <w:rPr>
                      <w:b/>
                      <w:color w:val="auto"/>
                      <w:lang w:val="en-US"/>
                    </w:rPr>
                  </w:pPr>
                  <w:r>
                    <w:rPr>
                      <w:rFonts w:hint="eastAsia"/>
                      <w:b/>
                      <w:color w:val="auto"/>
                      <w:lang w:val="en-US"/>
                    </w:rPr>
                    <w:t>类型</w:t>
                  </w:r>
                </w:p>
              </w:tc>
            </w:tr>
            <w:tr w14:paraId="238D7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243" w:type="pct"/>
                  <w:vMerge w:val="continue"/>
                  <w:vAlign w:val="center"/>
                </w:tcPr>
                <w:p w14:paraId="39D5338D">
                  <w:pPr>
                    <w:pStyle w:val="70"/>
                    <w:spacing w:line="360" w:lineRule="auto"/>
                    <w:rPr>
                      <w:rFonts w:ascii="黑体" w:eastAsia="黑体"/>
                      <w:color w:val="auto"/>
                    </w:rPr>
                  </w:pPr>
                </w:p>
              </w:tc>
              <w:tc>
                <w:tcPr>
                  <w:tcW w:w="280" w:type="pct"/>
                  <w:vMerge w:val="continue"/>
                  <w:vAlign w:val="center"/>
                </w:tcPr>
                <w:p w14:paraId="1ACEFD54">
                  <w:pPr>
                    <w:pStyle w:val="70"/>
                    <w:spacing w:line="360" w:lineRule="auto"/>
                    <w:rPr>
                      <w:rFonts w:ascii="黑体" w:eastAsia="黑体"/>
                      <w:color w:val="auto"/>
                    </w:rPr>
                  </w:pPr>
                </w:p>
              </w:tc>
              <w:tc>
                <w:tcPr>
                  <w:tcW w:w="509" w:type="pct"/>
                  <w:vMerge w:val="continue"/>
                  <w:vAlign w:val="center"/>
                </w:tcPr>
                <w:p w14:paraId="75C9126C">
                  <w:pPr>
                    <w:pStyle w:val="70"/>
                    <w:spacing w:line="360" w:lineRule="auto"/>
                    <w:rPr>
                      <w:rFonts w:ascii="黑体" w:eastAsia="黑体"/>
                      <w:color w:val="auto"/>
                    </w:rPr>
                  </w:pPr>
                </w:p>
              </w:tc>
              <w:tc>
                <w:tcPr>
                  <w:tcW w:w="410" w:type="pct"/>
                  <w:vMerge w:val="continue"/>
                  <w:vAlign w:val="center"/>
                </w:tcPr>
                <w:p w14:paraId="7940DC52">
                  <w:pPr>
                    <w:pStyle w:val="70"/>
                    <w:spacing w:line="360" w:lineRule="auto"/>
                    <w:rPr>
                      <w:rFonts w:ascii="黑体" w:eastAsia="黑体"/>
                      <w:color w:val="auto"/>
                    </w:rPr>
                  </w:pPr>
                </w:p>
              </w:tc>
              <w:tc>
                <w:tcPr>
                  <w:tcW w:w="401" w:type="pct"/>
                  <w:vMerge w:val="continue"/>
                  <w:vAlign w:val="center"/>
                </w:tcPr>
                <w:p w14:paraId="6E90FD6D">
                  <w:pPr>
                    <w:pStyle w:val="70"/>
                    <w:spacing w:line="360" w:lineRule="auto"/>
                    <w:rPr>
                      <w:rFonts w:ascii="黑体" w:eastAsia="黑体"/>
                      <w:color w:val="auto"/>
                    </w:rPr>
                  </w:pPr>
                </w:p>
              </w:tc>
              <w:tc>
                <w:tcPr>
                  <w:tcW w:w="419" w:type="pct"/>
                  <w:vAlign w:val="center"/>
                </w:tcPr>
                <w:p w14:paraId="2FF4885A">
                  <w:pPr>
                    <w:pStyle w:val="70"/>
                    <w:spacing w:line="360" w:lineRule="auto"/>
                    <w:rPr>
                      <w:b/>
                      <w:color w:val="auto"/>
                      <w:lang w:val="en-US"/>
                    </w:rPr>
                  </w:pPr>
                  <w:r>
                    <w:rPr>
                      <w:rFonts w:hint="eastAsia"/>
                      <w:b/>
                      <w:color w:val="auto"/>
                      <w:lang w:val="en-US"/>
                    </w:rPr>
                    <w:t>污染治理设施</w:t>
                  </w:r>
                </w:p>
                <w:p w14:paraId="73CD000A">
                  <w:pPr>
                    <w:pStyle w:val="70"/>
                    <w:spacing w:line="360" w:lineRule="auto"/>
                    <w:rPr>
                      <w:b/>
                      <w:color w:val="auto"/>
                      <w:lang w:val="en-US"/>
                    </w:rPr>
                  </w:pPr>
                  <w:r>
                    <w:rPr>
                      <w:rFonts w:hint="eastAsia"/>
                      <w:b/>
                      <w:color w:val="auto"/>
                      <w:lang w:val="en-US"/>
                    </w:rPr>
                    <w:t>编号</w:t>
                  </w:r>
                </w:p>
              </w:tc>
              <w:tc>
                <w:tcPr>
                  <w:tcW w:w="383" w:type="pct"/>
                  <w:vAlign w:val="center"/>
                </w:tcPr>
                <w:p w14:paraId="5B4A7DAF">
                  <w:pPr>
                    <w:pStyle w:val="70"/>
                    <w:spacing w:line="360" w:lineRule="auto"/>
                    <w:rPr>
                      <w:b/>
                      <w:color w:val="auto"/>
                      <w:lang w:val="en-US"/>
                    </w:rPr>
                  </w:pPr>
                  <w:r>
                    <w:rPr>
                      <w:rFonts w:hint="eastAsia"/>
                      <w:b/>
                      <w:color w:val="auto"/>
                      <w:lang w:val="en-US"/>
                    </w:rPr>
                    <w:t>污染治理设施</w:t>
                  </w:r>
                </w:p>
                <w:p w14:paraId="6CA661FD">
                  <w:pPr>
                    <w:pStyle w:val="70"/>
                    <w:spacing w:line="360" w:lineRule="auto"/>
                    <w:rPr>
                      <w:b/>
                      <w:color w:val="auto"/>
                      <w:lang w:val="en-US"/>
                    </w:rPr>
                  </w:pPr>
                  <w:r>
                    <w:rPr>
                      <w:rFonts w:hint="eastAsia"/>
                      <w:b/>
                      <w:color w:val="auto"/>
                      <w:lang w:val="en-US"/>
                    </w:rPr>
                    <w:t>名称</w:t>
                  </w:r>
                </w:p>
              </w:tc>
              <w:tc>
                <w:tcPr>
                  <w:tcW w:w="464" w:type="pct"/>
                  <w:vAlign w:val="center"/>
                </w:tcPr>
                <w:p w14:paraId="7CA7A458">
                  <w:pPr>
                    <w:pStyle w:val="70"/>
                    <w:spacing w:line="360" w:lineRule="auto"/>
                    <w:rPr>
                      <w:b/>
                      <w:color w:val="auto"/>
                      <w:lang w:val="en-US"/>
                    </w:rPr>
                  </w:pPr>
                  <w:r>
                    <w:rPr>
                      <w:rFonts w:hint="eastAsia"/>
                      <w:b/>
                      <w:color w:val="auto"/>
                      <w:lang w:val="en-US"/>
                    </w:rPr>
                    <w:t>污染治理设施工艺</w:t>
                  </w:r>
                </w:p>
              </w:tc>
              <w:tc>
                <w:tcPr>
                  <w:tcW w:w="422" w:type="pct"/>
                  <w:vAlign w:val="center"/>
                </w:tcPr>
                <w:p w14:paraId="0A8F0FB7">
                  <w:pPr>
                    <w:pStyle w:val="70"/>
                    <w:spacing w:line="360" w:lineRule="auto"/>
                    <w:jc w:val="center"/>
                    <w:rPr>
                      <w:b/>
                      <w:color w:val="auto"/>
                      <w:lang w:val="en-US"/>
                    </w:rPr>
                  </w:pPr>
                  <w:r>
                    <w:rPr>
                      <w:rFonts w:hint="eastAsia"/>
                      <w:b/>
                      <w:color w:val="auto"/>
                      <w:lang w:val="en-US"/>
                    </w:rPr>
                    <w:t>是否</w:t>
                  </w:r>
                  <w:r>
                    <w:rPr>
                      <w:b/>
                      <w:color w:val="auto"/>
                      <w:lang w:val="en-US"/>
                    </w:rPr>
                    <w:t>为可行技术</w:t>
                  </w:r>
                </w:p>
              </w:tc>
              <w:tc>
                <w:tcPr>
                  <w:tcW w:w="363" w:type="pct"/>
                  <w:vMerge w:val="continue"/>
                  <w:vAlign w:val="center"/>
                </w:tcPr>
                <w:p w14:paraId="2500ED98">
                  <w:pPr>
                    <w:pStyle w:val="70"/>
                    <w:spacing w:line="360" w:lineRule="auto"/>
                    <w:rPr>
                      <w:rFonts w:ascii="黑体" w:eastAsia="黑体"/>
                      <w:color w:val="auto"/>
                    </w:rPr>
                  </w:pPr>
                </w:p>
              </w:tc>
              <w:tc>
                <w:tcPr>
                  <w:tcW w:w="321" w:type="pct"/>
                  <w:vMerge w:val="continue"/>
                  <w:vAlign w:val="center"/>
                </w:tcPr>
                <w:p w14:paraId="66E367E2">
                  <w:pPr>
                    <w:pStyle w:val="70"/>
                    <w:spacing w:line="360" w:lineRule="auto"/>
                    <w:rPr>
                      <w:rFonts w:ascii="黑体" w:eastAsia="黑体"/>
                      <w:color w:val="auto"/>
                    </w:rPr>
                  </w:pPr>
                </w:p>
              </w:tc>
              <w:tc>
                <w:tcPr>
                  <w:tcW w:w="778" w:type="pct"/>
                  <w:vMerge w:val="continue"/>
                  <w:vAlign w:val="center"/>
                </w:tcPr>
                <w:p w14:paraId="11862010">
                  <w:pPr>
                    <w:pStyle w:val="70"/>
                    <w:spacing w:line="360" w:lineRule="auto"/>
                    <w:rPr>
                      <w:rFonts w:ascii="黑体" w:eastAsia="黑体"/>
                      <w:color w:val="auto"/>
                    </w:rPr>
                  </w:pPr>
                </w:p>
              </w:tc>
            </w:tr>
            <w:tr w14:paraId="4E9CF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0" w:hRule="atLeast"/>
                <w:jc w:val="center"/>
              </w:trPr>
              <w:tc>
                <w:tcPr>
                  <w:tcW w:w="243" w:type="pct"/>
                  <w:vAlign w:val="center"/>
                </w:tcPr>
                <w:p w14:paraId="002677E3">
                  <w:pPr>
                    <w:pStyle w:val="70"/>
                    <w:spacing w:line="240" w:lineRule="auto"/>
                    <w:rPr>
                      <w:color w:val="auto"/>
                    </w:rPr>
                  </w:pPr>
                  <w:r>
                    <w:rPr>
                      <w:rFonts w:hint="eastAsia"/>
                      <w:color w:val="auto"/>
                    </w:rPr>
                    <w:t>1</w:t>
                  </w:r>
                </w:p>
              </w:tc>
              <w:tc>
                <w:tcPr>
                  <w:tcW w:w="280" w:type="pct"/>
                  <w:vAlign w:val="center"/>
                </w:tcPr>
                <w:p w14:paraId="4F80CFC2">
                  <w:pPr>
                    <w:pStyle w:val="70"/>
                    <w:spacing w:line="240" w:lineRule="auto"/>
                    <w:rPr>
                      <w:color w:val="auto"/>
                    </w:rPr>
                  </w:pPr>
                  <w:r>
                    <w:rPr>
                      <w:color w:val="auto"/>
                      <w:kern w:val="0"/>
                    </w:rPr>
                    <w:t>生活污水</w:t>
                  </w:r>
                </w:p>
              </w:tc>
              <w:tc>
                <w:tcPr>
                  <w:tcW w:w="509" w:type="pct"/>
                  <w:vAlign w:val="center"/>
                </w:tcPr>
                <w:p w14:paraId="16DED71C">
                  <w:pPr>
                    <w:pStyle w:val="70"/>
                    <w:spacing w:line="240" w:lineRule="auto"/>
                    <w:rPr>
                      <w:color w:val="auto"/>
                    </w:rPr>
                  </w:pPr>
                  <w:r>
                    <w:rPr>
                      <w:rFonts w:hint="eastAsia"/>
                      <w:color w:val="auto"/>
                      <w:kern w:val="0"/>
                      <w:lang w:val="en-US" w:eastAsia="zh-CN"/>
                    </w:rPr>
                    <w:t>p</w:t>
                  </w:r>
                  <w:r>
                    <w:rPr>
                      <w:color w:val="auto"/>
                      <w:kern w:val="0"/>
                    </w:rPr>
                    <w:t>H</w:t>
                  </w:r>
                  <w:r>
                    <w:rPr>
                      <w:rFonts w:hint="eastAsia"/>
                      <w:color w:val="auto"/>
                      <w:kern w:val="0"/>
                    </w:rPr>
                    <w:t>、</w:t>
                  </w:r>
                  <w:r>
                    <w:rPr>
                      <w:color w:val="auto"/>
                      <w:kern w:val="0"/>
                    </w:rPr>
                    <w:t>CODcr、BOD</w:t>
                  </w:r>
                  <w:r>
                    <w:rPr>
                      <w:color w:val="auto"/>
                      <w:kern w:val="0"/>
                      <w:vertAlign w:val="subscript"/>
                    </w:rPr>
                    <w:t>5</w:t>
                  </w:r>
                  <w:r>
                    <w:rPr>
                      <w:color w:val="auto"/>
                      <w:kern w:val="0"/>
                    </w:rPr>
                    <w:t>、SS</w:t>
                  </w:r>
                  <w:r>
                    <w:rPr>
                      <w:rFonts w:hint="eastAsia"/>
                      <w:color w:val="auto"/>
                      <w:kern w:val="0"/>
                      <w:lang w:eastAsia="zh-CN"/>
                    </w:rPr>
                    <w:t>、</w:t>
                  </w:r>
                  <w:r>
                    <w:rPr>
                      <w:color w:val="auto"/>
                      <w:kern w:val="0"/>
                    </w:rPr>
                    <w:t>氨氮</w:t>
                  </w:r>
                </w:p>
              </w:tc>
              <w:tc>
                <w:tcPr>
                  <w:tcW w:w="410" w:type="pct"/>
                  <w:vAlign w:val="center"/>
                </w:tcPr>
                <w:p w14:paraId="27CD377C">
                  <w:pPr>
                    <w:pStyle w:val="70"/>
                    <w:spacing w:line="240" w:lineRule="auto"/>
                    <w:rPr>
                      <w:rFonts w:hint="eastAsia" w:eastAsia="宋体"/>
                      <w:color w:val="auto"/>
                      <w:lang w:eastAsia="zh-CN"/>
                    </w:rPr>
                  </w:pPr>
                  <w:r>
                    <w:rPr>
                      <w:color w:val="auto"/>
                      <w:kern w:val="0"/>
                    </w:rPr>
                    <w:t>进入</w:t>
                  </w:r>
                  <w:r>
                    <w:rPr>
                      <w:rFonts w:hint="eastAsia"/>
                      <w:color w:val="auto"/>
                      <w:kern w:val="0"/>
                      <w:u w:color="FF0000"/>
                      <w:lang w:eastAsia="zh-CN"/>
                    </w:rPr>
                    <w:t>南朗横门污水处理厂</w:t>
                  </w:r>
                </w:p>
              </w:tc>
              <w:tc>
                <w:tcPr>
                  <w:tcW w:w="401" w:type="pct"/>
                  <w:vAlign w:val="center"/>
                </w:tcPr>
                <w:p w14:paraId="1A8C1B1B">
                  <w:pPr>
                    <w:pStyle w:val="70"/>
                    <w:spacing w:line="240" w:lineRule="auto"/>
                    <w:rPr>
                      <w:color w:val="auto"/>
                    </w:rPr>
                  </w:pPr>
                  <w:r>
                    <w:rPr>
                      <w:color w:val="auto"/>
                      <w:kern w:val="0"/>
                    </w:rPr>
                    <w:t>间断排放，排放期间流量稳定</w:t>
                  </w:r>
                </w:p>
              </w:tc>
              <w:tc>
                <w:tcPr>
                  <w:tcW w:w="419" w:type="pct"/>
                  <w:vAlign w:val="center"/>
                </w:tcPr>
                <w:p w14:paraId="0A0100C2">
                  <w:pPr>
                    <w:pStyle w:val="70"/>
                    <w:spacing w:line="240" w:lineRule="auto"/>
                    <w:rPr>
                      <w:color w:val="auto"/>
                    </w:rPr>
                  </w:pPr>
                  <w:r>
                    <w:rPr>
                      <w:color w:val="auto"/>
                      <w:kern w:val="0"/>
                    </w:rPr>
                    <w:t>DW001</w:t>
                  </w:r>
                </w:p>
              </w:tc>
              <w:tc>
                <w:tcPr>
                  <w:tcW w:w="383" w:type="pct"/>
                  <w:vAlign w:val="center"/>
                </w:tcPr>
                <w:p w14:paraId="3D57E549">
                  <w:pPr>
                    <w:pStyle w:val="70"/>
                    <w:spacing w:line="240" w:lineRule="auto"/>
                    <w:rPr>
                      <w:color w:val="auto"/>
                    </w:rPr>
                  </w:pPr>
                  <w:r>
                    <w:rPr>
                      <w:color w:val="auto"/>
                      <w:kern w:val="0"/>
                    </w:rPr>
                    <w:t>三级化粪池</w:t>
                  </w:r>
                </w:p>
              </w:tc>
              <w:tc>
                <w:tcPr>
                  <w:tcW w:w="464" w:type="pct"/>
                  <w:vAlign w:val="center"/>
                </w:tcPr>
                <w:p w14:paraId="3C3E9974">
                  <w:pPr>
                    <w:pStyle w:val="70"/>
                    <w:spacing w:line="240" w:lineRule="auto"/>
                    <w:rPr>
                      <w:color w:val="auto"/>
                    </w:rPr>
                  </w:pPr>
                  <w:r>
                    <w:rPr>
                      <w:color w:val="auto"/>
                    </w:rPr>
                    <w:t>预处理</w:t>
                  </w:r>
                </w:p>
              </w:tc>
              <w:tc>
                <w:tcPr>
                  <w:tcW w:w="422" w:type="pct"/>
                  <w:vAlign w:val="center"/>
                </w:tcPr>
                <w:p w14:paraId="4855FF4C">
                  <w:pPr>
                    <w:pStyle w:val="70"/>
                    <w:spacing w:line="240" w:lineRule="auto"/>
                    <w:rPr>
                      <w:color w:val="auto"/>
                    </w:rPr>
                  </w:pPr>
                  <w:r>
                    <w:rPr>
                      <w:color w:val="auto"/>
                      <w:kern w:val="0"/>
                    </w:rPr>
                    <w:t>/</w:t>
                  </w:r>
                </w:p>
              </w:tc>
              <w:tc>
                <w:tcPr>
                  <w:tcW w:w="363" w:type="pct"/>
                  <w:vAlign w:val="center"/>
                </w:tcPr>
                <w:p w14:paraId="44286A5F">
                  <w:pPr>
                    <w:pStyle w:val="70"/>
                    <w:spacing w:line="240" w:lineRule="auto"/>
                    <w:rPr>
                      <w:color w:val="auto"/>
                    </w:rPr>
                  </w:pPr>
                  <w:r>
                    <w:rPr>
                      <w:color w:val="auto"/>
                      <w:kern w:val="0"/>
                    </w:rPr>
                    <w:t>DW001</w:t>
                  </w:r>
                </w:p>
              </w:tc>
              <w:tc>
                <w:tcPr>
                  <w:tcW w:w="321" w:type="pct"/>
                  <w:vAlign w:val="center"/>
                </w:tcPr>
                <w:p w14:paraId="2B645363">
                  <w:pPr>
                    <w:pStyle w:val="191"/>
                    <w:keepNext w:val="0"/>
                    <w:keepLines/>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color w:val="auto"/>
                    </w:rPr>
                  </w:pPr>
                  <w:r>
                    <w:rPr>
                      <w:rFonts w:hint="eastAsia" w:ascii="Times New Roman" w:hAnsi="Times New Roman" w:eastAsia="宋体"/>
                      <w:color w:val="auto"/>
                      <w:spacing w:val="0"/>
                      <w:w w:val="100"/>
                      <w:sz w:val="21"/>
                      <w:szCs w:val="21"/>
                      <w:highlight w:val="none"/>
                      <w:lang w:val="en-US" w:eastAsia="zh-CN"/>
                    </w:rPr>
                    <w:t>是</w:t>
                  </w:r>
                </w:p>
              </w:tc>
              <w:tc>
                <w:tcPr>
                  <w:tcW w:w="778" w:type="pct"/>
                  <w:vAlign w:val="center"/>
                </w:tcPr>
                <w:p w14:paraId="112AD53E">
                  <w:pPr>
                    <w:pStyle w:val="34"/>
                    <w:keepNext w:val="0"/>
                    <w:pageBreakBefore w:val="0"/>
                    <w:widowControl/>
                    <w:wordWrap/>
                    <w:overflowPunct/>
                    <w:topLinePunct w:val="0"/>
                    <w:bidi w:val="0"/>
                    <w:spacing w:after="0" w:line="240" w:lineRule="auto"/>
                    <w:ind w:left="0" w:leftChars="0" w:right="0" w:firstLine="0" w:firstLineChars="0"/>
                    <w:jc w:val="both"/>
                    <w:rPr>
                      <w:rFonts w:ascii="Times New Roman" w:hAnsi="Times New Roman" w:eastAsia="宋体"/>
                      <w:color w:val="auto"/>
                      <w:spacing w:val="0"/>
                      <w:w w:val="100"/>
                      <w:sz w:val="21"/>
                      <w:szCs w:val="21"/>
                      <w:highlight w:val="none"/>
                      <w:lang w:val="en-US" w:eastAsia="zh-CN"/>
                    </w:rPr>
                  </w:pPr>
                  <w:r>
                    <w:rPr>
                      <w:rFonts w:hint="eastAsia" w:ascii="Times New Roman" w:hAnsi="Times New Roman" w:eastAsia="宋体"/>
                      <w:color w:val="auto"/>
                      <w:spacing w:val="0"/>
                      <w:w w:val="100"/>
                      <w:sz w:val="21"/>
                      <w:szCs w:val="21"/>
                      <w:highlight w:val="none"/>
                      <w:lang w:val="en-US" w:eastAsia="zh-CN"/>
                    </w:rPr>
                    <w:sym w:font="Wingdings" w:char="00FE"/>
                  </w:r>
                  <w:r>
                    <w:rPr>
                      <w:rFonts w:hint="eastAsia" w:ascii="Times New Roman" w:hAnsi="Times New Roman" w:eastAsia="宋体"/>
                      <w:color w:val="auto"/>
                      <w:spacing w:val="0"/>
                      <w:w w:val="100"/>
                      <w:sz w:val="21"/>
                      <w:szCs w:val="21"/>
                      <w:highlight w:val="none"/>
                      <w:lang w:val="en-US" w:eastAsia="zh-CN"/>
                    </w:rPr>
                    <w:t>企业总排</w:t>
                  </w:r>
                </w:p>
                <w:p w14:paraId="25A60C7F">
                  <w:pPr>
                    <w:pStyle w:val="34"/>
                    <w:keepNext w:val="0"/>
                    <w:pageBreakBefore w:val="0"/>
                    <w:widowControl/>
                    <w:wordWrap/>
                    <w:overflowPunct/>
                    <w:topLinePunct w:val="0"/>
                    <w:bidi w:val="0"/>
                    <w:spacing w:after="0" w:line="240" w:lineRule="auto"/>
                    <w:ind w:left="0" w:leftChars="0" w:right="0" w:firstLine="0" w:firstLineChars="0"/>
                    <w:jc w:val="both"/>
                    <w:rPr>
                      <w:rFonts w:ascii="Times New Roman" w:hAnsi="Times New Roman" w:eastAsia="宋体"/>
                      <w:color w:val="auto"/>
                      <w:spacing w:val="0"/>
                      <w:w w:val="100"/>
                      <w:sz w:val="21"/>
                      <w:szCs w:val="21"/>
                      <w:highlight w:val="none"/>
                      <w:lang w:val="en-US" w:eastAsia="zh-CN"/>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雨水排放</w:t>
                  </w:r>
                </w:p>
                <w:p w14:paraId="7B7CB19F">
                  <w:pPr>
                    <w:pStyle w:val="34"/>
                    <w:keepNext w:val="0"/>
                    <w:pageBreakBefore w:val="0"/>
                    <w:widowControl/>
                    <w:wordWrap/>
                    <w:overflowPunct/>
                    <w:topLinePunct w:val="0"/>
                    <w:bidi w:val="0"/>
                    <w:spacing w:after="0" w:line="240" w:lineRule="auto"/>
                    <w:ind w:left="0" w:leftChars="0" w:right="0" w:firstLine="0" w:firstLineChars="0"/>
                    <w:jc w:val="both"/>
                    <w:rPr>
                      <w:rFonts w:ascii="Times New Roman" w:hAnsi="Times New Roman" w:eastAsia="宋体"/>
                      <w:color w:val="auto"/>
                      <w:spacing w:val="0"/>
                      <w:w w:val="100"/>
                      <w:sz w:val="21"/>
                      <w:szCs w:val="21"/>
                      <w:highlight w:val="none"/>
                      <w:lang w:val="en-US" w:eastAsia="zh-CN"/>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清净下水排放</w:t>
                  </w:r>
                </w:p>
                <w:p w14:paraId="0FE7EF0D">
                  <w:pPr>
                    <w:pStyle w:val="34"/>
                    <w:keepNext w:val="0"/>
                    <w:pageBreakBefore w:val="0"/>
                    <w:widowControl/>
                    <w:wordWrap/>
                    <w:overflowPunct/>
                    <w:topLinePunct w:val="0"/>
                    <w:bidi w:val="0"/>
                    <w:spacing w:after="0" w:line="240" w:lineRule="auto"/>
                    <w:ind w:left="0" w:leftChars="0" w:right="0" w:firstLine="0" w:firstLineChars="0"/>
                    <w:jc w:val="both"/>
                    <w:rPr>
                      <w:rFonts w:ascii="Times New Roman" w:hAnsi="Times New Roman" w:eastAsia="宋体"/>
                      <w:color w:val="auto"/>
                      <w:spacing w:val="0"/>
                      <w:w w:val="100"/>
                      <w:sz w:val="21"/>
                      <w:szCs w:val="21"/>
                      <w:highlight w:val="none"/>
                      <w:lang w:val="en-US" w:eastAsia="zh-CN"/>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温排水排放</w:t>
                  </w:r>
                </w:p>
                <w:p w14:paraId="41EB6840">
                  <w:pPr>
                    <w:pStyle w:val="34"/>
                    <w:keepNext w:val="0"/>
                    <w:pageBreakBefore w:val="0"/>
                    <w:widowControl/>
                    <w:wordWrap/>
                    <w:overflowPunct/>
                    <w:topLinePunct w:val="0"/>
                    <w:bidi w:val="0"/>
                    <w:spacing w:after="0" w:line="240" w:lineRule="auto"/>
                    <w:ind w:left="0" w:leftChars="0" w:right="0" w:rightChars="0" w:firstLine="0" w:firstLineChars="0"/>
                    <w:jc w:val="both"/>
                    <w:rPr>
                      <w:color w:val="auto"/>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车间或车间处理设施排放</w:t>
                  </w:r>
                </w:p>
              </w:tc>
            </w:tr>
            <w:tr w14:paraId="08974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3" w:type="pct"/>
                  <w:vAlign w:val="center"/>
                </w:tcPr>
                <w:p w14:paraId="7377D7CE">
                  <w:pPr>
                    <w:pStyle w:val="70"/>
                    <w:spacing w:line="240" w:lineRule="auto"/>
                    <w:rPr>
                      <w:rFonts w:hint="eastAsia" w:eastAsia="宋体"/>
                      <w:color w:val="auto"/>
                      <w:lang w:val="en-US" w:eastAsia="zh-CN"/>
                    </w:rPr>
                  </w:pPr>
                  <w:r>
                    <w:rPr>
                      <w:rFonts w:hint="eastAsia"/>
                      <w:color w:val="auto"/>
                      <w:lang w:val="en-US" w:eastAsia="zh-CN"/>
                    </w:rPr>
                    <w:t>2</w:t>
                  </w:r>
                </w:p>
              </w:tc>
              <w:tc>
                <w:tcPr>
                  <w:tcW w:w="280" w:type="pct"/>
                  <w:vAlign w:val="center"/>
                </w:tcPr>
                <w:p w14:paraId="78653F33">
                  <w:pPr>
                    <w:pStyle w:val="70"/>
                    <w:spacing w:line="240" w:lineRule="auto"/>
                    <w:rPr>
                      <w:rFonts w:hint="default" w:eastAsia="宋体"/>
                      <w:color w:val="auto"/>
                      <w:kern w:val="0"/>
                      <w:lang w:val="en-US" w:eastAsia="zh-CN"/>
                    </w:rPr>
                  </w:pPr>
                  <w:r>
                    <w:rPr>
                      <w:rFonts w:hint="eastAsia"/>
                      <w:color w:val="auto"/>
                      <w:kern w:val="0"/>
                      <w:lang w:val="en-US" w:eastAsia="zh-CN"/>
                    </w:rPr>
                    <w:t>清洗废水</w:t>
                  </w:r>
                </w:p>
              </w:tc>
              <w:tc>
                <w:tcPr>
                  <w:tcW w:w="509" w:type="pct"/>
                  <w:vAlign w:val="center"/>
                </w:tcPr>
                <w:p w14:paraId="4168CDBB">
                  <w:pPr>
                    <w:pStyle w:val="70"/>
                    <w:spacing w:line="240" w:lineRule="auto"/>
                    <w:rPr>
                      <w:rFonts w:hint="default" w:eastAsia="宋体"/>
                      <w:color w:val="auto"/>
                      <w:kern w:val="0"/>
                      <w:lang w:val="en-US" w:eastAsia="zh-CN"/>
                    </w:rPr>
                  </w:pPr>
                  <w:r>
                    <w:rPr>
                      <w:rFonts w:hint="eastAsia"/>
                      <w:color w:val="auto"/>
                      <w:kern w:val="0"/>
                      <w:lang w:val="en-US" w:eastAsia="zh-CN"/>
                    </w:rPr>
                    <w:t>p</w:t>
                  </w:r>
                  <w:r>
                    <w:rPr>
                      <w:color w:val="auto"/>
                      <w:kern w:val="0"/>
                    </w:rPr>
                    <w:t>H</w:t>
                  </w:r>
                  <w:r>
                    <w:rPr>
                      <w:rFonts w:hint="eastAsia"/>
                      <w:color w:val="auto"/>
                      <w:kern w:val="0"/>
                    </w:rPr>
                    <w:t>、</w:t>
                  </w:r>
                  <w:r>
                    <w:rPr>
                      <w:color w:val="auto"/>
                      <w:kern w:val="0"/>
                    </w:rPr>
                    <w:t>CODcr</w:t>
                  </w:r>
                  <w:r>
                    <w:rPr>
                      <w:rFonts w:hint="eastAsia"/>
                      <w:color w:val="auto"/>
                      <w:kern w:val="0"/>
                    </w:rPr>
                    <w:t>、</w:t>
                  </w:r>
                  <w:r>
                    <w:rPr>
                      <w:color w:val="auto"/>
                      <w:kern w:val="0"/>
                    </w:rPr>
                    <w:t>BOD5</w:t>
                  </w:r>
                  <w:r>
                    <w:rPr>
                      <w:rFonts w:hint="eastAsia"/>
                      <w:color w:val="auto"/>
                      <w:kern w:val="0"/>
                    </w:rPr>
                    <w:t>、</w:t>
                  </w:r>
                  <w:r>
                    <w:rPr>
                      <w:color w:val="auto"/>
                      <w:kern w:val="0"/>
                    </w:rPr>
                    <w:t>SS</w:t>
                  </w:r>
                  <w:r>
                    <w:rPr>
                      <w:rFonts w:hint="eastAsia"/>
                      <w:color w:val="auto"/>
                      <w:kern w:val="0"/>
                    </w:rPr>
                    <w:t>、氨氮</w:t>
                  </w:r>
                  <w:r>
                    <w:rPr>
                      <w:rFonts w:hint="eastAsia"/>
                      <w:color w:val="auto"/>
                      <w:kern w:val="0"/>
                      <w:lang w:eastAsia="zh-CN"/>
                    </w:rPr>
                    <w:t>、</w:t>
                  </w:r>
                  <w:r>
                    <w:rPr>
                      <w:rFonts w:hint="eastAsia"/>
                      <w:color w:val="auto"/>
                      <w:kern w:val="0"/>
                      <w:lang w:val="en-US" w:eastAsia="zh-CN"/>
                    </w:rPr>
                    <w:t>石油类</w:t>
                  </w:r>
                </w:p>
              </w:tc>
              <w:tc>
                <w:tcPr>
                  <w:tcW w:w="410" w:type="pct"/>
                  <w:vAlign w:val="center"/>
                </w:tcPr>
                <w:p w14:paraId="2D775658">
                  <w:pPr>
                    <w:pStyle w:val="70"/>
                    <w:spacing w:line="240" w:lineRule="auto"/>
                    <w:rPr>
                      <w:rFonts w:hint="eastAsia"/>
                      <w:color w:val="auto"/>
                      <w:kern w:val="0"/>
                    </w:rPr>
                  </w:pPr>
                  <w:r>
                    <w:rPr>
                      <w:rFonts w:hint="eastAsia"/>
                      <w:color w:val="auto"/>
                      <w:kern w:val="0"/>
                    </w:rPr>
                    <w:t>定期委托给有处理能力的废水处理机构处理</w:t>
                  </w:r>
                </w:p>
              </w:tc>
              <w:tc>
                <w:tcPr>
                  <w:tcW w:w="401" w:type="pct"/>
                  <w:vAlign w:val="center"/>
                </w:tcPr>
                <w:p w14:paraId="716D81B8">
                  <w:pPr>
                    <w:pStyle w:val="70"/>
                    <w:spacing w:line="240" w:lineRule="auto"/>
                    <w:rPr>
                      <w:color w:val="auto"/>
                      <w:kern w:val="0"/>
                    </w:rPr>
                  </w:pPr>
                  <w:r>
                    <w:rPr>
                      <w:color w:val="auto"/>
                      <w:kern w:val="0"/>
                    </w:rPr>
                    <w:t>/</w:t>
                  </w:r>
                </w:p>
              </w:tc>
              <w:tc>
                <w:tcPr>
                  <w:tcW w:w="419" w:type="pct"/>
                  <w:vAlign w:val="center"/>
                </w:tcPr>
                <w:p w14:paraId="64A055BC">
                  <w:pPr>
                    <w:pStyle w:val="70"/>
                    <w:spacing w:line="240" w:lineRule="auto"/>
                    <w:rPr>
                      <w:color w:val="auto"/>
                      <w:kern w:val="0"/>
                    </w:rPr>
                  </w:pPr>
                  <w:r>
                    <w:rPr>
                      <w:color w:val="auto"/>
                      <w:kern w:val="0"/>
                    </w:rPr>
                    <w:t>/</w:t>
                  </w:r>
                </w:p>
              </w:tc>
              <w:tc>
                <w:tcPr>
                  <w:tcW w:w="383" w:type="pct"/>
                  <w:vAlign w:val="center"/>
                </w:tcPr>
                <w:p w14:paraId="48ADEA81">
                  <w:pPr>
                    <w:pStyle w:val="70"/>
                    <w:spacing w:line="240" w:lineRule="auto"/>
                    <w:rPr>
                      <w:color w:val="auto"/>
                      <w:kern w:val="0"/>
                    </w:rPr>
                  </w:pPr>
                  <w:r>
                    <w:rPr>
                      <w:color w:val="auto"/>
                      <w:kern w:val="0"/>
                    </w:rPr>
                    <w:t>/</w:t>
                  </w:r>
                </w:p>
              </w:tc>
              <w:tc>
                <w:tcPr>
                  <w:tcW w:w="464" w:type="pct"/>
                  <w:vAlign w:val="center"/>
                </w:tcPr>
                <w:p w14:paraId="0934CE33">
                  <w:pPr>
                    <w:pStyle w:val="70"/>
                    <w:spacing w:line="240" w:lineRule="auto"/>
                    <w:rPr>
                      <w:color w:val="auto"/>
                      <w:kern w:val="0"/>
                    </w:rPr>
                  </w:pPr>
                  <w:r>
                    <w:rPr>
                      <w:color w:val="auto"/>
                      <w:kern w:val="0"/>
                    </w:rPr>
                    <w:t>/</w:t>
                  </w:r>
                </w:p>
              </w:tc>
              <w:tc>
                <w:tcPr>
                  <w:tcW w:w="422" w:type="pct"/>
                  <w:vAlign w:val="center"/>
                </w:tcPr>
                <w:p w14:paraId="4B90B3D2">
                  <w:pPr>
                    <w:pStyle w:val="70"/>
                    <w:spacing w:line="240" w:lineRule="auto"/>
                    <w:rPr>
                      <w:color w:val="auto"/>
                      <w:kern w:val="0"/>
                    </w:rPr>
                  </w:pPr>
                  <w:r>
                    <w:rPr>
                      <w:color w:val="auto"/>
                      <w:kern w:val="0"/>
                    </w:rPr>
                    <w:t>/</w:t>
                  </w:r>
                </w:p>
              </w:tc>
              <w:tc>
                <w:tcPr>
                  <w:tcW w:w="363" w:type="pct"/>
                  <w:vAlign w:val="center"/>
                </w:tcPr>
                <w:p w14:paraId="2581C401">
                  <w:pPr>
                    <w:pStyle w:val="70"/>
                    <w:spacing w:line="240" w:lineRule="auto"/>
                    <w:rPr>
                      <w:color w:val="auto"/>
                      <w:kern w:val="0"/>
                    </w:rPr>
                  </w:pPr>
                  <w:r>
                    <w:rPr>
                      <w:color w:val="auto"/>
                      <w:kern w:val="0"/>
                    </w:rPr>
                    <w:t>/</w:t>
                  </w:r>
                </w:p>
              </w:tc>
              <w:tc>
                <w:tcPr>
                  <w:tcW w:w="321" w:type="pct"/>
                  <w:vAlign w:val="center"/>
                </w:tcPr>
                <w:p w14:paraId="4F83EA37">
                  <w:pPr>
                    <w:pStyle w:val="191"/>
                    <w:keepNext w:val="0"/>
                    <w:keepLines/>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color w:val="auto"/>
                    </w:rPr>
                  </w:pPr>
                  <w:r>
                    <w:rPr>
                      <w:rFonts w:hint="eastAsia" w:ascii="Times New Roman" w:hAnsi="Times New Roman" w:eastAsia="宋体"/>
                      <w:color w:val="auto"/>
                      <w:spacing w:val="0"/>
                      <w:w w:val="100"/>
                      <w:sz w:val="21"/>
                      <w:szCs w:val="21"/>
                      <w:highlight w:val="none"/>
                      <w:lang w:val="en-US" w:eastAsia="zh-CN"/>
                    </w:rPr>
                    <w:t>是</w:t>
                  </w:r>
                </w:p>
              </w:tc>
              <w:tc>
                <w:tcPr>
                  <w:tcW w:w="778" w:type="pct"/>
                  <w:vAlign w:val="center"/>
                </w:tcPr>
                <w:p w14:paraId="1A8729E1">
                  <w:pPr>
                    <w:pStyle w:val="34"/>
                    <w:keepNext w:val="0"/>
                    <w:pageBreakBefore w:val="0"/>
                    <w:widowControl/>
                    <w:wordWrap/>
                    <w:overflowPunct/>
                    <w:topLinePunct w:val="0"/>
                    <w:bidi w:val="0"/>
                    <w:spacing w:after="0" w:line="240" w:lineRule="auto"/>
                    <w:ind w:left="0" w:leftChars="0" w:right="0" w:firstLine="0" w:firstLineChars="0"/>
                    <w:jc w:val="both"/>
                    <w:rPr>
                      <w:rFonts w:ascii="Times New Roman" w:hAnsi="Times New Roman" w:eastAsia="宋体"/>
                      <w:color w:val="auto"/>
                      <w:spacing w:val="0"/>
                      <w:w w:val="100"/>
                      <w:sz w:val="21"/>
                      <w:szCs w:val="21"/>
                      <w:highlight w:val="none"/>
                      <w:lang w:val="en-US" w:eastAsia="zh-CN"/>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企业总排</w:t>
                  </w:r>
                </w:p>
                <w:p w14:paraId="7E06B7D7">
                  <w:pPr>
                    <w:pStyle w:val="34"/>
                    <w:keepNext w:val="0"/>
                    <w:pageBreakBefore w:val="0"/>
                    <w:widowControl/>
                    <w:wordWrap/>
                    <w:overflowPunct/>
                    <w:topLinePunct w:val="0"/>
                    <w:bidi w:val="0"/>
                    <w:spacing w:after="0" w:line="240" w:lineRule="auto"/>
                    <w:ind w:left="0" w:leftChars="0" w:right="0" w:firstLine="0" w:firstLineChars="0"/>
                    <w:jc w:val="both"/>
                    <w:rPr>
                      <w:rFonts w:ascii="Times New Roman" w:hAnsi="Times New Roman" w:eastAsia="宋体"/>
                      <w:color w:val="auto"/>
                      <w:spacing w:val="0"/>
                      <w:w w:val="100"/>
                      <w:sz w:val="21"/>
                      <w:szCs w:val="21"/>
                      <w:highlight w:val="none"/>
                      <w:lang w:val="en-US" w:eastAsia="zh-CN"/>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雨水排放</w:t>
                  </w:r>
                </w:p>
                <w:p w14:paraId="44C656AD">
                  <w:pPr>
                    <w:pStyle w:val="34"/>
                    <w:keepNext w:val="0"/>
                    <w:pageBreakBefore w:val="0"/>
                    <w:widowControl/>
                    <w:wordWrap/>
                    <w:overflowPunct/>
                    <w:topLinePunct w:val="0"/>
                    <w:bidi w:val="0"/>
                    <w:spacing w:after="0" w:line="240" w:lineRule="auto"/>
                    <w:ind w:left="0" w:leftChars="0" w:right="0" w:firstLine="0" w:firstLineChars="0"/>
                    <w:jc w:val="both"/>
                    <w:rPr>
                      <w:rFonts w:ascii="Times New Roman" w:hAnsi="Times New Roman" w:eastAsia="宋体"/>
                      <w:color w:val="auto"/>
                      <w:spacing w:val="0"/>
                      <w:w w:val="100"/>
                      <w:sz w:val="21"/>
                      <w:szCs w:val="21"/>
                      <w:highlight w:val="none"/>
                      <w:lang w:val="en-US" w:eastAsia="zh-CN"/>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清净下水排放</w:t>
                  </w:r>
                </w:p>
                <w:p w14:paraId="7626AF8F">
                  <w:pPr>
                    <w:pStyle w:val="34"/>
                    <w:keepNext w:val="0"/>
                    <w:pageBreakBefore w:val="0"/>
                    <w:widowControl/>
                    <w:wordWrap/>
                    <w:overflowPunct/>
                    <w:topLinePunct w:val="0"/>
                    <w:bidi w:val="0"/>
                    <w:spacing w:after="0" w:line="240" w:lineRule="auto"/>
                    <w:ind w:left="0" w:leftChars="0" w:right="0" w:firstLine="0" w:firstLineChars="0"/>
                    <w:jc w:val="both"/>
                    <w:rPr>
                      <w:rFonts w:ascii="Times New Roman" w:hAnsi="Times New Roman" w:eastAsia="宋体"/>
                      <w:color w:val="auto"/>
                      <w:spacing w:val="0"/>
                      <w:w w:val="100"/>
                      <w:sz w:val="21"/>
                      <w:szCs w:val="21"/>
                      <w:highlight w:val="none"/>
                      <w:lang w:val="en-US" w:eastAsia="zh-CN"/>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温排水排放</w:t>
                  </w:r>
                </w:p>
                <w:p w14:paraId="616464F1">
                  <w:pPr>
                    <w:pStyle w:val="34"/>
                    <w:keepNext w:val="0"/>
                    <w:pageBreakBefore w:val="0"/>
                    <w:widowControl/>
                    <w:wordWrap/>
                    <w:overflowPunct/>
                    <w:topLinePunct w:val="0"/>
                    <w:bidi w:val="0"/>
                    <w:spacing w:after="0" w:line="240" w:lineRule="auto"/>
                    <w:ind w:left="0" w:leftChars="0" w:right="0" w:rightChars="0" w:firstLine="0" w:firstLineChars="0"/>
                    <w:jc w:val="both"/>
                    <w:rPr>
                      <w:color w:val="auto"/>
                    </w:rPr>
                  </w:pPr>
                  <w:r>
                    <w:rPr>
                      <w:rFonts w:hint="eastAsia" w:ascii="Times New Roman" w:hAnsi="Times New Roman" w:eastAsia="宋体"/>
                      <w:color w:val="auto"/>
                      <w:spacing w:val="0"/>
                      <w:w w:val="100"/>
                      <w:sz w:val="21"/>
                      <w:szCs w:val="21"/>
                      <w:highlight w:val="none"/>
                      <w:lang w:val="en-US" w:eastAsia="zh-CN"/>
                    </w:rPr>
                    <w:sym w:font="Wingdings" w:char="00A8"/>
                  </w:r>
                  <w:r>
                    <w:rPr>
                      <w:rFonts w:hint="eastAsia" w:ascii="Times New Roman" w:hAnsi="Times New Roman" w:eastAsia="宋体"/>
                      <w:color w:val="auto"/>
                      <w:spacing w:val="0"/>
                      <w:w w:val="100"/>
                      <w:sz w:val="21"/>
                      <w:szCs w:val="21"/>
                      <w:highlight w:val="none"/>
                      <w:lang w:val="en-US" w:eastAsia="zh-CN"/>
                    </w:rPr>
                    <w:t>车间或车间处理设施排放</w:t>
                  </w:r>
                </w:p>
              </w:tc>
            </w:tr>
          </w:tbl>
          <w:p w14:paraId="541F0E01">
            <w:pPr>
              <w:pStyle w:val="9"/>
              <w:spacing w:line="360" w:lineRule="auto"/>
              <w:ind w:left="630" w:leftChars="0" w:firstLineChars="0"/>
              <w:rPr>
                <w:b/>
                <w:bCs/>
                <w:color w:val="auto"/>
                <w:szCs w:val="21"/>
              </w:rPr>
            </w:pPr>
            <w:r>
              <w:rPr>
                <w:rFonts w:hint="eastAsia" w:ascii="Times New Roman" w:hAnsi="Times New Roman" w:eastAsia="宋体" w:cs="Times New Roman"/>
                <w:b/>
                <w:bCs/>
                <w:color w:val="auto"/>
                <w:sz w:val="21"/>
                <w:szCs w:val="21"/>
                <w:highlight w:val="none"/>
                <w:lang w:val="en-US" w:eastAsia="zh-CN"/>
              </w:rPr>
              <w:t>与《中山市零散工业废水管理工作指引》（2023年）相符性分析</w:t>
            </w:r>
          </w:p>
          <w:tbl>
            <w:tblPr>
              <w:tblStyle w:val="3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1277"/>
              <w:gridCol w:w="2790"/>
              <w:gridCol w:w="2337"/>
              <w:gridCol w:w="1216"/>
            </w:tblGrid>
            <w:tr w14:paraId="75D50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pct"/>
                  <w:noWrap w:val="0"/>
                  <w:vAlign w:val="center"/>
                </w:tcPr>
                <w:p w14:paraId="5C2C2517">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序号</w:t>
                  </w:r>
                </w:p>
              </w:tc>
              <w:tc>
                <w:tcPr>
                  <w:tcW w:w="2421" w:type="pct"/>
                  <w:gridSpan w:val="2"/>
                  <w:noWrap w:val="0"/>
                  <w:vAlign w:val="center"/>
                </w:tcPr>
                <w:p w14:paraId="7348D13C">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文件要求</w:t>
                  </w:r>
                </w:p>
              </w:tc>
              <w:tc>
                <w:tcPr>
                  <w:tcW w:w="1391" w:type="pct"/>
                  <w:noWrap w:val="0"/>
                  <w:vAlign w:val="center"/>
                </w:tcPr>
                <w:p w14:paraId="428F3691">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本项目情况</w:t>
                  </w:r>
                </w:p>
              </w:tc>
              <w:tc>
                <w:tcPr>
                  <w:tcW w:w="723" w:type="pct"/>
                  <w:noWrap w:val="0"/>
                  <w:vAlign w:val="center"/>
                </w:tcPr>
                <w:p w14:paraId="26F81531">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是否相符</w:t>
                  </w:r>
                </w:p>
              </w:tc>
            </w:tr>
            <w:tr w14:paraId="1FB9B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pct"/>
                  <w:noWrap w:val="0"/>
                  <w:vAlign w:val="center"/>
                </w:tcPr>
                <w:p w14:paraId="696CA492">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w:t>
                  </w:r>
                </w:p>
              </w:tc>
              <w:tc>
                <w:tcPr>
                  <w:tcW w:w="760" w:type="pct"/>
                  <w:noWrap w:val="0"/>
                  <w:vAlign w:val="center"/>
                </w:tcPr>
                <w:p w14:paraId="4888FC36">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2.1污染防治要求</w:t>
                  </w:r>
                </w:p>
              </w:tc>
              <w:tc>
                <w:tcPr>
                  <w:tcW w:w="1660" w:type="pct"/>
                  <w:noWrap w:val="0"/>
                  <w:vAlign w:val="center"/>
                </w:tcPr>
                <w:p w14:paraId="40DB691A">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零散工业废水的</w:t>
                  </w:r>
                  <w:r>
                    <w:rPr>
                      <w:rFonts w:hint="eastAsia" w:ascii="Times New Roman" w:hAnsi="Times New Roman" w:eastAsia="宋体" w:cs="Times New Roman"/>
                      <w:b w:val="0"/>
                      <w:bCs w:val="0"/>
                      <w:color w:val="auto"/>
                      <w:sz w:val="21"/>
                      <w:szCs w:val="21"/>
                      <w:highlight w:val="none"/>
                      <w:vertAlign w:val="baseline"/>
                      <w:lang w:val="en-US" w:eastAsia="zh-CN"/>
                    </w:rPr>
                    <w:t>收</w:t>
                  </w:r>
                  <w:r>
                    <w:rPr>
                      <w:rFonts w:hint="default" w:ascii="Times New Roman" w:hAnsi="Times New Roman" w:eastAsia="宋体" w:cs="Times New Roman"/>
                      <w:b w:val="0"/>
                      <w:bCs w:val="0"/>
                      <w:color w:val="auto"/>
                      <w:sz w:val="21"/>
                      <w:szCs w:val="21"/>
                      <w:highlight w:val="none"/>
                      <w:vertAlign w:val="baseline"/>
                      <w:lang w:val="en-US" w:eastAsia="zh-CN"/>
                    </w:rPr>
                    <w:t>集、储存设施不得存在滴、漏、渗、溢现象，不得与生活用水、雨水或者其它液体的收集、储存设施相连通。</w:t>
                  </w:r>
                </w:p>
                <w:p w14:paraId="0653D61F">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禁止将其他危险废物、杂物注入零散工业废水中，禁止在零散工业废水收集、储存设施内预设暗口或者安装旁通阀门，禁止在地下铺埋偷排暗管或者铺设偷排暗渠。</w:t>
                  </w:r>
                </w:p>
                <w:p w14:paraId="44B17305">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零散工业废水产生单位应定期检查收集及储存设备运行情况，及时排查零散工业废水污染风险</w:t>
                  </w:r>
                </w:p>
              </w:tc>
              <w:tc>
                <w:tcPr>
                  <w:tcW w:w="1391" w:type="pct"/>
                  <w:noWrap w:val="0"/>
                  <w:vAlign w:val="center"/>
                </w:tcPr>
                <w:p w14:paraId="72F8A49F">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项目车间地面硬化防渗</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生产废水采用单独的废水桶收集储存，禁止将其他危险废物、杂物注入生产废水中，地面防渗，并在废水桶周边设备围堰</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定期对废水桶设备进行检查，防止废水滴、漏、渗溢，废水桶只设一个排水明阀，不设置暗口和旁通阀门，不在地下铺埋偷排暗管或者铺设偷排暗渠</w:t>
                  </w:r>
                </w:p>
              </w:tc>
              <w:tc>
                <w:tcPr>
                  <w:tcW w:w="723" w:type="pct"/>
                  <w:noWrap w:val="0"/>
                  <w:vAlign w:val="center"/>
                </w:tcPr>
                <w:p w14:paraId="341E83D8">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相符</w:t>
                  </w:r>
                </w:p>
              </w:tc>
            </w:tr>
            <w:tr w14:paraId="14126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pct"/>
                  <w:noWrap w:val="0"/>
                  <w:vAlign w:val="center"/>
                </w:tcPr>
                <w:p w14:paraId="23B679D8">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w:t>
                  </w:r>
                </w:p>
              </w:tc>
              <w:tc>
                <w:tcPr>
                  <w:tcW w:w="760" w:type="pct"/>
                  <w:noWrap w:val="0"/>
                  <w:vAlign w:val="center"/>
                </w:tcPr>
                <w:p w14:paraId="6DE5039B">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2.2管道、储存设施建设要求</w:t>
                  </w:r>
                </w:p>
              </w:tc>
              <w:tc>
                <w:tcPr>
                  <w:tcW w:w="1660" w:type="pct"/>
                  <w:noWrap w:val="0"/>
                  <w:vAlign w:val="center"/>
                </w:tcPr>
                <w:p w14:paraId="45B830AD">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的储存设施的建造位置应当便于转移运输和观察水位，设施底部和外围及四周应当做好防渗漏、防溢出措施，储存容积原则上不得小于满负荷生产时连续5日的废水产生量；废水收集管道应当以明管的形式与零散工业废水储存设施直接连通；若部分零散工业废水需回用的，应另行设置回用水暂存设施，不得与零散工业废水储存设施连通</w:t>
                  </w:r>
                </w:p>
              </w:tc>
              <w:tc>
                <w:tcPr>
                  <w:tcW w:w="1391" w:type="pct"/>
                  <w:noWrap w:val="0"/>
                  <w:vAlign w:val="center"/>
                </w:tcPr>
                <w:p w14:paraId="5FAC0216">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项目设有废水暂存桶约为</w:t>
                  </w:r>
                  <w:r>
                    <w:rPr>
                      <w:rFonts w:hint="eastAsia" w:ascii="Times New Roman" w:hAnsi="Times New Roman" w:cs="Times New Roman"/>
                      <w:b w:val="0"/>
                      <w:bCs w:val="0"/>
                      <w:color w:val="auto"/>
                      <w:sz w:val="21"/>
                      <w:szCs w:val="21"/>
                      <w:highlight w:val="none"/>
                      <w:lang w:val="en-US" w:eastAsia="zh-CN"/>
                    </w:rPr>
                    <w:t>20</w:t>
                  </w:r>
                  <w:r>
                    <w:rPr>
                      <w:rFonts w:hint="default" w:ascii="Times New Roman" w:hAnsi="Times New Roman" w:eastAsia="宋体" w:cs="Times New Roman"/>
                      <w:b w:val="0"/>
                      <w:bCs w:val="0"/>
                      <w:color w:val="auto"/>
                      <w:sz w:val="21"/>
                      <w:szCs w:val="21"/>
                      <w:highlight w:val="none"/>
                      <w:lang w:val="en-US" w:eastAsia="zh-CN"/>
                    </w:rPr>
                    <w:t>立方米，</w:t>
                  </w:r>
                  <w:r>
                    <w:rPr>
                      <w:rFonts w:hint="eastAsia" w:ascii="Times New Roman" w:hAnsi="Times New Roman" w:eastAsia="宋体" w:cs="Times New Roman"/>
                      <w:b w:val="0"/>
                      <w:bCs w:val="0"/>
                      <w:color w:val="auto"/>
                      <w:sz w:val="21"/>
                      <w:szCs w:val="21"/>
                      <w:highlight w:val="none"/>
                      <w:lang w:val="en-US" w:eastAsia="zh-CN"/>
                    </w:rPr>
                    <w:t>最大暂存量为</w:t>
                  </w:r>
                  <w:r>
                    <w:rPr>
                      <w:rFonts w:hint="eastAsia" w:ascii="Times New Roman" w:hAnsi="Times New Roman" w:cs="Times New Roman"/>
                      <w:b w:val="0"/>
                      <w:bCs w:val="0"/>
                      <w:color w:val="auto"/>
                      <w:sz w:val="21"/>
                      <w:szCs w:val="21"/>
                      <w:highlight w:val="none"/>
                      <w:lang w:val="en-US" w:eastAsia="zh-CN"/>
                    </w:rPr>
                    <w:t>16</w:t>
                  </w:r>
                  <w:r>
                    <w:rPr>
                      <w:rFonts w:hint="eastAsia" w:ascii="Times New Roman" w:hAnsi="Times New Roman" w:eastAsia="宋体" w:cs="Times New Roman"/>
                      <w:b w:val="0"/>
                      <w:bCs w:val="0"/>
                      <w:color w:val="auto"/>
                      <w:sz w:val="21"/>
                      <w:szCs w:val="21"/>
                      <w:highlight w:val="none"/>
                      <w:lang w:val="en-US" w:eastAsia="zh-CN"/>
                    </w:rPr>
                    <w:t>t</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项目生产废水产生量</w:t>
                  </w:r>
                  <w:r>
                    <w:rPr>
                      <w:rFonts w:hint="eastAsia" w:ascii="Times New Roman" w:hAnsi="Times New Roman" w:cs="Times New Roman"/>
                      <w:b w:val="0"/>
                      <w:bCs w:val="0"/>
                      <w:color w:val="auto"/>
                      <w:sz w:val="21"/>
                      <w:szCs w:val="21"/>
                      <w:highlight w:val="none"/>
                      <w:lang w:val="en-US" w:eastAsia="zh-CN"/>
                    </w:rPr>
                    <w:t>1</w:t>
                  </w:r>
                  <w:r>
                    <w:rPr>
                      <w:rFonts w:hint="eastAsia" w:ascii="Times New Roman" w:hAnsi="Times New Roman" w:eastAsia="宋体" w:cs="Times New Roman"/>
                      <w:b w:val="0"/>
                      <w:bCs w:val="0"/>
                      <w:color w:val="auto"/>
                      <w:sz w:val="21"/>
                      <w:szCs w:val="21"/>
                      <w:highlight w:val="none"/>
                      <w:lang w:val="en-US" w:eastAsia="zh-CN"/>
                    </w:rPr>
                    <w:t>.</w:t>
                  </w:r>
                  <w:r>
                    <w:rPr>
                      <w:rFonts w:hint="eastAsia" w:ascii="Times New Roman" w:hAnsi="Times New Roman" w:cs="Times New Roman"/>
                      <w:b w:val="0"/>
                      <w:bCs w:val="0"/>
                      <w:color w:val="auto"/>
                      <w:sz w:val="21"/>
                      <w:szCs w:val="21"/>
                      <w:highlight w:val="none"/>
                      <w:lang w:val="en-US" w:eastAsia="zh-CN"/>
                    </w:rPr>
                    <w:t>816</w:t>
                  </w:r>
                  <w:r>
                    <w:rPr>
                      <w:rFonts w:hint="default" w:ascii="Times New Roman" w:hAnsi="Times New Roman" w:eastAsia="宋体" w:cs="Times New Roman"/>
                      <w:b w:val="0"/>
                      <w:bCs w:val="0"/>
                      <w:color w:val="auto"/>
                      <w:sz w:val="21"/>
                      <w:szCs w:val="21"/>
                      <w:highlight w:val="none"/>
                      <w:lang w:val="en-US" w:eastAsia="zh-CN"/>
                    </w:rPr>
                    <w:t>t</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d</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项目可储存约</w:t>
                  </w:r>
                  <w:r>
                    <w:rPr>
                      <w:rFonts w:hint="eastAsia" w:ascii="Times New Roman" w:hAnsi="Times New Roman" w:cs="Times New Roman"/>
                      <w:b w:val="0"/>
                      <w:bCs w:val="0"/>
                      <w:color w:val="auto"/>
                      <w:sz w:val="21"/>
                      <w:szCs w:val="21"/>
                      <w:highlight w:val="none"/>
                      <w:lang w:val="en-US" w:eastAsia="zh-CN"/>
                    </w:rPr>
                    <w:t>9</w:t>
                  </w:r>
                  <w:r>
                    <w:rPr>
                      <w:rFonts w:hint="default" w:ascii="Times New Roman" w:hAnsi="Times New Roman" w:eastAsia="宋体" w:cs="Times New Roman"/>
                      <w:b w:val="0"/>
                      <w:bCs w:val="0"/>
                      <w:color w:val="auto"/>
                      <w:sz w:val="21"/>
                      <w:szCs w:val="21"/>
                      <w:highlight w:val="none"/>
                      <w:lang w:val="en-US" w:eastAsia="zh-CN"/>
                    </w:rPr>
                    <w:t>天废水量</w:t>
                  </w:r>
                  <w:r>
                    <w:rPr>
                      <w:rFonts w:hint="default" w:ascii="Times New Roman" w:hAnsi="Times New Roman" w:eastAsia="宋体" w:cs="Times New Roman"/>
                      <w:b w:val="0"/>
                      <w:bCs w:val="0"/>
                      <w:color w:val="auto"/>
                      <w:sz w:val="21"/>
                      <w:szCs w:val="21"/>
                      <w:highlight w:val="none"/>
                      <w:lang w:val="en-US" w:eastAsia="zh-CN"/>
                    </w:rPr>
                    <w:t>。废水桶带有刻度线，方便观察废水桶内废水储存量，地面防渗，并在废水桶周边设备围堰，定期对废水桶进行检查，防止废水滴、漏、渗、溢。项目产生的废水通过软管泵废水桶储存，不设置固定明管，项目无废水回用。</w:t>
                  </w:r>
                </w:p>
              </w:tc>
              <w:tc>
                <w:tcPr>
                  <w:tcW w:w="723" w:type="pct"/>
                  <w:noWrap w:val="0"/>
                  <w:vAlign w:val="center"/>
                </w:tcPr>
                <w:p w14:paraId="4EA32BC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相符</w:t>
                  </w:r>
                </w:p>
              </w:tc>
            </w:tr>
            <w:tr w14:paraId="111CB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pct"/>
                  <w:noWrap w:val="0"/>
                  <w:vAlign w:val="center"/>
                </w:tcPr>
                <w:p w14:paraId="2EE51DCF">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3</w:t>
                  </w:r>
                </w:p>
              </w:tc>
              <w:tc>
                <w:tcPr>
                  <w:tcW w:w="760" w:type="pct"/>
                  <w:noWrap w:val="0"/>
                  <w:vAlign w:val="center"/>
                </w:tcPr>
                <w:p w14:paraId="2A22900D">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2.3计量设备安装要求</w:t>
                  </w:r>
                </w:p>
              </w:tc>
              <w:tc>
                <w:tcPr>
                  <w:tcW w:w="1660" w:type="pct"/>
                  <w:noWrap w:val="0"/>
                  <w:vAlign w:val="center"/>
                </w:tcPr>
                <w:p w14:paraId="512078A2">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产生单位应对产生零散废水的工序安装独立的工业用水水表，不与生活用水水表混合使用；在储存设施中安装水量计量装置，监控储存设施的液位情况，如有多个储存设施，每个设施均需安装水量计量装置；在适当位置安装视频监控，要求可以清晰看出储存设施及其周边环境情况。所有计量监控设施预留与生态环境部门进行数据联网的接口，计量设备及联网应满足中山市生态环境局关于印发《2023年中山市重点单位非浓度自动监控设备安装联网工作方案》的通知中技术指南的要求</w:t>
                  </w:r>
                </w:p>
              </w:tc>
              <w:tc>
                <w:tcPr>
                  <w:tcW w:w="1391" w:type="pct"/>
                  <w:noWrap w:val="0"/>
                  <w:vAlign w:val="center"/>
                </w:tcPr>
                <w:p w14:paraId="2DEDD6C5">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企业安装有单独的生产用水水表，废水桶均有液位刻度线，企业在废水桶储存区安装摄像头对废水桶进行监控，并预留与生态环境部门进行数据联网的接口</w:t>
                  </w:r>
                  <w:r>
                    <w:rPr>
                      <w:rFonts w:hint="eastAsia" w:ascii="Times New Roman" w:hAnsi="Times New Roman" w:cs="Times New Roman"/>
                      <w:b w:val="0"/>
                      <w:bCs w:val="0"/>
                      <w:color w:val="auto"/>
                      <w:sz w:val="21"/>
                      <w:szCs w:val="21"/>
                      <w:highlight w:val="none"/>
                      <w:vertAlign w:val="baseline"/>
                      <w:lang w:val="en-US" w:eastAsia="zh-CN"/>
                    </w:rPr>
                    <w:t>。</w:t>
                  </w:r>
                </w:p>
              </w:tc>
              <w:tc>
                <w:tcPr>
                  <w:tcW w:w="723" w:type="pct"/>
                  <w:noWrap w:val="0"/>
                  <w:vAlign w:val="center"/>
                </w:tcPr>
                <w:p w14:paraId="6CC5126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相符</w:t>
                  </w:r>
                </w:p>
              </w:tc>
            </w:tr>
            <w:tr w14:paraId="78CAC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pct"/>
                  <w:noWrap w:val="0"/>
                  <w:vAlign w:val="center"/>
                </w:tcPr>
                <w:p w14:paraId="6232EB47">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w:t>
                  </w:r>
                </w:p>
              </w:tc>
              <w:tc>
                <w:tcPr>
                  <w:tcW w:w="760" w:type="pct"/>
                  <w:noWrap w:val="0"/>
                  <w:vAlign w:val="center"/>
                </w:tcPr>
                <w:p w14:paraId="04088267">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2.4废水储存管理要求</w:t>
                  </w:r>
                </w:p>
              </w:tc>
              <w:tc>
                <w:tcPr>
                  <w:tcW w:w="1660" w:type="pct"/>
                  <w:noWrap w:val="0"/>
                  <w:vAlign w:val="center"/>
                </w:tcPr>
                <w:p w14:paraId="3160F757">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产生单位应定期观察储存设施的水位情况，当储存水量超过最大容积量80%或剩余储存量不足2天正常生产产水量时，需及时联系零散工业废水接收单位转移。如遇零散工业废水接收单位无故拒绝收运的，应及时向属地生态环境部门反馈</w:t>
                  </w:r>
                </w:p>
              </w:tc>
              <w:tc>
                <w:tcPr>
                  <w:tcW w:w="1391" w:type="pct"/>
                  <w:noWrap w:val="0"/>
                  <w:vAlign w:val="center"/>
                </w:tcPr>
                <w:p w14:paraId="6368A296">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项目设有废水暂存桶约为</w:t>
                  </w:r>
                  <w:r>
                    <w:rPr>
                      <w:rFonts w:hint="eastAsia" w:ascii="Times New Roman" w:hAnsi="Times New Roman" w:cs="Times New Roman"/>
                      <w:b w:val="0"/>
                      <w:bCs w:val="0"/>
                      <w:color w:val="auto"/>
                      <w:sz w:val="21"/>
                      <w:szCs w:val="21"/>
                      <w:highlight w:val="none"/>
                      <w:lang w:val="en-US" w:eastAsia="zh-CN"/>
                    </w:rPr>
                    <w:t>20</w:t>
                  </w:r>
                  <w:r>
                    <w:rPr>
                      <w:rFonts w:hint="default" w:ascii="Times New Roman" w:hAnsi="Times New Roman" w:eastAsia="宋体" w:cs="Times New Roman"/>
                      <w:b w:val="0"/>
                      <w:bCs w:val="0"/>
                      <w:color w:val="auto"/>
                      <w:sz w:val="21"/>
                      <w:szCs w:val="21"/>
                      <w:highlight w:val="none"/>
                      <w:lang w:val="en-US" w:eastAsia="zh-CN"/>
                    </w:rPr>
                    <w:t>立方米，定期观察废水桶储存水量情况，当储水量超过</w:t>
                  </w:r>
                  <w:r>
                    <w:rPr>
                      <w:rFonts w:hint="eastAsia" w:ascii="Times New Roman" w:hAnsi="Times New Roman" w:cs="Times New Roman"/>
                      <w:b w:val="0"/>
                      <w:bCs w:val="0"/>
                      <w:color w:val="auto"/>
                      <w:sz w:val="21"/>
                      <w:szCs w:val="21"/>
                      <w:highlight w:val="none"/>
                      <w:lang w:val="en-US" w:eastAsia="zh-CN"/>
                    </w:rPr>
                    <w:t>16</w:t>
                  </w:r>
                  <w:r>
                    <w:rPr>
                      <w:rFonts w:hint="default" w:ascii="Times New Roman" w:hAnsi="Times New Roman" w:eastAsia="宋体" w:cs="Times New Roman"/>
                      <w:b w:val="0"/>
                      <w:bCs w:val="0"/>
                      <w:color w:val="auto"/>
                      <w:sz w:val="21"/>
                      <w:szCs w:val="21"/>
                      <w:highlight w:val="none"/>
                      <w:lang w:val="en-US" w:eastAsia="zh-CN"/>
                    </w:rPr>
                    <w:t>t时</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联系有废水处理能力的单位进行转移处理，约每</w:t>
                  </w:r>
                  <w:r>
                    <w:rPr>
                      <w:rFonts w:hint="eastAsia" w:ascii="Times New Roman" w:hAnsi="Times New Roman" w:cs="Times New Roman"/>
                      <w:b w:val="0"/>
                      <w:bCs w:val="0"/>
                      <w:color w:val="auto"/>
                      <w:sz w:val="21"/>
                      <w:szCs w:val="21"/>
                      <w:highlight w:val="none"/>
                      <w:lang w:val="en-US" w:eastAsia="zh-CN"/>
                    </w:rPr>
                    <w:t>9天</w:t>
                  </w:r>
                  <w:r>
                    <w:rPr>
                      <w:rFonts w:hint="default" w:ascii="Times New Roman" w:hAnsi="Times New Roman" w:eastAsia="宋体" w:cs="Times New Roman"/>
                      <w:b w:val="0"/>
                      <w:bCs w:val="0"/>
                      <w:color w:val="auto"/>
                      <w:sz w:val="21"/>
                      <w:szCs w:val="21"/>
                      <w:highlight w:val="none"/>
                      <w:lang w:val="en-US" w:eastAsia="zh-CN"/>
                    </w:rPr>
                    <w:t>转运</w:t>
                  </w:r>
                  <w:r>
                    <w:rPr>
                      <w:rFonts w:hint="eastAsia" w:ascii="Times New Roman" w:hAnsi="Times New Roman" w:eastAsia="宋体"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val="en-US" w:eastAsia="zh-CN"/>
                    </w:rPr>
                    <w:t>次</w:t>
                  </w:r>
                </w:p>
              </w:tc>
              <w:tc>
                <w:tcPr>
                  <w:tcW w:w="723" w:type="pct"/>
                  <w:noWrap w:val="0"/>
                  <w:vAlign w:val="center"/>
                </w:tcPr>
                <w:p w14:paraId="3DA9C48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相符</w:t>
                  </w:r>
                </w:p>
              </w:tc>
            </w:tr>
            <w:tr w14:paraId="77F82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pct"/>
                  <w:noWrap w:val="0"/>
                  <w:vAlign w:val="center"/>
                </w:tcPr>
                <w:p w14:paraId="3C2F467A">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5</w:t>
                  </w:r>
                </w:p>
              </w:tc>
              <w:tc>
                <w:tcPr>
                  <w:tcW w:w="760" w:type="pct"/>
                  <w:noWrap w:val="0"/>
                  <w:vAlign w:val="center"/>
                </w:tcPr>
                <w:p w14:paraId="4B290117">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4.1转移联单管理制度</w:t>
                  </w:r>
                </w:p>
              </w:tc>
              <w:tc>
                <w:tcPr>
                  <w:tcW w:w="1660" w:type="pct"/>
                  <w:noWrap w:val="0"/>
                  <w:vAlign w:val="center"/>
                </w:tcPr>
                <w:p w14:paraId="3378A924">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接收单位和产生单位应建立转移联单管理制度。零散工业废水接收单位根据联单模板制作《零散工业废水转移联单》（详见附件2），原件一式两份，在接收零散工业废水时，与零散工业废水产生单位核对转移量、转移时间等，填写转移联单。转移联单第一联和第二联副联由零散工业废水产生单位和接收单位分别自留存档</w:t>
                  </w:r>
                </w:p>
              </w:tc>
              <w:tc>
                <w:tcPr>
                  <w:tcW w:w="1391" w:type="pct"/>
                  <w:noWrap w:val="0"/>
                  <w:vAlign w:val="center"/>
                </w:tcPr>
                <w:p w14:paraId="27928E74">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废水转移单位在转移废水时根据要求出具《零散工业废水转移联单》</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并按要求填写相关信息，一式两份，企业和转移单位各自保留存档</w:t>
                  </w:r>
                </w:p>
              </w:tc>
              <w:tc>
                <w:tcPr>
                  <w:tcW w:w="723" w:type="pct"/>
                  <w:noWrap w:val="0"/>
                  <w:vAlign w:val="center"/>
                </w:tcPr>
                <w:p w14:paraId="0B0A694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相符</w:t>
                  </w:r>
                </w:p>
              </w:tc>
            </w:tr>
            <w:tr w14:paraId="03D67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pct"/>
                  <w:noWrap w:val="0"/>
                  <w:vAlign w:val="center"/>
                </w:tcPr>
                <w:p w14:paraId="5FD31EFC">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6</w:t>
                  </w:r>
                </w:p>
              </w:tc>
              <w:tc>
                <w:tcPr>
                  <w:tcW w:w="760" w:type="pct"/>
                  <w:noWrap w:val="0"/>
                  <w:vAlign w:val="center"/>
                </w:tcPr>
                <w:p w14:paraId="5320BD6F">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4.2废水管理台账</w:t>
                  </w:r>
                </w:p>
              </w:tc>
              <w:tc>
                <w:tcPr>
                  <w:tcW w:w="1660" w:type="pct"/>
                  <w:noWrap w:val="0"/>
                  <w:vAlign w:val="center"/>
                </w:tcPr>
                <w:p w14:paraId="593EB85C">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接收单位和产生单位应建立零散工业废水管理台账。其中，接收单位应建立零散工业废水管理台账，如实、完整、准确记录废水产生单位名称、废水类型、收运人员、收运水量、运输车辆等台账信息，并每月汇总情况填写《零散工业废水接收单位废水接收台账月报表》（详见附件3）；产生单位应建立零散工业废水管理台账，如实记录日生产用水量、日废水产生量、日存储废水量与转移量和转移时间等台账信息，并每月汇总情况填写《零散工业废水产生单位废水产生转移台账月报表》</w:t>
                  </w:r>
                </w:p>
              </w:tc>
              <w:tc>
                <w:tcPr>
                  <w:tcW w:w="1391" w:type="pct"/>
                  <w:noWrap w:val="0"/>
                  <w:vAlign w:val="center"/>
                </w:tcPr>
                <w:p w14:paraId="02DE7A08">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企业建立生产废水管理台账，对每天生产用水量、废水产生量、废水储存量和转移量、转移时间进行记录，并每月填写《零散工业废水接收单位废水接收台账月报表》，报表企业存档保留</w:t>
                  </w:r>
                </w:p>
              </w:tc>
              <w:tc>
                <w:tcPr>
                  <w:tcW w:w="723" w:type="pct"/>
                  <w:noWrap w:val="0"/>
                  <w:vAlign w:val="center"/>
                </w:tcPr>
                <w:p w14:paraId="1EE6489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相符</w:t>
                  </w:r>
                </w:p>
              </w:tc>
            </w:tr>
            <w:tr w14:paraId="4DCF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463" w:type="pct"/>
                  <w:noWrap w:val="0"/>
                  <w:vAlign w:val="center"/>
                </w:tcPr>
                <w:p w14:paraId="6F53352A">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7</w:t>
                  </w:r>
                </w:p>
              </w:tc>
              <w:tc>
                <w:tcPr>
                  <w:tcW w:w="760" w:type="pct"/>
                  <w:noWrap w:val="0"/>
                  <w:vAlign w:val="center"/>
                </w:tcPr>
                <w:p w14:paraId="40C4FC4D">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5.应急管理</w:t>
                  </w:r>
                </w:p>
              </w:tc>
              <w:tc>
                <w:tcPr>
                  <w:tcW w:w="1660" w:type="pct"/>
                  <w:noWrap w:val="0"/>
                  <w:vAlign w:val="center"/>
                </w:tcPr>
                <w:p w14:paraId="765D2820">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零散工业废水接收单位应编制、备案突发环境事件应急预案，建立环境风险隐患排查制度，落实环境风险防范措施，建立完善的生产管理体系，做好零散工业废水收集处理的运营、应急和安全等管理工作。</w:t>
                  </w:r>
                </w:p>
                <w:p w14:paraId="49F5379E">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零散工业废水产生单位应将零散工业废水收集、储存的运营、应急和安全等管理工作纳入企业突发环境事件应急预案，建立环境风险隐患排查制度，落实环境风险防范措施，建立完善的生产管理体系</w:t>
                  </w:r>
                </w:p>
              </w:tc>
              <w:tc>
                <w:tcPr>
                  <w:tcW w:w="1391" w:type="pct"/>
                  <w:noWrap w:val="0"/>
                  <w:vAlign w:val="center"/>
                </w:tcPr>
                <w:p w14:paraId="0BF96771">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企业建立生产废水泄漏环境风险隐患排查制度，落实环境风险防范措施，建立完善的生产管理</w:t>
                  </w:r>
                  <w:r>
                    <w:rPr>
                      <w:rFonts w:hint="eastAsia" w:ascii="Times New Roman" w:hAnsi="Times New Roman" w:eastAsia="宋体" w:cs="Times New Roman"/>
                      <w:b w:val="0"/>
                      <w:bCs w:val="0"/>
                      <w:color w:val="auto"/>
                      <w:sz w:val="21"/>
                      <w:szCs w:val="21"/>
                      <w:highlight w:val="none"/>
                      <w:vertAlign w:val="baseline"/>
                      <w:lang w:val="en-US" w:eastAsia="zh-CN"/>
                    </w:rPr>
                    <w:t>体系</w:t>
                  </w:r>
                  <w:r>
                    <w:rPr>
                      <w:rFonts w:hint="eastAsia" w:ascii="Times New Roman" w:hAnsi="Times New Roman" w:cs="Times New Roman"/>
                      <w:b w:val="0"/>
                      <w:bCs w:val="0"/>
                      <w:color w:val="auto"/>
                      <w:sz w:val="21"/>
                      <w:szCs w:val="21"/>
                      <w:highlight w:val="none"/>
                      <w:vertAlign w:val="baseline"/>
                      <w:lang w:val="en-US" w:eastAsia="zh-CN"/>
                    </w:rPr>
                    <w:t>。</w:t>
                  </w:r>
                </w:p>
              </w:tc>
              <w:tc>
                <w:tcPr>
                  <w:tcW w:w="723" w:type="pct"/>
                  <w:noWrap w:val="0"/>
                  <w:vAlign w:val="center"/>
                </w:tcPr>
                <w:p w14:paraId="0D71459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相符</w:t>
                  </w:r>
                </w:p>
              </w:tc>
            </w:tr>
            <w:tr w14:paraId="1B94D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3" w:type="pct"/>
                  <w:noWrap w:val="0"/>
                  <w:vAlign w:val="center"/>
                </w:tcPr>
                <w:p w14:paraId="0B12B1E2">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8</w:t>
                  </w:r>
                </w:p>
              </w:tc>
              <w:tc>
                <w:tcPr>
                  <w:tcW w:w="760" w:type="pct"/>
                  <w:noWrap w:val="0"/>
                  <w:vAlign w:val="center"/>
                </w:tcPr>
                <w:p w14:paraId="63F40A23">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6、信息报送</w:t>
                  </w:r>
                </w:p>
              </w:tc>
              <w:tc>
                <w:tcPr>
                  <w:tcW w:w="1660" w:type="pct"/>
                  <w:noWrap w:val="0"/>
                  <w:vAlign w:val="center"/>
                </w:tcPr>
                <w:p w14:paraId="3A55549E">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零散工业废水产生单位每月10日前将上月的《零散工业废水产生单位废水产生转移台账月报表》报送所在镇街生态环境部门。</w:t>
                  </w:r>
                </w:p>
                <w:p w14:paraId="215862D2">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零散工业废水接收单位每月10日前将上月的《零散工业废水接收单位废水接收台账月报表》报送所在镇街生态环境部门，并抄报市生态环境局。</w:t>
                  </w:r>
                </w:p>
                <w:p w14:paraId="39F9266D">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市生态环境局按信息化建设要求推进零散工业废水监管平台的建设，待监管平台建成启用后，相应信息报送要求按照平台管理要求进行</w:t>
                  </w:r>
                </w:p>
              </w:tc>
              <w:tc>
                <w:tcPr>
                  <w:tcW w:w="1391" w:type="pct"/>
                  <w:noWrap w:val="0"/>
                  <w:vAlign w:val="center"/>
                </w:tcPr>
                <w:p w14:paraId="4D95BD03">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企业每月10日前将上月的《零散工业废水产生单位废水产生转移台账月报表》报送所在镇街生态环境部门</w:t>
                  </w:r>
                  <w:r>
                    <w:rPr>
                      <w:rFonts w:hint="eastAsia" w:ascii="Times New Roman" w:hAnsi="Times New Roman" w:cs="Times New Roman"/>
                      <w:b w:val="0"/>
                      <w:bCs w:val="0"/>
                      <w:color w:val="auto"/>
                      <w:sz w:val="21"/>
                      <w:szCs w:val="21"/>
                      <w:highlight w:val="none"/>
                      <w:vertAlign w:val="baseline"/>
                      <w:lang w:val="en-US" w:eastAsia="zh-CN"/>
                    </w:rPr>
                    <w:t>。</w:t>
                  </w:r>
                </w:p>
              </w:tc>
              <w:tc>
                <w:tcPr>
                  <w:tcW w:w="723" w:type="pct"/>
                  <w:noWrap w:val="0"/>
                  <w:vAlign w:val="center"/>
                </w:tcPr>
                <w:p w14:paraId="5FF24C36">
                  <w:pPr>
                    <w:pStyle w:val="191"/>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相符</w:t>
                  </w:r>
                </w:p>
              </w:tc>
            </w:tr>
          </w:tbl>
          <w:p w14:paraId="7A4342C7">
            <w:pPr>
              <w:pStyle w:val="9"/>
              <w:spacing w:line="360" w:lineRule="auto"/>
              <w:ind w:left="630" w:leftChars="0" w:firstLineChars="0"/>
              <w:rPr>
                <w:color w:val="auto"/>
                <w:szCs w:val="21"/>
              </w:rPr>
            </w:pPr>
            <w:r>
              <w:rPr>
                <w:rFonts w:hint="eastAsia"/>
                <w:color w:val="auto"/>
                <w:szCs w:val="21"/>
              </w:rPr>
              <w:t>废水</w:t>
            </w:r>
            <w:r>
              <w:rPr>
                <w:color w:val="auto"/>
                <w:szCs w:val="21"/>
              </w:rPr>
              <w:t>间接排放口基本信息</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2"/>
              <w:gridCol w:w="412"/>
              <w:gridCol w:w="857"/>
              <w:gridCol w:w="838"/>
              <w:gridCol w:w="839"/>
              <w:gridCol w:w="978"/>
              <w:gridCol w:w="654"/>
              <w:gridCol w:w="530"/>
              <w:gridCol w:w="604"/>
              <w:gridCol w:w="879"/>
              <w:gridCol w:w="1400"/>
            </w:tblGrid>
            <w:tr w14:paraId="72661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tblHeader/>
                <w:jc w:val="center"/>
              </w:trPr>
              <w:tc>
                <w:tcPr>
                  <w:tcW w:w="245" w:type="pct"/>
                  <w:vMerge w:val="restart"/>
                  <w:vAlign w:val="center"/>
                </w:tcPr>
                <w:p w14:paraId="62842D50">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序号</w:t>
                  </w:r>
                </w:p>
              </w:tc>
              <w:tc>
                <w:tcPr>
                  <w:tcW w:w="245" w:type="pct"/>
                  <w:vMerge w:val="restart"/>
                  <w:vAlign w:val="center"/>
                </w:tcPr>
                <w:p w14:paraId="0D89AFD8">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排放口</w:t>
                  </w:r>
                </w:p>
                <w:p w14:paraId="564B09B0">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编号</w:t>
                  </w:r>
                </w:p>
              </w:tc>
              <w:tc>
                <w:tcPr>
                  <w:tcW w:w="1008" w:type="pct"/>
                  <w:gridSpan w:val="2"/>
                  <w:vAlign w:val="center"/>
                </w:tcPr>
                <w:p w14:paraId="0224CEA8">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排放口地理坐标</w:t>
                  </w:r>
                </w:p>
              </w:tc>
              <w:tc>
                <w:tcPr>
                  <w:tcW w:w="499" w:type="pct"/>
                  <w:vMerge w:val="restart"/>
                  <w:vAlign w:val="center"/>
                </w:tcPr>
                <w:p w14:paraId="26D1F2E1">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废水排放量/</w:t>
                  </w:r>
                </w:p>
                <w:p w14:paraId="098D20D9">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（万t/a）</w:t>
                  </w:r>
                </w:p>
              </w:tc>
              <w:tc>
                <w:tcPr>
                  <w:tcW w:w="581" w:type="pct"/>
                  <w:vMerge w:val="restart"/>
                  <w:vAlign w:val="center"/>
                </w:tcPr>
                <w:p w14:paraId="33CA3D3E">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排放</w:t>
                  </w:r>
                </w:p>
                <w:p w14:paraId="54BCABC5">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去向</w:t>
                  </w:r>
                </w:p>
              </w:tc>
              <w:tc>
                <w:tcPr>
                  <w:tcW w:w="389" w:type="pct"/>
                  <w:vMerge w:val="restart"/>
                  <w:vAlign w:val="center"/>
                </w:tcPr>
                <w:p w14:paraId="2E501B65">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排放</w:t>
                  </w:r>
                </w:p>
                <w:p w14:paraId="7B1F1E20">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规律</w:t>
                  </w:r>
                </w:p>
              </w:tc>
              <w:tc>
                <w:tcPr>
                  <w:tcW w:w="315" w:type="pct"/>
                  <w:vMerge w:val="restart"/>
                  <w:vAlign w:val="center"/>
                </w:tcPr>
                <w:p w14:paraId="2DE5C224">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间歇排放</w:t>
                  </w:r>
                </w:p>
                <w:p w14:paraId="790ABF21">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时段</w:t>
                  </w:r>
                </w:p>
              </w:tc>
              <w:tc>
                <w:tcPr>
                  <w:tcW w:w="1715" w:type="pct"/>
                  <w:gridSpan w:val="3"/>
                  <w:vAlign w:val="center"/>
                </w:tcPr>
                <w:p w14:paraId="2BBE7621">
                  <w:pPr>
                    <w:pStyle w:val="70"/>
                    <w:keepNext w:val="0"/>
                    <w:keepLines w:val="0"/>
                    <w:pageBreakBefore w:val="0"/>
                    <w:widowControl w:val="0"/>
                    <w:kinsoku/>
                    <w:wordWrap/>
                    <w:overflowPunct/>
                    <w:topLinePunct w:val="0"/>
                    <w:autoSpaceDE/>
                    <w:autoSpaceDN/>
                    <w:bidi w:val="0"/>
                    <w:adjustRightInd/>
                    <w:snapToGrid/>
                    <w:spacing w:line="240" w:lineRule="auto"/>
                    <w:textAlignment w:val="auto"/>
                    <w:rPr>
                      <w:b/>
                      <w:color w:val="auto"/>
                      <w:lang w:val="en-US"/>
                    </w:rPr>
                  </w:pPr>
                  <w:r>
                    <w:rPr>
                      <w:rFonts w:hint="eastAsia"/>
                      <w:b/>
                      <w:color w:val="auto"/>
                      <w:lang w:val="en-US"/>
                    </w:rPr>
                    <w:t>受纳污水处理厂信息</w:t>
                  </w:r>
                </w:p>
              </w:tc>
            </w:tr>
            <w:tr w14:paraId="61CE2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blHeader/>
                <w:jc w:val="center"/>
              </w:trPr>
              <w:tc>
                <w:tcPr>
                  <w:tcW w:w="245" w:type="pct"/>
                  <w:vMerge w:val="continue"/>
                  <w:vAlign w:val="center"/>
                </w:tcPr>
                <w:p w14:paraId="5F2E901F">
                  <w:pPr>
                    <w:pStyle w:val="70"/>
                    <w:spacing w:line="360" w:lineRule="auto"/>
                    <w:rPr>
                      <w:b/>
                      <w:color w:val="auto"/>
                      <w:lang w:val="en-US"/>
                    </w:rPr>
                  </w:pPr>
                </w:p>
              </w:tc>
              <w:tc>
                <w:tcPr>
                  <w:tcW w:w="245" w:type="pct"/>
                  <w:vMerge w:val="continue"/>
                  <w:vAlign w:val="center"/>
                </w:tcPr>
                <w:p w14:paraId="4ACBD957">
                  <w:pPr>
                    <w:pStyle w:val="70"/>
                    <w:spacing w:line="360" w:lineRule="auto"/>
                    <w:rPr>
                      <w:b/>
                      <w:color w:val="auto"/>
                      <w:lang w:val="en-US"/>
                    </w:rPr>
                  </w:pPr>
                </w:p>
              </w:tc>
              <w:tc>
                <w:tcPr>
                  <w:tcW w:w="509" w:type="pct"/>
                  <w:vAlign w:val="center"/>
                </w:tcPr>
                <w:p w14:paraId="59E69402">
                  <w:pPr>
                    <w:pStyle w:val="70"/>
                    <w:spacing w:line="360" w:lineRule="auto"/>
                    <w:rPr>
                      <w:b/>
                      <w:color w:val="auto"/>
                      <w:lang w:val="en-US"/>
                    </w:rPr>
                  </w:pPr>
                  <w:r>
                    <w:rPr>
                      <w:rFonts w:hint="eastAsia"/>
                      <w:b/>
                      <w:color w:val="auto"/>
                      <w:lang w:val="en-US"/>
                    </w:rPr>
                    <w:t>经度</w:t>
                  </w:r>
                </w:p>
              </w:tc>
              <w:tc>
                <w:tcPr>
                  <w:tcW w:w="498" w:type="pct"/>
                  <w:vAlign w:val="center"/>
                </w:tcPr>
                <w:p w14:paraId="61937F02">
                  <w:pPr>
                    <w:pStyle w:val="70"/>
                    <w:spacing w:line="360" w:lineRule="auto"/>
                    <w:rPr>
                      <w:b/>
                      <w:color w:val="auto"/>
                      <w:lang w:val="en-US"/>
                    </w:rPr>
                  </w:pPr>
                  <w:r>
                    <w:rPr>
                      <w:rFonts w:hint="eastAsia"/>
                      <w:b/>
                      <w:color w:val="auto"/>
                      <w:lang w:val="en-US"/>
                    </w:rPr>
                    <w:t>纬度</w:t>
                  </w:r>
                </w:p>
              </w:tc>
              <w:tc>
                <w:tcPr>
                  <w:tcW w:w="499" w:type="pct"/>
                  <w:vMerge w:val="continue"/>
                  <w:vAlign w:val="center"/>
                </w:tcPr>
                <w:p w14:paraId="618F986D">
                  <w:pPr>
                    <w:pStyle w:val="70"/>
                    <w:spacing w:line="360" w:lineRule="auto"/>
                    <w:rPr>
                      <w:b/>
                      <w:color w:val="auto"/>
                      <w:lang w:val="en-US"/>
                    </w:rPr>
                  </w:pPr>
                </w:p>
              </w:tc>
              <w:tc>
                <w:tcPr>
                  <w:tcW w:w="581" w:type="pct"/>
                  <w:vMerge w:val="continue"/>
                  <w:vAlign w:val="center"/>
                </w:tcPr>
                <w:p w14:paraId="4518E341">
                  <w:pPr>
                    <w:pStyle w:val="70"/>
                    <w:spacing w:line="360" w:lineRule="auto"/>
                    <w:rPr>
                      <w:b/>
                      <w:color w:val="auto"/>
                      <w:lang w:val="en-US"/>
                    </w:rPr>
                  </w:pPr>
                </w:p>
              </w:tc>
              <w:tc>
                <w:tcPr>
                  <w:tcW w:w="389" w:type="pct"/>
                  <w:vMerge w:val="continue"/>
                  <w:vAlign w:val="center"/>
                </w:tcPr>
                <w:p w14:paraId="55B998FE">
                  <w:pPr>
                    <w:pStyle w:val="70"/>
                    <w:spacing w:line="360" w:lineRule="auto"/>
                    <w:rPr>
                      <w:b/>
                      <w:color w:val="auto"/>
                      <w:lang w:val="en-US"/>
                    </w:rPr>
                  </w:pPr>
                </w:p>
              </w:tc>
              <w:tc>
                <w:tcPr>
                  <w:tcW w:w="315" w:type="pct"/>
                  <w:vMerge w:val="continue"/>
                  <w:vAlign w:val="center"/>
                </w:tcPr>
                <w:p w14:paraId="3A2C786F">
                  <w:pPr>
                    <w:pStyle w:val="70"/>
                    <w:spacing w:line="360" w:lineRule="auto"/>
                    <w:rPr>
                      <w:b/>
                      <w:color w:val="auto"/>
                      <w:lang w:val="en-US"/>
                    </w:rPr>
                  </w:pPr>
                </w:p>
              </w:tc>
              <w:tc>
                <w:tcPr>
                  <w:tcW w:w="359" w:type="pct"/>
                  <w:vAlign w:val="center"/>
                </w:tcPr>
                <w:p w14:paraId="776FE71F">
                  <w:pPr>
                    <w:pStyle w:val="70"/>
                    <w:spacing w:line="360" w:lineRule="auto"/>
                    <w:rPr>
                      <w:b/>
                      <w:color w:val="auto"/>
                      <w:lang w:val="en-US"/>
                    </w:rPr>
                  </w:pPr>
                  <w:r>
                    <w:rPr>
                      <w:rFonts w:hint="eastAsia"/>
                      <w:b/>
                      <w:color w:val="auto"/>
                      <w:lang w:val="en-US"/>
                    </w:rPr>
                    <w:t>名称</w:t>
                  </w:r>
                </w:p>
              </w:tc>
              <w:tc>
                <w:tcPr>
                  <w:tcW w:w="523" w:type="pct"/>
                  <w:vAlign w:val="center"/>
                </w:tcPr>
                <w:p w14:paraId="0F5E4822">
                  <w:pPr>
                    <w:pStyle w:val="70"/>
                    <w:spacing w:line="360" w:lineRule="auto"/>
                    <w:rPr>
                      <w:b/>
                      <w:color w:val="auto"/>
                      <w:lang w:val="en-US"/>
                    </w:rPr>
                  </w:pPr>
                  <w:r>
                    <w:rPr>
                      <w:rFonts w:hint="eastAsia"/>
                      <w:b/>
                      <w:color w:val="auto"/>
                      <w:lang w:val="en-US"/>
                    </w:rPr>
                    <w:t>污染物种类</w:t>
                  </w:r>
                </w:p>
              </w:tc>
              <w:tc>
                <w:tcPr>
                  <w:tcW w:w="833" w:type="pct"/>
                  <w:vAlign w:val="center"/>
                </w:tcPr>
                <w:p w14:paraId="2CA26507">
                  <w:pPr>
                    <w:pStyle w:val="70"/>
                    <w:spacing w:line="360" w:lineRule="auto"/>
                    <w:rPr>
                      <w:b/>
                      <w:color w:val="auto"/>
                      <w:lang w:val="en-US"/>
                    </w:rPr>
                  </w:pPr>
                  <w:r>
                    <w:rPr>
                      <w:rFonts w:hint="eastAsia"/>
                      <w:b/>
                      <w:color w:val="auto"/>
                      <w:lang w:val="en-US"/>
                    </w:rPr>
                    <w:t>国家或地方污染物排放标准浓度限值/(mg/L)</w:t>
                  </w:r>
                </w:p>
              </w:tc>
            </w:tr>
            <w:tr w14:paraId="4CA9C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45" w:type="pct"/>
                  <w:vMerge w:val="restart"/>
                  <w:vAlign w:val="center"/>
                </w:tcPr>
                <w:p w14:paraId="759644A5">
                  <w:pPr>
                    <w:pStyle w:val="70"/>
                    <w:spacing w:line="360" w:lineRule="auto"/>
                    <w:rPr>
                      <w:color w:val="auto"/>
                    </w:rPr>
                  </w:pPr>
                  <w:r>
                    <w:rPr>
                      <w:rFonts w:hint="eastAsia"/>
                      <w:color w:val="auto"/>
                    </w:rPr>
                    <w:t>1</w:t>
                  </w:r>
                </w:p>
              </w:tc>
              <w:tc>
                <w:tcPr>
                  <w:tcW w:w="245" w:type="pct"/>
                  <w:vMerge w:val="restart"/>
                  <w:vAlign w:val="center"/>
                </w:tcPr>
                <w:p w14:paraId="49CA7ED8">
                  <w:pPr>
                    <w:pStyle w:val="70"/>
                    <w:spacing w:line="360" w:lineRule="auto"/>
                    <w:rPr>
                      <w:color w:val="auto"/>
                    </w:rPr>
                  </w:pPr>
                  <w:r>
                    <w:rPr>
                      <w:color w:val="auto"/>
                      <w:kern w:val="0"/>
                    </w:rPr>
                    <w:t>DW001</w:t>
                  </w:r>
                </w:p>
              </w:tc>
              <w:tc>
                <w:tcPr>
                  <w:tcW w:w="509" w:type="pct"/>
                  <w:vMerge w:val="restart"/>
                  <w:vAlign w:val="center"/>
                </w:tcPr>
                <w:p w14:paraId="07B5DB32">
                  <w:pPr>
                    <w:pStyle w:val="70"/>
                    <w:spacing w:line="360" w:lineRule="auto"/>
                    <w:rPr>
                      <w:color w:val="auto"/>
                      <w:lang w:val="en-US"/>
                    </w:rPr>
                  </w:pPr>
                  <w:r>
                    <w:rPr>
                      <w:rFonts w:hint="eastAsia"/>
                      <w:color w:val="auto"/>
                      <w:lang w:val="en-US"/>
                    </w:rPr>
                    <w:t>113.537151</w:t>
                  </w:r>
                </w:p>
              </w:tc>
              <w:tc>
                <w:tcPr>
                  <w:tcW w:w="498" w:type="pct"/>
                  <w:vMerge w:val="restart"/>
                  <w:vAlign w:val="center"/>
                </w:tcPr>
                <w:p w14:paraId="24721571">
                  <w:pPr>
                    <w:pStyle w:val="70"/>
                    <w:spacing w:line="360" w:lineRule="auto"/>
                    <w:rPr>
                      <w:rFonts w:hint="default" w:eastAsia="宋体"/>
                      <w:color w:val="auto"/>
                      <w:lang w:val="en-US" w:eastAsia="zh-CN"/>
                    </w:rPr>
                  </w:pPr>
                  <w:r>
                    <w:rPr>
                      <w:rFonts w:hint="eastAsia"/>
                      <w:color w:val="auto"/>
                      <w:lang w:val="en-US"/>
                    </w:rPr>
                    <w:t>22.4851</w:t>
                  </w:r>
                  <w:r>
                    <w:rPr>
                      <w:rFonts w:hint="eastAsia"/>
                      <w:color w:val="auto"/>
                      <w:lang w:val="en-US" w:eastAsia="zh-CN"/>
                    </w:rPr>
                    <w:t>30</w:t>
                  </w:r>
                </w:p>
              </w:tc>
              <w:tc>
                <w:tcPr>
                  <w:tcW w:w="499" w:type="pct"/>
                  <w:vMerge w:val="restart"/>
                  <w:vAlign w:val="center"/>
                </w:tcPr>
                <w:p w14:paraId="682FACD4">
                  <w:pPr>
                    <w:pStyle w:val="70"/>
                    <w:spacing w:line="360" w:lineRule="auto"/>
                    <w:rPr>
                      <w:rFonts w:hint="default"/>
                      <w:color w:val="auto"/>
                      <w:lang w:val="en-US"/>
                    </w:rPr>
                  </w:pPr>
                  <w:r>
                    <w:rPr>
                      <w:color w:val="auto"/>
                      <w:lang w:val="en-US"/>
                    </w:rPr>
                    <w:t>0.0</w:t>
                  </w:r>
                  <w:r>
                    <w:rPr>
                      <w:rFonts w:hint="eastAsia"/>
                      <w:color w:val="auto"/>
                      <w:lang w:val="en-US" w:eastAsia="zh-CN"/>
                    </w:rPr>
                    <w:t>18</w:t>
                  </w:r>
                </w:p>
              </w:tc>
              <w:tc>
                <w:tcPr>
                  <w:tcW w:w="581" w:type="pct"/>
                  <w:vMerge w:val="restart"/>
                  <w:vAlign w:val="center"/>
                </w:tcPr>
                <w:p w14:paraId="5ED1A201">
                  <w:pPr>
                    <w:pStyle w:val="70"/>
                    <w:spacing w:line="360" w:lineRule="auto"/>
                    <w:rPr>
                      <w:rFonts w:hint="eastAsia" w:eastAsia="宋体"/>
                      <w:color w:val="auto"/>
                      <w:lang w:eastAsia="zh-CN"/>
                    </w:rPr>
                  </w:pPr>
                  <w:r>
                    <w:rPr>
                      <w:color w:val="auto"/>
                      <w:kern w:val="0"/>
                    </w:rPr>
                    <w:t>经三级化粪池预处理后</w:t>
                  </w:r>
                  <w:r>
                    <w:rPr>
                      <w:rFonts w:hint="eastAsia"/>
                      <w:color w:val="auto"/>
                      <w:kern w:val="0"/>
                      <w:lang w:eastAsia="zh-CN"/>
                    </w:rPr>
                    <w:t>进入</w:t>
                  </w:r>
                  <w:r>
                    <w:rPr>
                      <w:rFonts w:hint="eastAsia"/>
                      <w:color w:val="auto"/>
                      <w:kern w:val="0"/>
                      <w:u w:color="FF0000"/>
                      <w:lang w:eastAsia="zh-CN"/>
                    </w:rPr>
                    <w:t>南朗横门污水处理厂</w:t>
                  </w:r>
                </w:p>
              </w:tc>
              <w:tc>
                <w:tcPr>
                  <w:tcW w:w="389" w:type="pct"/>
                  <w:vMerge w:val="restart"/>
                  <w:vAlign w:val="center"/>
                </w:tcPr>
                <w:p w14:paraId="1C044B9A">
                  <w:pPr>
                    <w:pStyle w:val="70"/>
                    <w:spacing w:line="360" w:lineRule="auto"/>
                    <w:rPr>
                      <w:color w:val="auto"/>
                    </w:rPr>
                  </w:pPr>
                  <w:r>
                    <w:rPr>
                      <w:color w:val="auto"/>
                      <w:kern w:val="0"/>
                    </w:rPr>
                    <w:t>间断排放，排放期间流量稳定</w:t>
                  </w:r>
                </w:p>
              </w:tc>
              <w:tc>
                <w:tcPr>
                  <w:tcW w:w="315" w:type="pct"/>
                  <w:vMerge w:val="restart"/>
                  <w:vAlign w:val="center"/>
                </w:tcPr>
                <w:p w14:paraId="6302CA51">
                  <w:pPr>
                    <w:pStyle w:val="70"/>
                    <w:keepNext w:val="0"/>
                    <w:keepLines w:val="0"/>
                    <w:pageBreakBefore w:val="0"/>
                    <w:widowControl w:val="0"/>
                    <w:kinsoku w:val="0"/>
                    <w:wordWrap w:val="0"/>
                    <w:overflowPunct/>
                    <w:topLinePunct w:val="0"/>
                    <w:autoSpaceDE/>
                    <w:autoSpaceDN/>
                    <w:bidi w:val="0"/>
                    <w:adjustRightInd/>
                    <w:snapToGrid/>
                    <w:spacing w:line="360" w:lineRule="auto"/>
                    <w:textAlignment w:val="auto"/>
                    <w:rPr>
                      <w:color w:val="auto"/>
                    </w:rPr>
                  </w:pPr>
                  <w:r>
                    <w:rPr>
                      <w:rFonts w:hint="eastAsia"/>
                      <w:b w:val="0"/>
                      <w:bCs/>
                      <w:color w:val="auto"/>
                      <w:sz w:val="21"/>
                      <w:szCs w:val="21"/>
                      <w:highlight w:val="none"/>
                      <w:lang w:val="en-US" w:eastAsia="zh-CN"/>
                    </w:rPr>
                    <w:t>8：00-12:00，13:00-17:00</w:t>
                  </w:r>
                </w:p>
              </w:tc>
              <w:tc>
                <w:tcPr>
                  <w:tcW w:w="359" w:type="pct"/>
                  <w:vMerge w:val="restart"/>
                  <w:vAlign w:val="center"/>
                </w:tcPr>
                <w:p w14:paraId="03976C3D">
                  <w:pPr>
                    <w:pStyle w:val="70"/>
                    <w:spacing w:line="360" w:lineRule="auto"/>
                    <w:rPr>
                      <w:rFonts w:hint="eastAsia" w:eastAsia="宋体"/>
                      <w:color w:val="auto"/>
                      <w:kern w:val="0"/>
                      <w:lang w:eastAsia="zh-CN"/>
                    </w:rPr>
                  </w:pPr>
                  <w:r>
                    <w:rPr>
                      <w:rFonts w:hint="eastAsia"/>
                      <w:color w:val="auto"/>
                      <w:kern w:val="0"/>
                      <w:u w:color="FF0000"/>
                      <w:lang w:eastAsia="zh-CN"/>
                    </w:rPr>
                    <w:t>南朗横门污水处理厂</w:t>
                  </w:r>
                </w:p>
              </w:tc>
              <w:tc>
                <w:tcPr>
                  <w:tcW w:w="523" w:type="pct"/>
                  <w:vAlign w:val="center"/>
                </w:tcPr>
                <w:p w14:paraId="013C2D43">
                  <w:pPr>
                    <w:pStyle w:val="70"/>
                    <w:spacing w:line="360" w:lineRule="auto"/>
                    <w:rPr>
                      <w:rFonts w:hint="default" w:eastAsia="宋体"/>
                      <w:color w:val="auto"/>
                      <w:lang w:val="en-US" w:eastAsia="zh-CN"/>
                    </w:rPr>
                  </w:pPr>
                  <w:r>
                    <w:rPr>
                      <w:rFonts w:hint="eastAsia"/>
                      <w:color w:val="auto"/>
                      <w:lang w:val="en-US" w:eastAsia="zh-CN"/>
                    </w:rPr>
                    <w:t>pH</w:t>
                  </w:r>
                </w:p>
              </w:tc>
              <w:tc>
                <w:tcPr>
                  <w:tcW w:w="833" w:type="pct"/>
                  <w:vAlign w:val="center"/>
                </w:tcPr>
                <w:p w14:paraId="24A08FA2">
                  <w:pPr>
                    <w:pStyle w:val="70"/>
                    <w:spacing w:line="360" w:lineRule="auto"/>
                    <w:rPr>
                      <w:color w:val="auto"/>
                    </w:rPr>
                  </w:pPr>
                  <w:r>
                    <w:rPr>
                      <w:rFonts w:hint="eastAsia" w:ascii="Times New Roman" w:hAnsi="Times New Roman" w:eastAsia="宋体" w:cs="Times New Roman"/>
                      <w:color w:val="auto"/>
                      <w:sz w:val="21"/>
                      <w:szCs w:val="21"/>
                      <w:highlight w:val="none"/>
                      <w:lang w:val="en-US" w:eastAsia="zh-CN"/>
                    </w:rPr>
                    <w:t>6-9</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无量纲</w:t>
                  </w:r>
                  <w:r>
                    <w:rPr>
                      <w:rFonts w:hint="eastAsia" w:ascii="Times New Roman" w:hAnsi="Times New Roman" w:eastAsia="宋体" w:cs="Times New Roman"/>
                      <w:color w:val="auto"/>
                      <w:sz w:val="21"/>
                      <w:szCs w:val="21"/>
                      <w:highlight w:val="none"/>
                      <w:lang w:eastAsia="zh-CN"/>
                    </w:rPr>
                    <w:t>）</w:t>
                  </w:r>
                </w:p>
              </w:tc>
            </w:tr>
            <w:tr w14:paraId="43471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45" w:type="pct"/>
                  <w:vMerge w:val="continue"/>
                  <w:vAlign w:val="center"/>
                </w:tcPr>
                <w:p w14:paraId="77949A7A">
                  <w:pPr>
                    <w:pStyle w:val="70"/>
                    <w:spacing w:line="360" w:lineRule="auto"/>
                    <w:rPr>
                      <w:color w:val="auto"/>
                    </w:rPr>
                  </w:pPr>
                </w:p>
              </w:tc>
              <w:tc>
                <w:tcPr>
                  <w:tcW w:w="245" w:type="pct"/>
                  <w:vMerge w:val="continue"/>
                  <w:vAlign w:val="center"/>
                </w:tcPr>
                <w:p w14:paraId="083CB16D">
                  <w:pPr>
                    <w:pStyle w:val="70"/>
                    <w:spacing w:line="360" w:lineRule="auto"/>
                    <w:rPr>
                      <w:color w:val="auto"/>
                    </w:rPr>
                  </w:pPr>
                </w:p>
              </w:tc>
              <w:tc>
                <w:tcPr>
                  <w:tcW w:w="509" w:type="pct"/>
                  <w:vMerge w:val="continue"/>
                  <w:vAlign w:val="center"/>
                </w:tcPr>
                <w:p w14:paraId="52FD4288">
                  <w:pPr>
                    <w:pStyle w:val="70"/>
                    <w:spacing w:line="360" w:lineRule="auto"/>
                    <w:rPr>
                      <w:color w:val="auto"/>
                    </w:rPr>
                  </w:pPr>
                </w:p>
              </w:tc>
              <w:tc>
                <w:tcPr>
                  <w:tcW w:w="498" w:type="pct"/>
                  <w:vMerge w:val="continue"/>
                  <w:vAlign w:val="center"/>
                </w:tcPr>
                <w:p w14:paraId="2C62FBBA">
                  <w:pPr>
                    <w:pStyle w:val="70"/>
                    <w:spacing w:line="360" w:lineRule="auto"/>
                    <w:rPr>
                      <w:color w:val="auto"/>
                    </w:rPr>
                  </w:pPr>
                </w:p>
              </w:tc>
              <w:tc>
                <w:tcPr>
                  <w:tcW w:w="499" w:type="pct"/>
                  <w:vMerge w:val="continue"/>
                  <w:vAlign w:val="center"/>
                </w:tcPr>
                <w:p w14:paraId="388C1BC5">
                  <w:pPr>
                    <w:pStyle w:val="70"/>
                    <w:spacing w:line="360" w:lineRule="auto"/>
                    <w:rPr>
                      <w:color w:val="auto"/>
                    </w:rPr>
                  </w:pPr>
                </w:p>
              </w:tc>
              <w:tc>
                <w:tcPr>
                  <w:tcW w:w="581" w:type="pct"/>
                  <w:vMerge w:val="continue"/>
                  <w:vAlign w:val="center"/>
                </w:tcPr>
                <w:p w14:paraId="74B2C3E1">
                  <w:pPr>
                    <w:pStyle w:val="70"/>
                    <w:spacing w:line="360" w:lineRule="auto"/>
                    <w:rPr>
                      <w:color w:val="auto"/>
                    </w:rPr>
                  </w:pPr>
                </w:p>
              </w:tc>
              <w:tc>
                <w:tcPr>
                  <w:tcW w:w="389" w:type="pct"/>
                  <w:vMerge w:val="continue"/>
                  <w:vAlign w:val="center"/>
                </w:tcPr>
                <w:p w14:paraId="28605A8F">
                  <w:pPr>
                    <w:pStyle w:val="70"/>
                    <w:spacing w:line="360" w:lineRule="auto"/>
                    <w:rPr>
                      <w:color w:val="auto"/>
                    </w:rPr>
                  </w:pPr>
                </w:p>
              </w:tc>
              <w:tc>
                <w:tcPr>
                  <w:tcW w:w="315" w:type="pct"/>
                  <w:vMerge w:val="continue"/>
                  <w:vAlign w:val="center"/>
                </w:tcPr>
                <w:p w14:paraId="7D13E3A4">
                  <w:pPr>
                    <w:pStyle w:val="70"/>
                    <w:spacing w:line="360" w:lineRule="auto"/>
                    <w:rPr>
                      <w:color w:val="auto"/>
                    </w:rPr>
                  </w:pPr>
                </w:p>
              </w:tc>
              <w:tc>
                <w:tcPr>
                  <w:tcW w:w="359" w:type="pct"/>
                  <w:vMerge w:val="continue"/>
                  <w:vAlign w:val="center"/>
                </w:tcPr>
                <w:p w14:paraId="02BF31FD">
                  <w:pPr>
                    <w:pStyle w:val="70"/>
                    <w:spacing w:line="360" w:lineRule="auto"/>
                    <w:rPr>
                      <w:color w:val="auto"/>
                    </w:rPr>
                  </w:pPr>
                </w:p>
              </w:tc>
              <w:tc>
                <w:tcPr>
                  <w:tcW w:w="523" w:type="pct"/>
                  <w:vAlign w:val="center"/>
                </w:tcPr>
                <w:p w14:paraId="387CC3F6">
                  <w:pPr>
                    <w:pStyle w:val="70"/>
                    <w:spacing w:line="360" w:lineRule="auto"/>
                    <w:rPr>
                      <w:color w:val="auto"/>
                      <w:kern w:val="0"/>
                    </w:rPr>
                  </w:pPr>
                  <w:r>
                    <w:rPr>
                      <w:color w:val="auto"/>
                      <w:kern w:val="0"/>
                    </w:rPr>
                    <w:t>CODcr</w:t>
                  </w:r>
                </w:p>
              </w:tc>
              <w:tc>
                <w:tcPr>
                  <w:tcW w:w="833" w:type="pct"/>
                  <w:vAlign w:val="center"/>
                </w:tcPr>
                <w:p w14:paraId="77CDAEA9">
                  <w:pPr>
                    <w:pStyle w:val="70"/>
                    <w:spacing w:line="360" w:lineRule="auto"/>
                    <w:rPr>
                      <w:rFonts w:hint="default" w:eastAsia="宋体"/>
                      <w:color w:val="auto"/>
                      <w:kern w:val="0"/>
                      <w:lang w:val="en-US" w:eastAsia="zh-CN"/>
                    </w:rPr>
                  </w:pPr>
                  <w:r>
                    <w:rPr>
                      <w:rFonts w:hint="eastAsia"/>
                      <w:color w:val="auto"/>
                      <w:kern w:val="0"/>
                      <w:lang w:val="en-US" w:eastAsia="zh-CN"/>
                    </w:rPr>
                    <w:t>40</w:t>
                  </w:r>
                </w:p>
              </w:tc>
            </w:tr>
            <w:tr w14:paraId="3FED3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45" w:type="pct"/>
                  <w:vMerge w:val="continue"/>
                  <w:vAlign w:val="center"/>
                </w:tcPr>
                <w:p w14:paraId="7A25369D">
                  <w:pPr>
                    <w:pStyle w:val="70"/>
                    <w:spacing w:line="360" w:lineRule="auto"/>
                    <w:rPr>
                      <w:color w:val="auto"/>
                      <w:kern w:val="0"/>
                    </w:rPr>
                  </w:pPr>
                </w:p>
              </w:tc>
              <w:tc>
                <w:tcPr>
                  <w:tcW w:w="245" w:type="pct"/>
                  <w:vMerge w:val="continue"/>
                  <w:vAlign w:val="center"/>
                </w:tcPr>
                <w:p w14:paraId="584762E8">
                  <w:pPr>
                    <w:pStyle w:val="70"/>
                    <w:spacing w:line="360" w:lineRule="auto"/>
                    <w:rPr>
                      <w:color w:val="auto"/>
                      <w:kern w:val="0"/>
                    </w:rPr>
                  </w:pPr>
                </w:p>
              </w:tc>
              <w:tc>
                <w:tcPr>
                  <w:tcW w:w="509" w:type="pct"/>
                  <w:vMerge w:val="continue"/>
                  <w:vAlign w:val="center"/>
                </w:tcPr>
                <w:p w14:paraId="7DFEAB5C">
                  <w:pPr>
                    <w:pStyle w:val="70"/>
                    <w:spacing w:line="360" w:lineRule="auto"/>
                    <w:rPr>
                      <w:color w:val="auto"/>
                      <w:kern w:val="0"/>
                    </w:rPr>
                  </w:pPr>
                </w:p>
              </w:tc>
              <w:tc>
                <w:tcPr>
                  <w:tcW w:w="498" w:type="pct"/>
                  <w:vMerge w:val="continue"/>
                  <w:vAlign w:val="center"/>
                </w:tcPr>
                <w:p w14:paraId="0237EE30">
                  <w:pPr>
                    <w:pStyle w:val="70"/>
                    <w:spacing w:line="360" w:lineRule="auto"/>
                    <w:rPr>
                      <w:color w:val="auto"/>
                      <w:kern w:val="0"/>
                    </w:rPr>
                  </w:pPr>
                </w:p>
              </w:tc>
              <w:tc>
                <w:tcPr>
                  <w:tcW w:w="499" w:type="pct"/>
                  <w:vMerge w:val="continue"/>
                  <w:vAlign w:val="center"/>
                </w:tcPr>
                <w:p w14:paraId="76E9E2BA">
                  <w:pPr>
                    <w:pStyle w:val="70"/>
                    <w:spacing w:line="360" w:lineRule="auto"/>
                    <w:rPr>
                      <w:color w:val="auto"/>
                      <w:kern w:val="0"/>
                    </w:rPr>
                  </w:pPr>
                </w:p>
              </w:tc>
              <w:tc>
                <w:tcPr>
                  <w:tcW w:w="581" w:type="pct"/>
                  <w:vMerge w:val="continue"/>
                  <w:vAlign w:val="center"/>
                </w:tcPr>
                <w:p w14:paraId="31E8DC88">
                  <w:pPr>
                    <w:pStyle w:val="70"/>
                    <w:spacing w:line="360" w:lineRule="auto"/>
                    <w:rPr>
                      <w:color w:val="auto"/>
                      <w:kern w:val="0"/>
                    </w:rPr>
                  </w:pPr>
                </w:p>
              </w:tc>
              <w:tc>
                <w:tcPr>
                  <w:tcW w:w="389" w:type="pct"/>
                  <w:vMerge w:val="continue"/>
                  <w:vAlign w:val="center"/>
                </w:tcPr>
                <w:p w14:paraId="210E604A">
                  <w:pPr>
                    <w:pStyle w:val="70"/>
                    <w:spacing w:line="360" w:lineRule="auto"/>
                    <w:rPr>
                      <w:color w:val="auto"/>
                      <w:kern w:val="0"/>
                    </w:rPr>
                  </w:pPr>
                </w:p>
              </w:tc>
              <w:tc>
                <w:tcPr>
                  <w:tcW w:w="315" w:type="pct"/>
                  <w:vMerge w:val="continue"/>
                  <w:vAlign w:val="center"/>
                </w:tcPr>
                <w:p w14:paraId="563C4F30">
                  <w:pPr>
                    <w:pStyle w:val="70"/>
                    <w:spacing w:line="360" w:lineRule="auto"/>
                    <w:rPr>
                      <w:color w:val="auto"/>
                      <w:kern w:val="0"/>
                    </w:rPr>
                  </w:pPr>
                </w:p>
              </w:tc>
              <w:tc>
                <w:tcPr>
                  <w:tcW w:w="359" w:type="pct"/>
                  <w:vMerge w:val="continue"/>
                  <w:vAlign w:val="center"/>
                </w:tcPr>
                <w:p w14:paraId="050573DE">
                  <w:pPr>
                    <w:pStyle w:val="70"/>
                    <w:spacing w:line="360" w:lineRule="auto"/>
                    <w:rPr>
                      <w:color w:val="auto"/>
                      <w:kern w:val="0"/>
                    </w:rPr>
                  </w:pPr>
                </w:p>
              </w:tc>
              <w:tc>
                <w:tcPr>
                  <w:tcW w:w="523" w:type="pct"/>
                  <w:vAlign w:val="center"/>
                </w:tcPr>
                <w:p w14:paraId="5480350A">
                  <w:pPr>
                    <w:pStyle w:val="70"/>
                    <w:spacing w:line="360" w:lineRule="auto"/>
                    <w:rPr>
                      <w:color w:val="auto"/>
                      <w:kern w:val="0"/>
                    </w:rPr>
                  </w:pPr>
                  <w:r>
                    <w:rPr>
                      <w:color w:val="auto"/>
                      <w:kern w:val="0"/>
                    </w:rPr>
                    <w:t>BOD</w:t>
                  </w:r>
                  <w:r>
                    <w:rPr>
                      <w:color w:val="auto"/>
                      <w:kern w:val="0"/>
                      <w:vertAlign w:val="subscript"/>
                    </w:rPr>
                    <w:t>5</w:t>
                  </w:r>
                </w:p>
              </w:tc>
              <w:tc>
                <w:tcPr>
                  <w:tcW w:w="833" w:type="pct"/>
                  <w:vAlign w:val="center"/>
                </w:tcPr>
                <w:p w14:paraId="1F2D525C">
                  <w:pPr>
                    <w:pStyle w:val="70"/>
                    <w:spacing w:line="360" w:lineRule="auto"/>
                    <w:rPr>
                      <w:rFonts w:hint="default" w:eastAsia="宋体"/>
                      <w:color w:val="auto"/>
                      <w:kern w:val="0"/>
                      <w:lang w:val="en-US" w:eastAsia="zh-CN"/>
                    </w:rPr>
                  </w:pPr>
                  <w:r>
                    <w:rPr>
                      <w:rFonts w:hint="eastAsia"/>
                      <w:color w:val="auto"/>
                      <w:kern w:val="0"/>
                      <w:lang w:val="en-US" w:eastAsia="zh-CN"/>
                    </w:rPr>
                    <w:t>10</w:t>
                  </w:r>
                </w:p>
              </w:tc>
            </w:tr>
            <w:tr w14:paraId="61D82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45" w:type="pct"/>
                  <w:vMerge w:val="continue"/>
                  <w:vAlign w:val="center"/>
                </w:tcPr>
                <w:p w14:paraId="66DEE27A">
                  <w:pPr>
                    <w:pStyle w:val="70"/>
                    <w:spacing w:line="360" w:lineRule="auto"/>
                    <w:rPr>
                      <w:color w:val="auto"/>
                      <w:kern w:val="0"/>
                    </w:rPr>
                  </w:pPr>
                </w:p>
              </w:tc>
              <w:tc>
                <w:tcPr>
                  <w:tcW w:w="245" w:type="pct"/>
                  <w:vMerge w:val="continue"/>
                  <w:vAlign w:val="center"/>
                </w:tcPr>
                <w:p w14:paraId="16B2504B">
                  <w:pPr>
                    <w:pStyle w:val="70"/>
                    <w:spacing w:line="360" w:lineRule="auto"/>
                    <w:rPr>
                      <w:color w:val="auto"/>
                      <w:kern w:val="0"/>
                    </w:rPr>
                  </w:pPr>
                </w:p>
              </w:tc>
              <w:tc>
                <w:tcPr>
                  <w:tcW w:w="509" w:type="pct"/>
                  <w:vMerge w:val="continue"/>
                  <w:vAlign w:val="center"/>
                </w:tcPr>
                <w:p w14:paraId="0DB55EEB">
                  <w:pPr>
                    <w:pStyle w:val="70"/>
                    <w:spacing w:line="360" w:lineRule="auto"/>
                    <w:rPr>
                      <w:color w:val="auto"/>
                      <w:kern w:val="0"/>
                    </w:rPr>
                  </w:pPr>
                </w:p>
              </w:tc>
              <w:tc>
                <w:tcPr>
                  <w:tcW w:w="498" w:type="pct"/>
                  <w:vMerge w:val="continue"/>
                  <w:vAlign w:val="center"/>
                </w:tcPr>
                <w:p w14:paraId="53BA1202">
                  <w:pPr>
                    <w:pStyle w:val="70"/>
                    <w:spacing w:line="360" w:lineRule="auto"/>
                    <w:rPr>
                      <w:color w:val="auto"/>
                      <w:kern w:val="0"/>
                    </w:rPr>
                  </w:pPr>
                </w:p>
              </w:tc>
              <w:tc>
                <w:tcPr>
                  <w:tcW w:w="499" w:type="pct"/>
                  <w:vMerge w:val="continue"/>
                  <w:vAlign w:val="center"/>
                </w:tcPr>
                <w:p w14:paraId="2F071655">
                  <w:pPr>
                    <w:pStyle w:val="70"/>
                    <w:spacing w:line="360" w:lineRule="auto"/>
                    <w:rPr>
                      <w:color w:val="auto"/>
                      <w:kern w:val="0"/>
                    </w:rPr>
                  </w:pPr>
                </w:p>
              </w:tc>
              <w:tc>
                <w:tcPr>
                  <w:tcW w:w="581" w:type="pct"/>
                  <w:vMerge w:val="continue"/>
                  <w:vAlign w:val="center"/>
                </w:tcPr>
                <w:p w14:paraId="31231BEC">
                  <w:pPr>
                    <w:pStyle w:val="70"/>
                    <w:spacing w:line="360" w:lineRule="auto"/>
                    <w:rPr>
                      <w:color w:val="auto"/>
                      <w:kern w:val="0"/>
                    </w:rPr>
                  </w:pPr>
                </w:p>
              </w:tc>
              <w:tc>
                <w:tcPr>
                  <w:tcW w:w="389" w:type="pct"/>
                  <w:vMerge w:val="continue"/>
                  <w:vAlign w:val="center"/>
                </w:tcPr>
                <w:p w14:paraId="579FDE1E">
                  <w:pPr>
                    <w:pStyle w:val="70"/>
                    <w:spacing w:line="360" w:lineRule="auto"/>
                    <w:rPr>
                      <w:color w:val="auto"/>
                      <w:kern w:val="0"/>
                    </w:rPr>
                  </w:pPr>
                </w:p>
              </w:tc>
              <w:tc>
                <w:tcPr>
                  <w:tcW w:w="315" w:type="pct"/>
                  <w:vMerge w:val="continue"/>
                  <w:vAlign w:val="center"/>
                </w:tcPr>
                <w:p w14:paraId="744D9D8F">
                  <w:pPr>
                    <w:pStyle w:val="70"/>
                    <w:spacing w:line="360" w:lineRule="auto"/>
                    <w:rPr>
                      <w:color w:val="auto"/>
                      <w:kern w:val="0"/>
                    </w:rPr>
                  </w:pPr>
                </w:p>
              </w:tc>
              <w:tc>
                <w:tcPr>
                  <w:tcW w:w="359" w:type="pct"/>
                  <w:vMerge w:val="continue"/>
                  <w:vAlign w:val="center"/>
                </w:tcPr>
                <w:p w14:paraId="274282DB">
                  <w:pPr>
                    <w:pStyle w:val="70"/>
                    <w:spacing w:line="360" w:lineRule="auto"/>
                    <w:rPr>
                      <w:color w:val="auto"/>
                      <w:kern w:val="0"/>
                    </w:rPr>
                  </w:pPr>
                </w:p>
              </w:tc>
              <w:tc>
                <w:tcPr>
                  <w:tcW w:w="523" w:type="pct"/>
                  <w:vAlign w:val="center"/>
                </w:tcPr>
                <w:p w14:paraId="4A2B6F0F">
                  <w:pPr>
                    <w:pStyle w:val="70"/>
                    <w:spacing w:line="360" w:lineRule="auto"/>
                    <w:rPr>
                      <w:color w:val="auto"/>
                      <w:kern w:val="0"/>
                    </w:rPr>
                  </w:pPr>
                  <w:r>
                    <w:rPr>
                      <w:color w:val="auto"/>
                      <w:kern w:val="0"/>
                    </w:rPr>
                    <w:t>SS</w:t>
                  </w:r>
                </w:p>
              </w:tc>
              <w:tc>
                <w:tcPr>
                  <w:tcW w:w="833" w:type="pct"/>
                  <w:vAlign w:val="center"/>
                </w:tcPr>
                <w:p w14:paraId="1E61BE5A">
                  <w:pPr>
                    <w:pStyle w:val="70"/>
                    <w:spacing w:line="360" w:lineRule="auto"/>
                    <w:rPr>
                      <w:rFonts w:hint="default" w:eastAsia="宋体"/>
                      <w:color w:val="auto"/>
                      <w:kern w:val="0"/>
                      <w:lang w:val="en-US" w:eastAsia="zh-CN"/>
                    </w:rPr>
                  </w:pPr>
                  <w:r>
                    <w:rPr>
                      <w:rFonts w:hint="eastAsia"/>
                      <w:color w:val="auto"/>
                      <w:kern w:val="0"/>
                      <w:lang w:val="en-US" w:eastAsia="zh-CN"/>
                    </w:rPr>
                    <w:t>10</w:t>
                  </w:r>
                </w:p>
              </w:tc>
            </w:tr>
            <w:tr w14:paraId="17737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245" w:type="pct"/>
                  <w:vMerge w:val="continue"/>
                  <w:vAlign w:val="center"/>
                </w:tcPr>
                <w:p w14:paraId="2C29C1A3">
                  <w:pPr>
                    <w:pStyle w:val="70"/>
                    <w:spacing w:line="360" w:lineRule="auto"/>
                    <w:rPr>
                      <w:color w:val="auto"/>
                      <w:kern w:val="0"/>
                    </w:rPr>
                  </w:pPr>
                </w:p>
              </w:tc>
              <w:tc>
                <w:tcPr>
                  <w:tcW w:w="245" w:type="pct"/>
                  <w:vMerge w:val="continue"/>
                  <w:vAlign w:val="center"/>
                </w:tcPr>
                <w:p w14:paraId="4946F264">
                  <w:pPr>
                    <w:pStyle w:val="70"/>
                    <w:spacing w:line="360" w:lineRule="auto"/>
                    <w:rPr>
                      <w:color w:val="auto"/>
                      <w:kern w:val="0"/>
                    </w:rPr>
                  </w:pPr>
                </w:p>
              </w:tc>
              <w:tc>
                <w:tcPr>
                  <w:tcW w:w="509" w:type="pct"/>
                  <w:vMerge w:val="continue"/>
                  <w:vAlign w:val="center"/>
                </w:tcPr>
                <w:p w14:paraId="14F98AD0">
                  <w:pPr>
                    <w:pStyle w:val="70"/>
                    <w:spacing w:line="360" w:lineRule="auto"/>
                    <w:rPr>
                      <w:color w:val="auto"/>
                      <w:kern w:val="0"/>
                    </w:rPr>
                  </w:pPr>
                </w:p>
              </w:tc>
              <w:tc>
                <w:tcPr>
                  <w:tcW w:w="498" w:type="pct"/>
                  <w:vMerge w:val="continue"/>
                  <w:vAlign w:val="center"/>
                </w:tcPr>
                <w:p w14:paraId="76DE4552">
                  <w:pPr>
                    <w:pStyle w:val="70"/>
                    <w:spacing w:line="360" w:lineRule="auto"/>
                    <w:rPr>
                      <w:color w:val="auto"/>
                      <w:kern w:val="0"/>
                    </w:rPr>
                  </w:pPr>
                </w:p>
              </w:tc>
              <w:tc>
                <w:tcPr>
                  <w:tcW w:w="499" w:type="pct"/>
                  <w:vMerge w:val="continue"/>
                  <w:vAlign w:val="center"/>
                </w:tcPr>
                <w:p w14:paraId="1D5991C3">
                  <w:pPr>
                    <w:pStyle w:val="70"/>
                    <w:spacing w:line="360" w:lineRule="auto"/>
                    <w:rPr>
                      <w:color w:val="auto"/>
                      <w:kern w:val="0"/>
                    </w:rPr>
                  </w:pPr>
                </w:p>
              </w:tc>
              <w:tc>
                <w:tcPr>
                  <w:tcW w:w="581" w:type="pct"/>
                  <w:vMerge w:val="continue"/>
                  <w:vAlign w:val="center"/>
                </w:tcPr>
                <w:p w14:paraId="6C816ED2">
                  <w:pPr>
                    <w:pStyle w:val="70"/>
                    <w:spacing w:line="360" w:lineRule="auto"/>
                    <w:rPr>
                      <w:color w:val="auto"/>
                      <w:kern w:val="0"/>
                    </w:rPr>
                  </w:pPr>
                </w:p>
              </w:tc>
              <w:tc>
                <w:tcPr>
                  <w:tcW w:w="389" w:type="pct"/>
                  <w:vMerge w:val="continue"/>
                  <w:vAlign w:val="center"/>
                </w:tcPr>
                <w:p w14:paraId="7A4D1591">
                  <w:pPr>
                    <w:pStyle w:val="70"/>
                    <w:spacing w:line="360" w:lineRule="auto"/>
                    <w:rPr>
                      <w:color w:val="auto"/>
                      <w:kern w:val="0"/>
                    </w:rPr>
                  </w:pPr>
                </w:p>
              </w:tc>
              <w:tc>
                <w:tcPr>
                  <w:tcW w:w="315" w:type="pct"/>
                  <w:vMerge w:val="continue"/>
                  <w:vAlign w:val="center"/>
                </w:tcPr>
                <w:p w14:paraId="0CC7CE18">
                  <w:pPr>
                    <w:pStyle w:val="70"/>
                    <w:spacing w:line="360" w:lineRule="auto"/>
                    <w:rPr>
                      <w:color w:val="auto"/>
                      <w:kern w:val="0"/>
                    </w:rPr>
                  </w:pPr>
                </w:p>
              </w:tc>
              <w:tc>
                <w:tcPr>
                  <w:tcW w:w="359" w:type="pct"/>
                  <w:vMerge w:val="continue"/>
                  <w:vAlign w:val="center"/>
                </w:tcPr>
                <w:p w14:paraId="0DE3E9C8">
                  <w:pPr>
                    <w:pStyle w:val="70"/>
                    <w:spacing w:line="360" w:lineRule="auto"/>
                    <w:rPr>
                      <w:color w:val="auto"/>
                      <w:kern w:val="0"/>
                    </w:rPr>
                  </w:pPr>
                </w:p>
              </w:tc>
              <w:tc>
                <w:tcPr>
                  <w:tcW w:w="523" w:type="pct"/>
                  <w:vAlign w:val="center"/>
                </w:tcPr>
                <w:p w14:paraId="3B04C38E">
                  <w:pPr>
                    <w:pStyle w:val="70"/>
                    <w:spacing w:line="360" w:lineRule="auto"/>
                    <w:rPr>
                      <w:color w:val="auto"/>
                      <w:kern w:val="0"/>
                    </w:rPr>
                  </w:pPr>
                  <w:r>
                    <w:rPr>
                      <w:color w:val="auto"/>
                      <w:kern w:val="0"/>
                    </w:rPr>
                    <w:t>NH</w:t>
                  </w:r>
                  <w:r>
                    <w:rPr>
                      <w:color w:val="auto"/>
                      <w:kern w:val="0"/>
                      <w:vertAlign w:val="subscript"/>
                    </w:rPr>
                    <w:t>3</w:t>
                  </w:r>
                  <w:r>
                    <w:rPr>
                      <w:color w:val="auto"/>
                      <w:kern w:val="0"/>
                    </w:rPr>
                    <w:t>-N</w:t>
                  </w:r>
                </w:p>
              </w:tc>
              <w:tc>
                <w:tcPr>
                  <w:tcW w:w="833" w:type="pct"/>
                  <w:vAlign w:val="center"/>
                </w:tcPr>
                <w:p w14:paraId="57E5F2CA">
                  <w:pPr>
                    <w:pStyle w:val="70"/>
                    <w:spacing w:line="360" w:lineRule="auto"/>
                    <w:rPr>
                      <w:rFonts w:hint="eastAsia" w:eastAsia="宋体"/>
                      <w:color w:val="auto"/>
                      <w:kern w:val="0"/>
                      <w:lang w:val="en-US" w:eastAsia="zh-CN"/>
                    </w:rPr>
                  </w:pPr>
                  <w:r>
                    <w:rPr>
                      <w:rFonts w:hint="eastAsia"/>
                      <w:color w:val="auto"/>
                      <w:kern w:val="0"/>
                      <w:lang w:val="en-US" w:eastAsia="zh-CN"/>
                    </w:rPr>
                    <w:t>5</w:t>
                  </w:r>
                </w:p>
              </w:tc>
            </w:tr>
          </w:tbl>
          <w:p w14:paraId="4179F9CE">
            <w:pPr>
              <w:pStyle w:val="9"/>
              <w:spacing w:line="360" w:lineRule="auto"/>
              <w:ind w:left="630" w:leftChars="0" w:firstLineChars="0"/>
              <w:rPr>
                <w:color w:val="auto"/>
                <w:szCs w:val="21"/>
                <w:lang w:val="en-US"/>
              </w:rPr>
            </w:pPr>
            <w:r>
              <w:rPr>
                <w:rFonts w:hint="eastAsia"/>
                <w:color w:val="auto"/>
                <w:szCs w:val="21"/>
              </w:rPr>
              <w:t>废水污染物排放执行标准</w:t>
            </w:r>
          </w:p>
          <w:tbl>
            <w:tblPr>
              <w:tblStyle w:val="3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1282"/>
              <w:gridCol w:w="1166"/>
              <w:gridCol w:w="3186"/>
              <w:gridCol w:w="1929"/>
            </w:tblGrid>
            <w:tr w14:paraId="38905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restart"/>
                  <w:tcBorders>
                    <w:top w:val="single" w:color="auto" w:sz="4" w:space="0"/>
                    <w:left w:val="single" w:color="auto" w:sz="4" w:space="0"/>
                    <w:bottom w:val="single" w:color="auto" w:sz="4" w:space="0"/>
                    <w:right w:val="single" w:color="auto" w:sz="4" w:space="0"/>
                  </w:tcBorders>
                  <w:vAlign w:val="center"/>
                </w:tcPr>
                <w:p w14:paraId="522B7848">
                  <w:pPr>
                    <w:spacing w:line="360" w:lineRule="auto"/>
                    <w:jc w:val="center"/>
                    <w:rPr>
                      <w:bCs/>
                      <w:color w:val="auto"/>
                      <w:szCs w:val="21"/>
                    </w:rPr>
                  </w:pPr>
                  <w:r>
                    <w:rPr>
                      <w:rFonts w:hint="eastAsia"/>
                      <w:bCs/>
                      <w:color w:val="auto"/>
                      <w:szCs w:val="21"/>
                    </w:rPr>
                    <w:t>序号</w:t>
                  </w:r>
                </w:p>
              </w:tc>
              <w:tc>
                <w:tcPr>
                  <w:tcW w:w="762" w:type="pct"/>
                  <w:vMerge w:val="restart"/>
                  <w:tcBorders>
                    <w:top w:val="single" w:color="auto" w:sz="4" w:space="0"/>
                    <w:left w:val="single" w:color="auto" w:sz="4" w:space="0"/>
                    <w:bottom w:val="single" w:color="auto" w:sz="4" w:space="0"/>
                    <w:right w:val="single" w:color="auto" w:sz="4" w:space="0"/>
                  </w:tcBorders>
                  <w:vAlign w:val="center"/>
                </w:tcPr>
                <w:p w14:paraId="4E795411">
                  <w:pPr>
                    <w:spacing w:line="360" w:lineRule="auto"/>
                    <w:jc w:val="center"/>
                    <w:rPr>
                      <w:bCs/>
                      <w:color w:val="auto"/>
                      <w:szCs w:val="21"/>
                    </w:rPr>
                  </w:pPr>
                  <w:r>
                    <w:rPr>
                      <w:rFonts w:hint="eastAsia"/>
                      <w:bCs/>
                      <w:color w:val="auto"/>
                      <w:szCs w:val="21"/>
                    </w:rPr>
                    <w:t>排放口编号</w:t>
                  </w:r>
                </w:p>
              </w:tc>
              <w:tc>
                <w:tcPr>
                  <w:tcW w:w="693" w:type="pct"/>
                  <w:vMerge w:val="restart"/>
                  <w:tcBorders>
                    <w:top w:val="single" w:color="auto" w:sz="4" w:space="0"/>
                    <w:left w:val="single" w:color="auto" w:sz="4" w:space="0"/>
                    <w:bottom w:val="single" w:color="auto" w:sz="4" w:space="0"/>
                    <w:right w:val="single" w:color="auto" w:sz="4" w:space="0"/>
                  </w:tcBorders>
                  <w:vAlign w:val="center"/>
                </w:tcPr>
                <w:p w14:paraId="726E984B">
                  <w:pPr>
                    <w:spacing w:line="360" w:lineRule="auto"/>
                    <w:jc w:val="center"/>
                    <w:rPr>
                      <w:bCs/>
                      <w:color w:val="auto"/>
                      <w:szCs w:val="21"/>
                    </w:rPr>
                  </w:pPr>
                  <w:r>
                    <w:rPr>
                      <w:rFonts w:hint="eastAsia"/>
                      <w:bCs/>
                      <w:color w:val="auto"/>
                      <w:szCs w:val="21"/>
                    </w:rPr>
                    <w:t>污染物种类</w:t>
                  </w:r>
                </w:p>
              </w:tc>
              <w:tc>
                <w:tcPr>
                  <w:tcW w:w="3043" w:type="pct"/>
                  <w:gridSpan w:val="2"/>
                  <w:tcBorders>
                    <w:top w:val="single" w:color="auto" w:sz="4" w:space="0"/>
                    <w:left w:val="single" w:color="auto" w:sz="4" w:space="0"/>
                    <w:bottom w:val="single" w:color="auto" w:sz="4" w:space="0"/>
                    <w:right w:val="single" w:color="auto" w:sz="4" w:space="0"/>
                  </w:tcBorders>
                  <w:vAlign w:val="center"/>
                </w:tcPr>
                <w:p w14:paraId="341DA7F2">
                  <w:pPr>
                    <w:spacing w:line="360" w:lineRule="auto"/>
                    <w:jc w:val="center"/>
                    <w:rPr>
                      <w:bCs/>
                      <w:color w:val="auto"/>
                      <w:szCs w:val="21"/>
                    </w:rPr>
                  </w:pPr>
                  <w:r>
                    <w:rPr>
                      <w:rFonts w:hint="eastAsia"/>
                      <w:bCs/>
                      <w:color w:val="auto"/>
                      <w:szCs w:val="21"/>
                    </w:rPr>
                    <w:t>国家或地方污染物排放标准及其他按规定商定的排放协议</w:t>
                  </w:r>
                </w:p>
              </w:tc>
            </w:tr>
            <w:tr w14:paraId="3AF41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top w:val="single" w:color="auto" w:sz="4" w:space="0"/>
                    <w:left w:val="single" w:color="auto" w:sz="4" w:space="0"/>
                    <w:bottom w:val="single" w:color="auto" w:sz="4" w:space="0"/>
                    <w:right w:val="single" w:color="auto" w:sz="4" w:space="0"/>
                  </w:tcBorders>
                  <w:vAlign w:val="center"/>
                </w:tcPr>
                <w:p w14:paraId="6812193F">
                  <w:pPr>
                    <w:widowControl/>
                    <w:spacing w:line="360" w:lineRule="auto"/>
                    <w:jc w:val="left"/>
                    <w:rPr>
                      <w:bCs/>
                      <w:color w:val="auto"/>
                      <w:szCs w:val="21"/>
                    </w:rPr>
                  </w:pPr>
                </w:p>
              </w:tc>
              <w:tc>
                <w:tcPr>
                  <w:tcW w:w="762" w:type="pct"/>
                  <w:vMerge w:val="continue"/>
                  <w:tcBorders>
                    <w:top w:val="single" w:color="auto" w:sz="4" w:space="0"/>
                    <w:left w:val="single" w:color="auto" w:sz="4" w:space="0"/>
                    <w:bottom w:val="single" w:color="auto" w:sz="4" w:space="0"/>
                    <w:right w:val="single" w:color="auto" w:sz="4" w:space="0"/>
                  </w:tcBorders>
                  <w:vAlign w:val="center"/>
                </w:tcPr>
                <w:p w14:paraId="724D2DCB">
                  <w:pPr>
                    <w:widowControl/>
                    <w:spacing w:line="360" w:lineRule="auto"/>
                    <w:jc w:val="left"/>
                    <w:rPr>
                      <w:bCs/>
                      <w:color w:val="auto"/>
                      <w:szCs w:val="21"/>
                    </w:rPr>
                  </w:pPr>
                </w:p>
              </w:tc>
              <w:tc>
                <w:tcPr>
                  <w:tcW w:w="693" w:type="pct"/>
                  <w:vMerge w:val="continue"/>
                  <w:tcBorders>
                    <w:top w:val="single" w:color="auto" w:sz="4" w:space="0"/>
                    <w:left w:val="single" w:color="auto" w:sz="4" w:space="0"/>
                    <w:bottom w:val="single" w:color="auto" w:sz="4" w:space="0"/>
                    <w:right w:val="single" w:color="auto" w:sz="4" w:space="0"/>
                  </w:tcBorders>
                  <w:vAlign w:val="center"/>
                </w:tcPr>
                <w:p w14:paraId="4A7E6E3C">
                  <w:pPr>
                    <w:widowControl/>
                    <w:spacing w:line="360" w:lineRule="auto"/>
                    <w:jc w:val="left"/>
                    <w:rPr>
                      <w:bCs/>
                      <w:color w:val="auto"/>
                      <w:szCs w:val="21"/>
                    </w:rPr>
                  </w:pPr>
                </w:p>
              </w:tc>
              <w:tc>
                <w:tcPr>
                  <w:tcW w:w="1895" w:type="pct"/>
                  <w:tcBorders>
                    <w:top w:val="single" w:color="auto" w:sz="4" w:space="0"/>
                    <w:left w:val="single" w:color="auto" w:sz="4" w:space="0"/>
                    <w:bottom w:val="single" w:color="auto" w:sz="4" w:space="0"/>
                    <w:right w:val="single" w:color="auto" w:sz="4" w:space="0"/>
                  </w:tcBorders>
                  <w:vAlign w:val="center"/>
                </w:tcPr>
                <w:p w14:paraId="3257EB5F">
                  <w:pPr>
                    <w:spacing w:line="360" w:lineRule="auto"/>
                    <w:jc w:val="center"/>
                    <w:rPr>
                      <w:bCs/>
                      <w:color w:val="auto"/>
                      <w:szCs w:val="21"/>
                    </w:rPr>
                  </w:pPr>
                  <w:r>
                    <w:rPr>
                      <w:rFonts w:hint="eastAsia"/>
                      <w:bCs/>
                      <w:color w:val="auto"/>
                      <w:szCs w:val="21"/>
                    </w:rPr>
                    <w:t>名称</w:t>
                  </w:r>
                </w:p>
              </w:tc>
              <w:tc>
                <w:tcPr>
                  <w:tcW w:w="1147" w:type="pct"/>
                  <w:tcBorders>
                    <w:top w:val="single" w:color="auto" w:sz="4" w:space="0"/>
                    <w:left w:val="single" w:color="auto" w:sz="4" w:space="0"/>
                    <w:bottom w:val="single" w:color="auto" w:sz="4" w:space="0"/>
                    <w:right w:val="single" w:color="auto" w:sz="4" w:space="0"/>
                  </w:tcBorders>
                  <w:vAlign w:val="center"/>
                </w:tcPr>
                <w:p w14:paraId="54730A7F">
                  <w:pPr>
                    <w:spacing w:line="360" w:lineRule="auto"/>
                    <w:jc w:val="center"/>
                    <w:rPr>
                      <w:bCs/>
                      <w:color w:val="auto"/>
                      <w:szCs w:val="21"/>
                    </w:rPr>
                  </w:pPr>
                  <w:r>
                    <w:rPr>
                      <w:rFonts w:hint="eastAsia"/>
                      <w:bCs/>
                      <w:color w:val="auto"/>
                      <w:szCs w:val="21"/>
                    </w:rPr>
                    <w:t>浓度限值（</w:t>
                  </w:r>
                  <w:r>
                    <w:rPr>
                      <w:bCs/>
                      <w:color w:val="auto"/>
                      <w:szCs w:val="21"/>
                    </w:rPr>
                    <w:t>m/L</w:t>
                  </w:r>
                  <w:r>
                    <w:rPr>
                      <w:rFonts w:hint="eastAsia"/>
                      <w:bCs/>
                      <w:color w:val="auto"/>
                      <w:szCs w:val="21"/>
                    </w:rPr>
                    <w:t>）</w:t>
                  </w:r>
                </w:p>
              </w:tc>
            </w:tr>
            <w:tr w14:paraId="13B16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restart"/>
                  <w:tcBorders>
                    <w:top w:val="single" w:color="auto" w:sz="4" w:space="0"/>
                    <w:left w:val="single" w:color="auto" w:sz="4" w:space="0"/>
                    <w:right w:val="single" w:color="auto" w:sz="4" w:space="0"/>
                  </w:tcBorders>
                  <w:vAlign w:val="center"/>
                </w:tcPr>
                <w:p w14:paraId="18729B7C">
                  <w:pPr>
                    <w:spacing w:line="360" w:lineRule="auto"/>
                    <w:jc w:val="center"/>
                    <w:rPr>
                      <w:bCs/>
                      <w:color w:val="auto"/>
                      <w:szCs w:val="21"/>
                    </w:rPr>
                  </w:pPr>
                  <w:r>
                    <w:rPr>
                      <w:bCs/>
                      <w:color w:val="auto"/>
                      <w:szCs w:val="21"/>
                    </w:rPr>
                    <w:t>1</w:t>
                  </w:r>
                </w:p>
              </w:tc>
              <w:tc>
                <w:tcPr>
                  <w:tcW w:w="762" w:type="pct"/>
                  <w:vMerge w:val="restart"/>
                  <w:tcBorders>
                    <w:top w:val="single" w:color="auto" w:sz="4" w:space="0"/>
                    <w:left w:val="single" w:color="auto" w:sz="4" w:space="0"/>
                    <w:right w:val="single" w:color="auto" w:sz="4" w:space="0"/>
                  </w:tcBorders>
                  <w:vAlign w:val="center"/>
                </w:tcPr>
                <w:p w14:paraId="774FA181">
                  <w:pPr>
                    <w:spacing w:line="360" w:lineRule="auto"/>
                    <w:jc w:val="center"/>
                    <w:rPr>
                      <w:bCs/>
                      <w:color w:val="auto"/>
                      <w:szCs w:val="21"/>
                    </w:rPr>
                  </w:pPr>
                  <w:r>
                    <w:rPr>
                      <w:bCs/>
                      <w:color w:val="auto"/>
                      <w:szCs w:val="21"/>
                    </w:rPr>
                    <w:t>DW001</w:t>
                  </w:r>
                </w:p>
              </w:tc>
              <w:tc>
                <w:tcPr>
                  <w:tcW w:w="693" w:type="pct"/>
                  <w:tcBorders>
                    <w:top w:val="single" w:color="auto" w:sz="4" w:space="0"/>
                    <w:left w:val="single" w:color="auto" w:sz="4" w:space="0"/>
                    <w:bottom w:val="single" w:color="auto" w:sz="4" w:space="0"/>
                    <w:right w:val="single" w:color="auto" w:sz="4" w:space="0"/>
                  </w:tcBorders>
                  <w:vAlign w:val="center"/>
                </w:tcPr>
                <w:p w14:paraId="748CBCBA">
                  <w:pPr>
                    <w:widowControl/>
                    <w:spacing w:line="360" w:lineRule="auto"/>
                    <w:jc w:val="center"/>
                    <w:rPr>
                      <w:bCs/>
                      <w:color w:val="auto"/>
                      <w:szCs w:val="21"/>
                    </w:rPr>
                  </w:pPr>
                  <w:r>
                    <w:rPr>
                      <w:rFonts w:hint="eastAsia"/>
                      <w:color w:val="auto"/>
                      <w:lang w:val="en-US" w:eastAsia="zh-CN"/>
                    </w:rPr>
                    <w:t>pH</w:t>
                  </w:r>
                </w:p>
              </w:tc>
              <w:tc>
                <w:tcPr>
                  <w:tcW w:w="1895" w:type="pct"/>
                  <w:vMerge w:val="restart"/>
                  <w:tcBorders>
                    <w:top w:val="single" w:color="auto" w:sz="4" w:space="0"/>
                    <w:left w:val="single" w:color="auto" w:sz="4" w:space="0"/>
                    <w:right w:val="single" w:color="auto" w:sz="4" w:space="0"/>
                  </w:tcBorders>
                  <w:vAlign w:val="center"/>
                </w:tcPr>
                <w:p w14:paraId="76AB8980">
                  <w:pPr>
                    <w:spacing w:line="360" w:lineRule="auto"/>
                    <w:jc w:val="center"/>
                    <w:rPr>
                      <w:bCs/>
                      <w:color w:val="auto"/>
                      <w:szCs w:val="21"/>
                    </w:rPr>
                  </w:pPr>
                  <w:r>
                    <w:rPr>
                      <w:rFonts w:hint="eastAsia"/>
                      <w:color w:val="auto"/>
                      <w:szCs w:val="21"/>
                    </w:rPr>
                    <w:t>广东省《水污染物排放限值》(DB44/26-2001)第二时段三级标准</w:t>
                  </w:r>
                </w:p>
              </w:tc>
              <w:tc>
                <w:tcPr>
                  <w:tcW w:w="1147" w:type="pct"/>
                  <w:tcBorders>
                    <w:top w:val="single" w:color="auto" w:sz="4" w:space="0"/>
                    <w:left w:val="single" w:color="auto" w:sz="4" w:space="0"/>
                    <w:bottom w:val="single" w:color="auto" w:sz="4" w:space="0"/>
                    <w:right w:val="single" w:color="auto" w:sz="4" w:space="0"/>
                  </w:tcBorders>
                  <w:vAlign w:val="center"/>
                </w:tcPr>
                <w:p w14:paraId="6686FE29">
                  <w:pPr>
                    <w:spacing w:line="360" w:lineRule="auto"/>
                    <w:jc w:val="center"/>
                    <w:rPr>
                      <w:rFonts w:hint="eastAsia"/>
                      <w:bCs/>
                      <w:color w:val="auto"/>
                      <w:szCs w:val="21"/>
                    </w:rPr>
                  </w:pPr>
                  <w:r>
                    <w:rPr>
                      <w:rFonts w:hint="eastAsia" w:ascii="Times New Roman" w:hAnsi="Times New Roman" w:eastAsia="宋体" w:cs="Times New Roman"/>
                      <w:color w:val="auto"/>
                      <w:sz w:val="21"/>
                      <w:szCs w:val="21"/>
                      <w:highlight w:val="none"/>
                      <w:lang w:val="en-US" w:eastAsia="zh-CN"/>
                    </w:rPr>
                    <w:t>6-9</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无量纲</w:t>
                  </w:r>
                  <w:r>
                    <w:rPr>
                      <w:rFonts w:hint="eastAsia" w:ascii="Times New Roman" w:hAnsi="Times New Roman" w:eastAsia="宋体" w:cs="Times New Roman"/>
                      <w:color w:val="auto"/>
                      <w:sz w:val="21"/>
                      <w:szCs w:val="21"/>
                      <w:highlight w:val="none"/>
                      <w:lang w:eastAsia="zh-CN"/>
                    </w:rPr>
                    <w:t>）</w:t>
                  </w:r>
                </w:p>
              </w:tc>
            </w:tr>
            <w:tr w14:paraId="40684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left w:val="single" w:color="auto" w:sz="4" w:space="0"/>
                    <w:right w:val="single" w:color="auto" w:sz="4" w:space="0"/>
                  </w:tcBorders>
                  <w:vAlign w:val="center"/>
                </w:tcPr>
                <w:p w14:paraId="52538E4B">
                  <w:pPr>
                    <w:spacing w:line="360" w:lineRule="auto"/>
                    <w:jc w:val="center"/>
                    <w:rPr>
                      <w:bCs/>
                      <w:color w:val="auto"/>
                      <w:szCs w:val="21"/>
                    </w:rPr>
                  </w:pPr>
                </w:p>
              </w:tc>
              <w:tc>
                <w:tcPr>
                  <w:tcW w:w="762" w:type="pct"/>
                  <w:vMerge w:val="continue"/>
                  <w:tcBorders>
                    <w:left w:val="single" w:color="auto" w:sz="4" w:space="0"/>
                    <w:right w:val="single" w:color="auto" w:sz="4" w:space="0"/>
                  </w:tcBorders>
                  <w:vAlign w:val="center"/>
                </w:tcPr>
                <w:p w14:paraId="5655D479">
                  <w:pPr>
                    <w:spacing w:line="360" w:lineRule="auto"/>
                    <w:jc w:val="center"/>
                    <w:rPr>
                      <w:bCs/>
                      <w:color w:val="auto"/>
                      <w:szCs w:val="21"/>
                    </w:rPr>
                  </w:pPr>
                </w:p>
              </w:tc>
              <w:tc>
                <w:tcPr>
                  <w:tcW w:w="693" w:type="pct"/>
                  <w:tcBorders>
                    <w:top w:val="single" w:color="auto" w:sz="4" w:space="0"/>
                    <w:left w:val="single" w:color="auto" w:sz="4" w:space="0"/>
                    <w:bottom w:val="single" w:color="auto" w:sz="4" w:space="0"/>
                    <w:right w:val="single" w:color="auto" w:sz="4" w:space="0"/>
                  </w:tcBorders>
                  <w:vAlign w:val="center"/>
                </w:tcPr>
                <w:p w14:paraId="66B7F549">
                  <w:pPr>
                    <w:spacing w:line="360" w:lineRule="auto"/>
                    <w:jc w:val="center"/>
                    <w:rPr>
                      <w:bCs/>
                      <w:color w:val="auto"/>
                      <w:szCs w:val="21"/>
                    </w:rPr>
                  </w:pPr>
                  <w:r>
                    <w:rPr>
                      <w:color w:val="auto"/>
                      <w:kern w:val="0"/>
                      <w:szCs w:val="21"/>
                    </w:rPr>
                    <w:t>CODcr</w:t>
                  </w:r>
                </w:p>
              </w:tc>
              <w:tc>
                <w:tcPr>
                  <w:tcW w:w="1895" w:type="pct"/>
                  <w:vMerge w:val="continue"/>
                  <w:tcBorders>
                    <w:left w:val="single" w:color="auto" w:sz="4" w:space="0"/>
                    <w:right w:val="single" w:color="auto" w:sz="4" w:space="0"/>
                  </w:tcBorders>
                  <w:vAlign w:val="center"/>
                </w:tcPr>
                <w:p w14:paraId="21BFE067">
                  <w:pPr>
                    <w:spacing w:line="360" w:lineRule="auto"/>
                    <w:jc w:val="center"/>
                    <w:rPr>
                      <w:bCs/>
                      <w:color w:val="auto"/>
                      <w:szCs w:val="21"/>
                    </w:rPr>
                  </w:pPr>
                </w:p>
              </w:tc>
              <w:tc>
                <w:tcPr>
                  <w:tcW w:w="1147" w:type="pct"/>
                  <w:tcBorders>
                    <w:top w:val="single" w:color="auto" w:sz="4" w:space="0"/>
                    <w:left w:val="single" w:color="auto" w:sz="4" w:space="0"/>
                    <w:bottom w:val="single" w:color="auto" w:sz="4" w:space="0"/>
                    <w:right w:val="single" w:color="auto" w:sz="4" w:space="0"/>
                  </w:tcBorders>
                  <w:vAlign w:val="center"/>
                </w:tcPr>
                <w:p w14:paraId="18197961">
                  <w:pPr>
                    <w:pStyle w:val="70"/>
                    <w:spacing w:line="360" w:lineRule="auto"/>
                    <w:rPr>
                      <w:color w:val="auto"/>
                    </w:rPr>
                  </w:pPr>
                  <w:r>
                    <w:rPr>
                      <w:color w:val="auto"/>
                      <w:kern w:val="0"/>
                    </w:rPr>
                    <w:t>500</w:t>
                  </w:r>
                </w:p>
              </w:tc>
            </w:tr>
            <w:tr w14:paraId="6EF18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left w:val="single" w:color="auto" w:sz="4" w:space="0"/>
                    <w:right w:val="single" w:color="auto" w:sz="4" w:space="0"/>
                  </w:tcBorders>
                  <w:vAlign w:val="center"/>
                </w:tcPr>
                <w:p w14:paraId="5B221049">
                  <w:pPr>
                    <w:widowControl/>
                    <w:spacing w:line="360" w:lineRule="auto"/>
                    <w:jc w:val="center"/>
                    <w:rPr>
                      <w:bCs/>
                      <w:color w:val="auto"/>
                      <w:szCs w:val="21"/>
                    </w:rPr>
                  </w:pPr>
                </w:p>
              </w:tc>
              <w:tc>
                <w:tcPr>
                  <w:tcW w:w="762" w:type="pct"/>
                  <w:vMerge w:val="continue"/>
                  <w:tcBorders>
                    <w:left w:val="single" w:color="auto" w:sz="4" w:space="0"/>
                    <w:right w:val="single" w:color="auto" w:sz="4" w:space="0"/>
                  </w:tcBorders>
                  <w:vAlign w:val="center"/>
                </w:tcPr>
                <w:p w14:paraId="6D0C1ABB">
                  <w:pPr>
                    <w:widowControl/>
                    <w:spacing w:line="360" w:lineRule="auto"/>
                    <w:jc w:val="center"/>
                    <w:rPr>
                      <w:bCs/>
                      <w:color w:val="auto"/>
                      <w:szCs w:val="21"/>
                    </w:rPr>
                  </w:pPr>
                </w:p>
              </w:tc>
              <w:tc>
                <w:tcPr>
                  <w:tcW w:w="693" w:type="pct"/>
                  <w:tcBorders>
                    <w:top w:val="single" w:color="auto" w:sz="4" w:space="0"/>
                    <w:left w:val="single" w:color="auto" w:sz="4" w:space="0"/>
                    <w:bottom w:val="single" w:color="auto" w:sz="4" w:space="0"/>
                    <w:right w:val="single" w:color="auto" w:sz="4" w:space="0"/>
                  </w:tcBorders>
                  <w:vAlign w:val="center"/>
                </w:tcPr>
                <w:p w14:paraId="0D611472">
                  <w:pPr>
                    <w:spacing w:line="360" w:lineRule="auto"/>
                    <w:jc w:val="center"/>
                    <w:rPr>
                      <w:bCs/>
                      <w:color w:val="auto"/>
                      <w:szCs w:val="21"/>
                    </w:rPr>
                  </w:pPr>
                  <w:r>
                    <w:rPr>
                      <w:color w:val="auto"/>
                      <w:kern w:val="0"/>
                      <w:szCs w:val="21"/>
                    </w:rPr>
                    <w:t>BOD</w:t>
                  </w:r>
                  <w:r>
                    <w:rPr>
                      <w:color w:val="auto"/>
                      <w:kern w:val="0"/>
                      <w:szCs w:val="21"/>
                      <w:vertAlign w:val="subscript"/>
                    </w:rPr>
                    <w:t>5</w:t>
                  </w:r>
                </w:p>
              </w:tc>
              <w:tc>
                <w:tcPr>
                  <w:tcW w:w="1895" w:type="pct"/>
                  <w:vMerge w:val="continue"/>
                  <w:tcBorders>
                    <w:left w:val="single" w:color="auto" w:sz="4" w:space="0"/>
                    <w:right w:val="single" w:color="auto" w:sz="4" w:space="0"/>
                  </w:tcBorders>
                  <w:vAlign w:val="center"/>
                </w:tcPr>
                <w:p w14:paraId="3D8D84FA">
                  <w:pPr>
                    <w:widowControl/>
                    <w:spacing w:line="360" w:lineRule="auto"/>
                    <w:jc w:val="left"/>
                    <w:rPr>
                      <w:bCs/>
                      <w:color w:val="auto"/>
                      <w:szCs w:val="21"/>
                    </w:rPr>
                  </w:pPr>
                </w:p>
              </w:tc>
              <w:tc>
                <w:tcPr>
                  <w:tcW w:w="1147" w:type="pct"/>
                  <w:tcBorders>
                    <w:top w:val="single" w:color="auto" w:sz="4" w:space="0"/>
                    <w:left w:val="single" w:color="auto" w:sz="4" w:space="0"/>
                    <w:bottom w:val="single" w:color="auto" w:sz="4" w:space="0"/>
                    <w:right w:val="single" w:color="auto" w:sz="4" w:space="0"/>
                  </w:tcBorders>
                  <w:vAlign w:val="center"/>
                </w:tcPr>
                <w:p w14:paraId="05F2B16B">
                  <w:pPr>
                    <w:pStyle w:val="70"/>
                    <w:spacing w:line="360" w:lineRule="auto"/>
                    <w:rPr>
                      <w:color w:val="auto"/>
                    </w:rPr>
                  </w:pPr>
                  <w:r>
                    <w:rPr>
                      <w:color w:val="auto"/>
                      <w:kern w:val="0"/>
                    </w:rPr>
                    <w:t>300</w:t>
                  </w:r>
                </w:p>
              </w:tc>
            </w:tr>
            <w:tr w14:paraId="60112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left w:val="single" w:color="auto" w:sz="4" w:space="0"/>
                    <w:right w:val="single" w:color="auto" w:sz="4" w:space="0"/>
                  </w:tcBorders>
                  <w:vAlign w:val="center"/>
                </w:tcPr>
                <w:p w14:paraId="0B2E6808">
                  <w:pPr>
                    <w:widowControl/>
                    <w:spacing w:line="360" w:lineRule="auto"/>
                    <w:jc w:val="center"/>
                    <w:rPr>
                      <w:bCs/>
                      <w:color w:val="auto"/>
                      <w:szCs w:val="21"/>
                    </w:rPr>
                  </w:pPr>
                </w:p>
              </w:tc>
              <w:tc>
                <w:tcPr>
                  <w:tcW w:w="762" w:type="pct"/>
                  <w:vMerge w:val="continue"/>
                  <w:tcBorders>
                    <w:left w:val="single" w:color="auto" w:sz="4" w:space="0"/>
                    <w:right w:val="single" w:color="auto" w:sz="4" w:space="0"/>
                  </w:tcBorders>
                  <w:vAlign w:val="center"/>
                </w:tcPr>
                <w:p w14:paraId="7DDCA66B">
                  <w:pPr>
                    <w:widowControl/>
                    <w:spacing w:line="360" w:lineRule="auto"/>
                    <w:jc w:val="center"/>
                    <w:rPr>
                      <w:bCs/>
                      <w:color w:val="auto"/>
                      <w:szCs w:val="21"/>
                    </w:rPr>
                  </w:pPr>
                </w:p>
              </w:tc>
              <w:tc>
                <w:tcPr>
                  <w:tcW w:w="693" w:type="pct"/>
                  <w:tcBorders>
                    <w:top w:val="single" w:color="auto" w:sz="4" w:space="0"/>
                    <w:left w:val="single" w:color="auto" w:sz="4" w:space="0"/>
                    <w:bottom w:val="single" w:color="auto" w:sz="4" w:space="0"/>
                    <w:right w:val="single" w:color="auto" w:sz="4" w:space="0"/>
                  </w:tcBorders>
                  <w:vAlign w:val="center"/>
                </w:tcPr>
                <w:p w14:paraId="7DCCEE85">
                  <w:pPr>
                    <w:spacing w:line="360" w:lineRule="auto"/>
                    <w:jc w:val="center"/>
                    <w:rPr>
                      <w:bCs/>
                      <w:color w:val="auto"/>
                      <w:szCs w:val="21"/>
                    </w:rPr>
                  </w:pPr>
                  <w:r>
                    <w:rPr>
                      <w:color w:val="auto"/>
                      <w:kern w:val="0"/>
                      <w:szCs w:val="21"/>
                    </w:rPr>
                    <w:t>SS</w:t>
                  </w:r>
                </w:p>
              </w:tc>
              <w:tc>
                <w:tcPr>
                  <w:tcW w:w="1895" w:type="pct"/>
                  <w:vMerge w:val="continue"/>
                  <w:tcBorders>
                    <w:left w:val="single" w:color="auto" w:sz="4" w:space="0"/>
                    <w:right w:val="single" w:color="auto" w:sz="4" w:space="0"/>
                  </w:tcBorders>
                  <w:vAlign w:val="center"/>
                </w:tcPr>
                <w:p w14:paraId="052B31B2">
                  <w:pPr>
                    <w:widowControl/>
                    <w:spacing w:line="360" w:lineRule="auto"/>
                    <w:jc w:val="left"/>
                    <w:rPr>
                      <w:bCs/>
                      <w:color w:val="auto"/>
                      <w:szCs w:val="21"/>
                    </w:rPr>
                  </w:pPr>
                </w:p>
              </w:tc>
              <w:tc>
                <w:tcPr>
                  <w:tcW w:w="1147" w:type="pct"/>
                  <w:tcBorders>
                    <w:top w:val="single" w:color="auto" w:sz="4" w:space="0"/>
                    <w:left w:val="single" w:color="auto" w:sz="4" w:space="0"/>
                    <w:bottom w:val="single" w:color="auto" w:sz="4" w:space="0"/>
                    <w:right w:val="single" w:color="auto" w:sz="4" w:space="0"/>
                  </w:tcBorders>
                  <w:vAlign w:val="center"/>
                </w:tcPr>
                <w:p w14:paraId="3D8C0AC5">
                  <w:pPr>
                    <w:pStyle w:val="70"/>
                    <w:spacing w:line="360" w:lineRule="auto"/>
                    <w:rPr>
                      <w:color w:val="auto"/>
                    </w:rPr>
                  </w:pPr>
                  <w:r>
                    <w:rPr>
                      <w:color w:val="auto"/>
                      <w:kern w:val="0"/>
                    </w:rPr>
                    <w:t>400</w:t>
                  </w:r>
                </w:p>
              </w:tc>
            </w:tr>
            <w:tr w14:paraId="3EFAF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9" w:type="pct"/>
                  <w:vMerge w:val="continue"/>
                  <w:tcBorders>
                    <w:left w:val="single" w:color="auto" w:sz="4" w:space="0"/>
                    <w:bottom w:val="single" w:color="auto" w:sz="4" w:space="0"/>
                    <w:right w:val="single" w:color="auto" w:sz="4" w:space="0"/>
                  </w:tcBorders>
                  <w:vAlign w:val="center"/>
                </w:tcPr>
                <w:p w14:paraId="558EB967">
                  <w:pPr>
                    <w:widowControl/>
                    <w:spacing w:line="360" w:lineRule="auto"/>
                    <w:jc w:val="center"/>
                    <w:rPr>
                      <w:bCs/>
                      <w:color w:val="auto"/>
                      <w:szCs w:val="21"/>
                    </w:rPr>
                  </w:pPr>
                </w:p>
              </w:tc>
              <w:tc>
                <w:tcPr>
                  <w:tcW w:w="762" w:type="pct"/>
                  <w:vMerge w:val="continue"/>
                  <w:tcBorders>
                    <w:left w:val="single" w:color="auto" w:sz="4" w:space="0"/>
                    <w:bottom w:val="single" w:color="auto" w:sz="4" w:space="0"/>
                    <w:right w:val="single" w:color="auto" w:sz="4" w:space="0"/>
                  </w:tcBorders>
                  <w:vAlign w:val="center"/>
                </w:tcPr>
                <w:p w14:paraId="6F1D8209">
                  <w:pPr>
                    <w:widowControl/>
                    <w:spacing w:line="360" w:lineRule="auto"/>
                    <w:jc w:val="center"/>
                    <w:rPr>
                      <w:bCs/>
                      <w:color w:val="auto"/>
                      <w:szCs w:val="21"/>
                    </w:rPr>
                  </w:pPr>
                </w:p>
              </w:tc>
              <w:tc>
                <w:tcPr>
                  <w:tcW w:w="693" w:type="pct"/>
                  <w:tcBorders>
                    <w:top w:val="single" w:color="auto" w:sz="4" w:space="0"/>
                    <w:left w:val="single" w:color="auto" w:sz="4" w:space="0"/>
                    <w:bottom w:val="single" w:color="auto" w:sz="4" w:space="0"/>
                    <w:right w:val="single" w:color="auto" w:sz="4" w:space="0"/>
                  </w:tcBorders>
                  <w:vAlign w:val="center"/>
                </w:tcPr>
                <w:p w14:paraId="688B4054">
                  <w:pPr>
                    <w:spacing w:line="360" w:lineRule="auto"/>
                    <w:jc w:val="center"/>
                    <w:rPr>
                      <w:bCs/>
                      <w:color w:val="auto"/>
                      <w:szCs w:val="21"/>
                    </w:rPr>
                  </w:pPr>
                  <w:r>
                    <w:rPr>
                      <w:color w:val="auto"/>
                      <w:kern w:val="0"/>
                      <w:szCs w:val="21"/>
                    </w:rPr>
                    <w:t>NH</w:t>
                  </w:r>
                  <w:r>
                    <w:rPr>
                      <w:color w:val="auto"/>
                      <w:kern w:val="0"/>
                      <w:szCs w:val="21"/>
                      <w:vertAlign w:val="subscript"/>
                    </w:rPr>
                    <w:t>3</w:t>
                  </w:r>
                  <w:r>
                    <w:rPr>
                      <w:color w:val="auto"/>
                      <w:kern w:val="0"/>
                      <w:szCs w:val="21"/>
                    </w:rPr>
                    <w:t>-N</w:t>
                  </w:r>
                </w:p>
              </w:tc>
              <w:tc>
                <w:tcPr>
                  <w:tcW w:w="1895" w:type="pct"/>
                  <w:vMerge w:val="continue"/>
                  <w:tcBorders>
                    <w:left w:val="single" w:color="auto" w:sz="4" w:space="0"/>
                    <w:bottom w:val="single" w:color="auto" w:sz="4" w:space="0"/>
                    <w:right w:val="single" w:color="auto" w:sz="4" w:space="0"/>
                  </w:tcBorders>
                  <w:vAlign w:val="center"/>
                </w:tcPr>
                <w:p w14:paraId="6D3E34D3">
                  <w:pPr>
                    <w:widowControl/>
                    <w:spacing w:line="360" w:lineRule="auto"/>
                    <w:jc w:val="left"/>
                    <w:rPr>
                      <w:bCs/>
                      <w:color w:val="auto"/>
                      <w:szCs w:val="21"/>
                    </w:rPr>
                  </w:pPr>
                </w:p>
              </w:tc>
              <w:tc>
                <w:tcPr>
                  <w:tcW w:w="1147" w:type="pct"/>
                  <w:tcBorders>
                    <w:top w:val="single" w:color="auto" w:sz="4" w:space="0"/>
                    <w:left w:val="single" w:color="auto" w:sz="4" w:space="0"/>
                    <w:bottom w:val="single" w:color="auto" w:sz="4" w:space="0"/>
                    <w:right w:val="single" w:color="auto" w:sz="4" w:space="0"/>
                  </w:tcBorders>
                  <w:vAlign w:val="center"/>
                </w:tcPr>
                <w:p w14:paraId="4ECAFE11">
                  <w:pPr>
                    <w:pStyle w:val="70"/>
                    <w:spacing w:line="360" w:lineRule="auto"/>
                    <w:rPr>
                      <w:color w:val="auto"/>
                    </w:rPr>
                  </w:pPr>
                  <w:r>
                    <w:rPr>
                      <w:color w:val="auto"/>
                      <w:kern w:val="0"/>
                    </w:rPr>
                    <w:t>/</w:t>
                  </w:r>
                </w:p>
              </w:tc>
            </w:tr>
          </w:tbl>
          <w:p w14:paraId="60F29788">
            <w:pPr>
              <w:pStyle w:val="9"/>
              <w:spacing w:line="360" w:lineRule="auto"/>
              <w:ind w:left="630" w:leftChars="0" w:firstLineChars="0"/>
              <w:rPr>
                <w:color w:val="auto"/>
                <w:szCs w:val="21"/>
              </w:rPr>
            </w:pPr>
            <w:r>
              <w:rPr>
                <w:rFonts w:hint="eastAsia"/>
                <w:color w:val="auto"/>
                <w:szCs w:val="21"/>
              </w:rPr>
              <w:t>废水污染物排放信息表</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1580"/>
              <w:gridCol w:w="1042"/>
              <w:gridCol w:w="1550"/>
              <w:gridCol w:w="1195"/>
              <w:gridCol w:w="1318"/>
              <w:gridCol w:w="1193"/>
            </w:tblGrid>
            <w:tr w14:paraId="66CFC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Align w:val="center"/>
                </w:tcPr>
                <w:p w14:paraId="0FD2BDCB">
                  <w:pPr>
                    <w:widowControl/>
                    <w:spacing w:line="36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序号</w:t>
                  </w:r>
                </w:p>
              </w:tc>
              <w:tc>
                <w:tcPr>
                  <w:tcW w:w="940" w:type="pct"/>
                  <w:vAlign w:val="center"/>
                </w:tcPr>
                <w:p w14:paraId="60EB9EFA">
                  <w:pPr>
                    <w:widowControl/>
                    <w:spacing w:line="36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排放口编号</w:t>
                  </w:r>
                </w:p>
              </w:tc>
              <w:tc>
                <w:tcPr>
                  <w:tcW w:w="620" w:type="pct"/>
                  <w:vAlign w:val="center"/>
                </w:tcPr>
                <w:p w14:paraId="185E1738">
                  <w:pPr>
                    <w:widowControl/>
                    <w:spacing w:line="36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污染物种类</w:t>
                  </w:r>
                </w:p>
              </w:tc>
              <w:tc>
                <w:tcPr>
                  <w:tcW w:w="922" w:type="pct"/>
                  <w:vAlign w:val="center"/>
                </w:tcPr>
                <w:p w14:paraId="10607FFE">
                  <w:pPr>
                    <w:widowControl/>
                    <w:spacing w:line="36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产生浓度（mg/L）</w:t>
                  </w:r>
                </w:p>
              </w:tc>
              <w:tc>
                <w:tcPr>
                  <w:tcW w:w="711" w:type="pct"/>
                  <w:vAlign w:val="center"/>
                </w:tcPr>
                <w:p w14:paraId="0300BCAA">
                  <w:pPr>
                    <w:widowControl/>
                    <w:spacing w:line="36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bidi="ar"/>
                    </w:rPr>
                    <w:t>排放浓度（mg/L）</w:t>
                  </w:r>
                </w:p>
              </w:tc>
              <w:tc>
                <w:tcPr>
                  <w:tcW w:w="784" w:type="pct"/>
                  <w:vAlign w:val="center"/>
                </w:tcPr>
                <w:p w14:paraId="0CDB01A4">
                  <w:pPr>
                    <w:widowControl/>
                    <w:spacing w:line="36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val="en-US" w:eastAsia="zh-CN" w:bidi="ar"/>
                    </w:rPr>
                    <w:t>日</w:t>
                  </w:r>
                  <w:r>
                    <w:rPr>
                      <w:rFonts w:hint="default" w:ascii="Times New Roman" w:hAnsi="Times New Roman" w:eastAsia="宋体" w:cs="Times New Roman"/>
                      <w:b/>
                      <w:bCs/>
                      <w:color w:val="auto"/>
                      <w:kern w:val="0"/>
                      <w:szCs w:val="21"/>
                      <w:lang w:bidi="ar"/>
                    </w:rPr>
                    <w:t>排放量（t/</w:t>
                  </w:r>
                  <w:r>
                    <w:rPr>
                      <w:rFonts w:hint="default" w:ascii="Times New Roman" w:hAnsi="Times New Roman" w:eastAsia="宋体" w:cs="Times New Roman"/>
                      <w:b/>
                      <w:bCs/>
                      <w:color w:val="auto"/>
                      <w:kern w:val="0"/>
                      <w:szCs w:val="21"/>
                      <w:lang w:val="en-US" w:eastAsia="zh-CN" w:bidi="ar"/>
                    </w:rPr>
                    <w:t>d</w:t>
                  </w:r>
                  <w:r>
                    <w:rPr>
                      <w:rFonts w:hint="default" w:ascii="Times New Roman" w:hAnsi="Times New Roman" w:eastAsia="宋体" w:cs="Times New Roman"/>
                      <w:b/>
                      <w:bCs/>
                      <w:color w:val="auto"/>
                      <w:kern w:val="0"/>
                      <w:szCs w:val="21"/>
                      <w:lang w:bidi="ar"/>
                    </w:rPr>
                    <w:t>）</w:t>
                  </w:r>
                </w:p>
              </w:tc>
              <w:tc>
                <w:tcPr>
                  <w:tcW w:w="709" w:type="pct"/>
                  <w:vAlign w:val="center"/>
                </w:tcPr>
                <w:p w14:paraId="351A229B">
                  <w:pPr>
                    <w:widowControl/>
                    <w:spacing w:line="360" w:lineRule="auto"/>
                    <w:jc w:val="center"/>
                    <w:textAlignment w:val="center"/>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
                      <w:bCs/>
                      <w:color w:val="auto"/>
                      <w:kern w:val="0"/>
                      <w:szCs w:val="21"/>
                      <w:lang w:val="en-US" w:eastAsia="zh-CN" w:bidi="ar"/>
                    </w:rPr>
                    <w:t>年</w:t>
                  </w:r>
                  <w:r>
                    <w:rPr>
                      <w:rFonts w:hint="default" w:ascii="Times New Roman" w:hAnsi="Times New Roman" w:eastAsia="宋体" w:cs="Times New Roman"/>
                      <w:b/>
                      <w:bCs/>
                      <w:color w:val="auto"/>
                      <w:kern w:val="0"/>
                      <w:szCs w:val="21"/>
                      <w:lang w:bidi="ar"/>
                    </w:rPr>
                    <w:t>排放量（t/a）</w:t>
                  </w:r>
                </w:p>
              </w:tc>
            </w:tr>
            <w:tr w14:paraId="73342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restart"/>
                  <w:vAlign w:val="center"/>
                </w:tcPr>
                <w:p w14:paraId="2B55A806">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1</w:t>
                  </w:r>
                </w:p>
              </w:tc>
              <w:tc>
                <w:tcPr>
                  <w:tcW w:w="940" w:type="pct"/>
                  <w:vMerge w:val="restart"/>
                  <w:vAlign w:val="center"/>
                </w:tcPr>
                <w:p w14:paraId="5FB928A3">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DW001（生活污水）</w:t>
                  </w:r>
                </w:p>
              </w:tc>
              <w:tc>
                <w:tcPr>
                  <w:tcW w:w="620" w:type="pct"/>
                  <w:vAlign w:val="center"/>
                </w:tcPr>
                <w:p w14:paraId="0E994A62">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lang w:val="en-US" w:eastAsia="zh-CN"/>
                    </w:rPr>
                    <w:t>pH</w:t>
                  </w:r>
                </w:p>
              </w:tc>
              <w:tc>
                <w:tcPr>
                  <w:tcW w:w="922" w:type="pct"/>
                  <w:vAlign w:val="center"/>
                </w:tcPr>
                <w:p w14:paraId="23B99FF2">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sz w:val="21"/>
                      <w:szCs w:val="21"/>
                      <w:highlight w:val="none"/>
                      <w:lang w:val="en-US" w:eastAsia="zh-CN"/>
                    </w:rPr>
                    <w:t>6-9</w:t>
                  </w:r>
                </w:p>
              </w:tc>
              <w:tc>
                <w:tcPr>
                  <w:tcW w:w="711" w:type="pct"/>
                  <w:vAlign w:val="center"/>
                </w:tcPr>
                <w:p w14:paraId="36A2CBF5">
                  <w:pPr>
                    <w:widowControl/>
                    <w:spacing w:line="360" w:lineRule="auto"/>
                    <w:jc w:val="center"/>
                    <w:textAlignment w:val="center"/>
                    <w:rPr>
                      <w:rFonts w:hint="default" w:ascii="Times New Roman" w:hAnsi="Times New Roman" w:eastAsia="宋体" w:cs="Times New Roman"/>
                      <w:color w:val="auto"/>
                      <w:kern w:val="0"/>
                      <w:szCs w:val="21"/>
                      <w:lang w:eastAsia="zh-CN" w:bidi="ar"/>
                    </w:rPr>
                  </w:pPr>
                  <w:r>
                    <w:rPr>
                      <w:rFonts w:hint="default" w:ascii="Times New Roman" w:hAnsi="Times New Roman" w:eastAsia="宋体" w:cs="Times New Roman"/>
                      <w:color w:val="auto"/>
                      <w:sz w:val="21"/>
                      <w:szCs w:val="21"/>
                      <w:highlight w:val="none"/>
                      <w:lang w:val="en-US" w:eastAsia="zh-CN"/>
                    </w:rPr>
                    <w:t>6-9</w:t>
                  </w:r>
                </w:p>
              </w:tc>
              <w:tc>
                <w:tcPr>
                  <w:tcW w:w="784" w:type="pct"/>
                  <w:vAlign w:val="center"/>
                </w:tcPr>
                <w:p w14:paraId="4F3274F4">
                  <w:pPr>
                    <w:widowControl/>
                    <w:spacing w:line="360" w:lineRule="auto"/>
                    <w:jc w:val="center"/>
                    <w:textAlignment w:val="center"/>
                    <w:rPr>
                      <w:rFonts w:hint="eastAsia" w:ascii="Times New Roman" w:hAnsi="Times New Roman" w:eastAsia="宋体" w:cs="Times New Roman"/>
                      <w:color w:val="auto"/>
                      <w:kern w:val="0"/>
                      <w:szCs w:val="21"/>
                      <w:lang w:val="en-US" w:eastAsia="zh-CN" w:bidi="ar"/>
                    </w:rPr>
                  </w:pPr>
                  <w:r>
                    <w:rPr>
                      <w:rFonts w:hint="eastAsia" w:ascii="Times New Roman" w:hAnsi="Times New Roman" w:eastAsia="宋体" w:cs="Times New Roman"/>
                      <w:color w:val="auto"/>
                      <w:kern w:val="0"/>
                      <w:szCs w:val="21"/>
                      <w:lang w:val="en-US" w:eastAsia="zh-CN" w:bidi="ar"/>
                    </w:rPr>
                    <w:t>/</w:t>
                  </w:r>
                </w:p>
              </w:tc>
              <w:tc>
                <w:tcPr>
                  <w:tcW w:w="709" w:type="pct"/>
                  <w:vAlign w:val="center"/>
                </w:tcPr>
                <w:p w14:paraId="5BA30915">
                  <w:pPr>
                    <w:widowControl/>
                    <w:spacing w:line="360" w:lineRule="auto"/>
                    <w:jc w:val="center"/>
                    <w:textAlignment w:val="center"/>
                    <w:rPr>
                      <w:rFonts w:hint="default" w:ascii="Times New Roman" w:hAnsi="Times New Roman" w:eastAsia="宋体" w:cs="Times New Roman"/>
                      <w:color w:val="auto"/>
                      <w:kern w:val="0"/>
                      <w:szCs w:val="21"/>
                      <w:lang w:val="en-US" w:eastAsia="zh-CN" w:bidi="ar"/>
                    </w:rPr>
                  </w:pPr>
                  <w:r>
                    <w:rPr>
                      <w:rFonts w:hint="default" w:ascii="Times New Roman" w:hAnsi="Times New Roman" w:eastAsia="宋体" w:cs="Times New Roman"/>
                      <w:color w:val="auto"/>
                      <w:kern w:val="0"/>
                      <w:szCs w:val="21"/>
                      <w:lang w:val="en-US" w:eastAsia="zh-CN" w:bidi="ar"/>
                    </w:rPr>
                    <w:t>/</w:t>
                  </w:r>
                </w:p>
              </w:tc>
            </w:tr>
            <w:tr w14:paraId="3A70C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continue"/>
                  <w:vAlign w:val="center"/>
                </w:tcPr>
                <w:p w14:paraId="22B539AC">
                  <w:pPr>
                    <w:widowControl/>
                    <w:spacing w:line="360" w:lineRule="auto"/>
                    <w:jc w:val="center"/>
                    <w:textAlignment w:val="center"/>
                    <w:rPr>
                      <w:rFonts w:hint="default" w:ascii="Times New Roman" w:hAnsi="Times New Roman" w:eastAsia="宋体" w:cs="Times New Roman"/>
                      <w:color w:val="auto"/>
                    </w:rPr>
                  </w:pPr>
                </w:p>
              </w:tc>
              <w:tc>
                <w:tcPr>
                  <w:tcW w:w="940" w:type="pct"/>
                  <w:vMerge w:val="continue"/>
                  <w:vAlign w:val="center"/>
                </w:tcPr>
                <w:p w14:paraId="004FB065">
                  <w:pPr>
                    <w:widowControl/>
                    <w:spacing w:line="360" w:lineRule="auto"/>
                    <w:jc w:val="center"/>
                    <w:textAlignment w:val="center"/>
                    <w:rPr>
                      <w:rFonts w:hint="default" w:ascii="Times New Roman" w:hAnsi="Times New Roman" w:eastAsia="宋体" w:cs="Times New Roman"/>
                      <w:color w:val="auto"/>
                    </w:rPr>
                  </w:pPr>
                </w:p>
              </w:tc>
              <w:tc>
                <w:tcPr>
                  <w:tcW w:w="620" w:type="pct"/>
                  <w:vAlign w:val="center"/>
                </w:tcPr>
                <w:p w14:paraId="1D12547C">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CODcr</w:t>
                  </w:r>
                </w:p>
              </w:tc>
              <w:tc>
                <w:tcPr>
                  <w:tcW w:w="922" w:type="pct"/>
                  <w:vAlign w:val="center"/>
                </w:tcPr>
                <w:p w14:paraId="656E56DD">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val="en-US" w:eastAsia="zh-CN" w:bidi="ar"/>
                    </w:rPr>
                    <w:t>30</w:t>
                  </w:r>
                  <w:r>
                    <w:rPr>
                      <w:rFonts w:hint="default" w:ascii="Times New Roman" w:hAnsi="Times New Roman" w:eastAsia="宋体" w:cs="Times New Roman"/>
                      <w:color w:val="auto"/>
                      <w:kern w:val="0"/>
                      <w:szCs w:val="21"/>
                      <w:lang w:bidi="ar"/>
                    </w:rPr>
                    <w:t>0</w:t>
                  </w:r>
                </w:p>
              </w:tc>
              <w:tc>
                <w:tcPr>
                  <w:tcW w:w="711" w:type="pct"/>
                  <w:vAlign w:val="center"/>
                </w:tcPr>
                <w:p w14:paraId="194EBA3D">
                  <w:pPr>
                    <w:widowControl/>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lang w:val="en-US" w:eastAsia="zh-CN" w:bidi="ar"/>
                    </w:rPr>
                    <w:t>2</w:t>
                  </w:r>
                  <w:r>
                    <w:rPr>
                      <w:rFonts w:hint="default" w:ascii="Times New Roman" w:hAnsi="Times New Roman" w:eastAsia="宋体" w:cs="Times New Roman"/>
                      <w:color w:val="auto"/>
                      <w:kern w:val="0"/>
                      <w:szCs w:val="21"/>
                      <w:lang w:bidi="ar"/>
                    </w:rPr>
                    <w:t>50</w:t>
                  </w:r>
                </w:p>
              </w:tc>
              <w:tc>
                <w:tcPr>
                  <w:tcW w:w="784" w:type="pct"/>
                  <w:vAlign w:val="center"/>
                </w:tcPr>
                <w:p w14:paraId="2F85955B">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i w:val="0"/>
                      <w:iCs w:val="0"/>
                      <w:color w:val="auto"/>
                      <w:kern w:val="0"/>
                      <w:sz w:val="22"/>
                      <w:szCs w:val="22"/>
                      <w:u w:val="none"/>
                      <w:lang w:val="en-US" w:eastAsia="zh-CN" w:bidi="ar"/>
                    </w:rPr>
                    <w:t>0.00015</w:t>
                  </w:r>
                </w:p>
              </w:tc>
              <w:tc>
                <w:tcPr>
                  <w:tcW w:w="709" w:type="pct"/>
                  <w:vAlign w:val="center"/>
                </w:tcPr>
                <w:p w14:paraId="721DB63F">
                  <w:pPr>
                    <w:keepNext w:val="0"/>
                    <w:keepLines w:val="0"/>
                    <w:widowControl/>
                    <w:suppressLineNumbers w:val="0"/>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2"/>
                      <w:szCs w:val="22"/>
                      <w:u w:val="none"/>
                      <w:lang w:val="en-US" w:eastAsia="zh-CN" w:bidi="ar"/>
                    </w:rPr>
                    <w:t>0.045</w:t>
                  </w:r>
                </w:p>
              </w:tc>
            </w:tr>
            <w:tr w14:paraId="37D1C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continue"/>
                  <w:vAlign w:val="center"/>
                </w:tcPr>
                <w:p w14:paraId="01FA1BF4">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940" w:type="pct"/>
                  <w:vMerge w:val="continue"/>
                  <w:vAlign w:val="center"/>
                </w:tcPr>
                <w:p w14:paraId="3DE01F6B">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620" w:type="pct"/>
                  <w:vAlign w:val="center"/>
                </w:tcPr>
                <w:p w14:paraId="6222CC49">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BOD</w:t>
                  </w:r>
                  <w:r>
                    <w:rPr>
                      <w:rFonts w:hint="default" w:ascii="Times New Roman" w:hAnsi="Times New Roman" w:eastAsia="宋体" w:cs="Times New Roman"/>
                      <w:color w:val="auto"/>
                      <w:kern w:val="0"/>
                      <w:szCs w:val="21"/>
                      <w:vertAlign w:val="subscript"/>
                      <w:lang w:bidi="ar"/>
                    </w:rPr>
                    <w:t>5</w:t>
                  </w:r>
                </w:p>
              </w:tc>
              <w:tc>
                <w:tcPr>
                  <w:tcW w:w="922" w:type="pct"/>
                  <w:vAlign w:val="center"/>
                </w:tcPr>
                <w:p w14:paraId="35FD3EA8">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200</w:t>
                  </w:r>
                </w:p>
              </w:tc>
              <w:tc>
                <w:tcPr>
                  <w:tcW w:w="711" w:type="pct"/>
                  <w:vAlign w:val="center"/>
                </w:tcPr>
                <w:p w14:paraId="64BF1D7E">
                  <w:pPr>
                    <w:widowControl/>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lang w:val="en-US" w:eastAsia="zh-CN" w:bidi="ar"/>
                    </w:rPr>
                    <w:t>15</w:t>
                  </w:r>
                  <w:r>
                    <w:rPr>
                      <w:rFonts w:hint="default" w:ascii="Times New Roman" w:hAnsi="Times New Roman" w:eastAsia="宋体" w:cs="Times New Roman"/>
                      <w:color w:val="auto"/>
                      <w:kern w:val="0"/>
                      <w:szCs w:val="21"/>
                      <w:lang w:bidi="ar"/>
                    </w:rPr>
                    <w:t>0</w:t>
                  </w:r>
                </w:p>
              </w:tc>
              <w:tc>
                <w:tcPr>
                  <w:tcW w:w="784" w:type="pct"/>
                  <w:vAlign w:val="center"/>
                </w:tcPr>
                <w:p w14:paraId="2E821C2C">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i w:val="0"/>
                      <w:iCs w:val="0"/>
                      <w:color w:val="auto"/>
                      <w:kern w:val="0"/>
                      <w:sz w:val="22"/>
                      <w:szCs w:val="22"/>
                      <w:u w:val="none"/>
                      <w:lang w:val="en-US" w:eastAsia="zh-CN" w:bidi="ar"/>
                    </w:rPr>
                    <w:t>0.00009</w:t>
                  </w:r>
                </w:p>
              </w:tc>
              <w:tc>
                <w:tcPr>
                  <w:tcW w:w="709" w:type="pct"/>
                  <w:vAlign w:val="center"/>
                </w:tcPr>
                <w:p w14:paraId="642E8924">
                  <w:pPr>
                    <w:keepNext w:val="0"/>
                    <w:keepLines w:val="0"/>
                    <w:widowControl/>
                    <w:suppressLineNumbers w:val="0"/>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2"/>
                      <w:szCs w:val="22"/>
                      <w:u w:val="none"/>
                      <w:lang w:val="en-US" w:eastAsia="zh-CN" w:bidi="ar"/>
                    </w:rPr>
                    <w:t>0.027</w:t>
                  </w:r>
                </w:p>
              </w:tc>
            </w:tr>
            <w:tr w14:paraId="25E9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continue"/>
                  <w:vAlign w:val="center"/>
                </w:tcPr>
                <w:p w14:paraId="0F2E87AE">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940" w:type="pct"/>
                  <w:vMerge w:val="continue"/>
                  <w:vAlign w:val="center"/>
                </w:tcPr>
                <w:p w14:paraId="038235D0">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620" w:type="pct"/>
                  <w:vAlign w:val="center"/>
                </w:tcPr>
                <w:p w14:paraId="05413C4B">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SS</w:t>
                  </w:r>
                </w:p>
              </w:tc>
              <w:tc>
                <w:tcPr>
                  <w:tcW w:w="922" w:type="pct"/>
                  <w:vAlign w:val="center"/>
                </w:tcPr>
                <w:p w14:paraId="33F4BFF8">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250</w:t>
                  </w:r>
                </w:p>
              </w:tc>
              <w:tc>
                <w:tcPr>
                  <w:tcW w:w="711" w:type="pct"/>
                  <w:vAlign w:val="center"/>
                </w:tcPr>
                <w:p w14:paraId="4B3131F5">
                  <w:pPr>
                    <w:widowControl/>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lang w:val="en-US" w:eastAsia="zh-CN" w:bidi="ar"/>
                    </w:rPr>
                    <w:t>1</w:t>
                  </w:r>
                  <w:r>
                    <w:rPr>
                      <w:rFonts w:hint="default" w:ascii="Times New Roman" w:hAnsi="Times New Roman" w:eastAsia="宋体" w:cs="Times New Roman"/>
                      <w:color w:val="auto"/>
                      <w:kern w:val="0"/>
                      <w:szCs w:val="21"/>
                      <w:lang w:bidi="ar"/>
                    </w:rPr>
                    <w:t>50</w:t>
                  </w:r>
                </w:p>
              </w:tc>
              <w:tc>
                <w:tcPr>
                  <w:tcW w:w="784" w:type="pct"/>
                  <w:vAlign w:val="center"/>
                </w:tcPr>
                <w:p w14:paraId="3558E09E">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i w:val="0"/>
                      <w:iCs w:val="0"/>
                      <w:color w:val="auto"/>
                      <w:kern w:val="0"/>
                      <w:sz w:val="22"/>
                      <w:szCs w:val="22"/>
                      <w:u w:val="none"/>
                      <w:lang w:val="en-US" w:eastAsia="zh-CN" w:bidi="ar"/>
                    </w:rPr>
                    <w:t>0.00009</w:t>
                  </w:r>
                </w:p>
              </w:tc>
              <w:tc>
                <w:tcPr>
                  <w:tcW w:w="709" w:type="pct"/>
                  <w:vAlign w:val="center"/>
                </w:tcPr>
                <w:p w14:paraId="3C4C19DE">
                  <w:pPr>
                    <w:keepNext w:val="0"/>
                    <w:keepLines w:val="0"/>
                    <w:widowControl/>
                    <w:suppressLineNumbers w:val="0"/>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2"/>
                      <w:szCs w:val="22"/>
                      <w:u w:val="none"/>
                      <w:lang w:val="en-US" w:eastAsia="zh-CN" w:bidi="ar"/>
                    </w:rPr>
                    <w:t>0.027</w:t>
                  </w:r>
                </w:p>
              </w:tc>
            </w:tr>
            <w:tr w14:paraId="1C10F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2" w:type="pct"/>
                  <w:vMerge w:val="continue"/>
                  <w:vAlign w:val="center"/>
                </w:tcPr>
                <w:p w14:paraId="3E365D8F">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940" w:type="pct"/>
                  <w:vMerge w:val="continue"/>
                  <w:vAlign w:val="center"/>
                </w:tcPr>
                <w:p w14:paraId="6B7E0E5A">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620" w:type="pct"/>
                  <w:vAlign w:val="center"/>
                </w:tcPr>
                <w:p w14:paraId="302ACC10">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NH</w:t>
                  </w:r>
                  <w:r>
                    <w:rPr>
                      <w:rFonts w:hint="default" w:ascii="Times New Roman" w:hAnsi="Times New Roman" w:eastAsia="宋体" w:cs="Times New Roman"/>
                      <w:color w:val="auto"/>
                      <w:kern w:val="0"/>
                      <w:szCs w:val="21"/>
                      <w:vertAlign w:val="subscript"/>
                      <w:lang w:bidi="ar"/>
                    </w:rPr>
                    <w:t>3</w:t>
                  </w:r>
                  <w:r>
                    <w:rPr>
                      <w:rFonts w:hint="default" w:ascii="Times New Roman" w:hAnsi="Times New Roman" w:eastAsia="宋体" w:cs="Times New Roman"/>
                      <w:color w:val="auto"/>
                      <w:kern w:val="0"/>
                      <w:szCs w:val="21"/>
                      <w:lang w:bidi="ar"/>
                    </w:rPr>
                    <w:t>-N</w:t>
                  </w:r>
                </w:p>
              </w:tc>
              <w:tc>
                <w:tcPr>
                  <w:tcW w:w="922" w:type="pct"/>
                  <w:vAlign w:val="center"/>
                </w:tcPr>
                <w:p w14:paraId="06035D75">
                  <w:pPr>
                    <w:widowControl/>
                    <w:spacing w:line="360" w:lineRule="auto"/>
                    <w:jc w:val="center"/>
                    <w:textAlignment w:val="center"/>
                    <w:rPr>
                      <w:rFonts w:hint="default" w:ascii="Times New Roman" w:hAnsi="Times New Roman" w:eastAsia="宋体" w:cs="Times New Roman"/>
                      <w:color w:val="auto"/>
                      <w:kern w:val="0"/>
                      <w:szCs w:val="21"/>
                      <w:lang w:val="en-US" w:eastAsia="zh-CN" w:bidi="ar"/>
                    </w:rPr>
                  </w:pPr>
                  <w:r>
                    <w:rPr>
                      <w:rFonts w:hint="default" w:ascii="Times New Roman" w:hAnsi="Times New Roman" w:eastAsia="宋体" w:cs="Times New Roman"/>
                      <w:color w:val="auto"/>
                      <w:kern w:val="0"/>
                      <w:szCs w:val="21"/>
                      <w:lang w:val="en-US" w:eastAsia="zh-CN" w:bidi="ar"/>
                    </w:rPr>
                    <w:t>30</w:t>
                  </w:r>
                </w:p>
              </w:tc>
              <w:tc>
                <w:tcPr>
                  <w:tcW w:w="711" w:type="pct"/>
                  <w:vAlign w:val="center"/>
                </w:tcPr>
                <w:p w14:paraId="027D588B">
                  <w:pPr>
                    <w:widowControl/>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lang w:bidi="ar"/>
                    </w:rPr>
                    <w:t>25</w:t>
                  </w:r>
                </w:p>
              </w:tc>
              <w:tc>
                <w:tcPr>
                  <w:tcW w:w="784" w:type="pct"/>
                  <w:vAlign w:val="center"/>
                </w:tcPr>
                <w:p w14:paraId="53AE3917">
                  <w:pPr>
                    <w:keepNext w:val="0"/>
                    <w:keepLines w:val="0"/>
                    <w:widowControl/>
                    <w:suppressLineNumbers w:val="0"/>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i w:val="0"/>
                      <w:iCs w:val="0"/>
                      <w:color w:val="auto"/>
                      <w:kern w:val="0"/>
                      <w:sz w:val="22"/>
                      <w:szCs w:val="22"/>
                      <w:u w:val="none"/>
                      <w:lang w:val="en-US" w:eastAsia="zh-CN" w:bidi="ar"/>
                    </w:rPr>
                    <w:t>0.000015</w:t>
                  </w:r>
                </w:p>
              </w:tc>
              <w:tc>
                <w:tcPr>
                  <w:tcW w:w="709" w:type="pct"/>
                  <w:vAlign w:val="center"/>
                </w:tcPr>
                <w:p w14:paraId="1FD3BA36">
                  <w:pPr>
                    <w:keepNext w:val="0"/>
                    <w:keepLines w:val="0"/>
                    <w:widowControl/>
                    <w:suppressLineNumbers w:val="0"/>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2"/>
                      <w:szCs w:val="22"/>
                      <w:u w:val="none"/>
                      <w:lang w:val="en-US" w:eastAsia="zh-CN" w:bidi="ar"/>
                    </w:rPr>
                    <w:t>0.0045</w:t>
                  </w:r>
                </w:p>
              </w:tc>
            </w:tr>
            <w:tr w14:paraId="0498F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2" w:type="pct"/>
                  <w:gridSpan w:val="2"/>
                  <w:vMerge w:val="restart"/>
                  <w:vAlign w:val="center"/>
                </w:tcPr>
                <w:p w14:paraId="3D06B7CE">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全厂排放口合计</w:t>
                  </w:r>
                </w:p>
              </w:tc>
              <w:tc>
                <w:tcPr>
                  <w:tcW w:w="3037" w:type="pct"/>
                  <w:gridSpan w:val="4"/>
                  <w:vAlign w:val="center"/>
                </w:tcPr>
                <w:p w14:paraId="3E32E770">
                  <w:pPr>
                    <w:widowControl/>
                    <w:spacing w:line="360" w:lineRule="auto"/>
                    <w:jc w:val="center"/>
                    <w:textAlignment w:val="center"/>
                    <w:rPr>
                      <w:rFonts w:hint="default" w:ascii="Times New Roman" w:hAnsi="Times New Roman" w:eastAsia="宋体" w:cs="Times New Roman"/>
                      <w:color w:val="auto"/>
                      <w:kern w:val="0"/>
                      <w:szCs w:val="21"/>
                      <w:lang w:val="en-US" w:eastAsia="zh-CN" w:bidi="ar"/>
                    </w:rPr>
                  </w:pPr>
                  <w:r>
                    <w:rPr>
                      <w:rFonts w:hint="default" w:ascii="Times New Roman" w:hAnsi="Times New Roman" w:eastAsia="宋体" w:cs="Times New Roman"/>
                      <w:color w:val="auto"/>
                      <w:kern w:val="0"/>
                      <w:szCs w:val="21"/>
                      <w:lang w:val="en-US" w:eastAsia="zh-CN" w:bidi="ar"/>
                    </w:rPr>
                    <w:t>pH</w:t>
                  </w:r>
                </w:p>
              </w:tc>
              <w:tc>
                <w:tcPr>
                  <w:tcW w:w="709" w:type="pct"/>
                  <w:vAlign w:val="center"/>
                </w:tcPr>
                <w:p w14:paraId="44BFC93F">
                  <w:pPr>
                    <w:keepNext w:val="0"/>
                    <w:keepLines w:val="0"/>
                    <w:widowControl/>
                    <w:suppressLineNumbers w:val="0"/>
                    <w:spacing w:line="360" w:lineRule="auto"/>
                    <w:jc w:val="center"/>
                    <w:textAlignment w:val="center"/>
                    <w:rPr>
                      <w:rFonts w:hint="default" w:ascii="Times New Roman" w:hAnsi="Times New Roman" w:eastAsia="宋体" w:cs="Times New Roman"/>
                      <w:i w:val="0"/>
                      <w:iCs w:val="0"/>
                      <w:color w:val="auto"/>
                      <w:kern w:val="0"/>
                      <w:sz w:val="22"/>
                      <w:szCs w:val="22"/>
                      <w:u w:val="none"/>
                      <w:lang w:val="en-US" w:eastAsia="zh-CN" w:bidi="ar"/>
                    </w:rPr>
                  </w:pPr>
                  <w:r>
                    <w:rPr>
                      <w:rFonts w:hint="eastAsia" w:ascii="Times New Roman" w:hAnsi="Times New Roman" w:eastAsia="宋体" w:cs="Times New Roman"/>
                      <w:i w:val="0"/>
                      <w:iCs w:val="0"/>
                      <w:color w:val="auto"/>
                      <w:kern w:val="0"/>
                      <w:sz w:val="22"/>
                      <w:szCs w:val="22"/>
                      <w:u w:val="none"/>
                      <w:lang w:val="en-US" w:eastAsia="zh-CN" w:bidi="ar"/>
                    </w:rPr>
                    <w:t>/</w:t>
                  </w:r>
                </w:p>
              </w:tc>
            </w:tr>
            <w:tr w14:paraId="6F9F0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2" w:type="pct"/>
                  <w:gridSpan w:val="2"/>
                  <w:vMerge w:val="continue"/>
                  <w:vAlign w:val="center"/>
                </w:tcPr>
                <w:p w14:paraId="62F822C0">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3037" w:type="pct"/>
                  <w:gridSpan w:val="4"/>
                  <w:vAlign w:val="center"/>
                </w:tcPr>
                <w:p w14:paraId="728B21D6">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CODcr</w:t>
                  </w:r>
                </w:p>
              </w:tc>
              <w:tc>
                <w:tcPr>
                  <w:tcW w:w="709" w:type="pct"/>
                  <w:vAlign w:val="center"/>
                </w:tcPr>
                <w:p w14:paraId="3CAB457B">
                  <w:pPr>
                    <w:keepNext w:val="0"/>
                    <w:keepLines w:val="0"/>
                    <w:widowControl/>
                    <w:suppressLineNumbers w:val="0"/>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2"/>
                      <w:szCs w:val="22"/>
                      <w:u w:val="none"/>
                      <w:lang w:val="en-US" w:eastAsia="zh-CN" w:bidi="ar"/>
                    </w:rPr>
                    <w:t>0.045</w:t>
                  </w:r>
                </w:p>
              </w:tc>
            </w:tr>
            <w:tr w14:paraId="198F0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2" w:type="pct"/>
                  <w:gridSpan w:val="2"/>
                  <w:vMerge w:val="continue"/>
                  <w:vAlign w:val="center"/>
                </w:tcPr>
                <w:p w14:paraId="78D9AD9D">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3037" w:type="pct"/>
                  <w:gridSpan w:val="4"/>
                  <w:vAlign w:val="center"/>
                </w:tcPr>
                <w:p w14:paraId="07DE0800">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BOD</w:t>
                  </w:r>
                  <w:r>
                    <w:rPr>
                      <w:rFonts w:hint="default" w:ascii="Times New Roman" w:hAnsi="Times New Roman" w:eastAsia="宋体" w:cs="Times New Roman"/>
                      <w:color w:val="auto"/>
                      <w:kern w:val="0"/>
                      <w:szCs w:val="21"/>
                      <w:vertAlign w:val="subscript"/>
                      <w:lang w:bidi="ar"/>
                    </w:rPr>
                    <w:t>5</w:t>
                  </w:r>
                </w:p>
              </w:tc>
              <w:tc>
                <w:tcPr>
                  <w:tcW w:w="709" w:type="pct"/>
                  <w:vAlign w:val="center"/>
                </w:tcPr>
                <w:p w14:paraId="18996164">
                  <w:pPr>
                    <w:keepNext w:val="0"/>
                    <w:keepLines w:val="0"/>
                    <w:widowControl/>
                    <w:suppressLineNumbers w:val="0"/>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2"/>
                      <w:szCs w:val="22"/>
                      <w:u w:val="none"/>
                      <w:lang w:val="en-US" w:eastAsia="zh-CN" w:bidi="ar"/>
                    </w:rPr>
                    <w:t>0.027</w:t>
                  </w:r>
                </w:p>
              </w:tc>
            </w:tr>
            <w:tr w14:paraId="0AE5A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2" w:type="pct"/>
                  <w:gridSpan w:val="2"/>
                  <w:vMerge w:val="continue"/>
                  <w:vAlign w:val="center"/>
                </w:tcPr>
                <w:p w14:paraId="5E55004B">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3037" w:type="pct"/>
                  <w:gridSpan w:val="4"/>
                  <w:vAlign w:val="center"/>
                </w:tcPr>
                <w:p w14:paraId="7480F330">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SS</w:t>
                  </w:r>
                </w:p>
              </w:tc>
              <w:tc>
                <w:tcPr>
                  <w:tcW w:w="709" w:type="pct"/>
                  <w:vAlign w:val="center"/>
                </w:tcPr>
                <w:p w14:paraId="29D7B5BF">
                  <w:pPr>
                    <w:keepNext w:val="0"/>
                    <w:keepLines w:val="0"/>
                    <w:widowControl/>
                    <w:suppressLineNumbers w:val="0"/>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2"/>
                      <w:szCs w:val="22"/>
                      <w:u w:val="none"/>
                      <w:lang w:val="en-US" w:eastAsia="zh-CN" w:bidi="ar"/>
                    </w:rPr>
                    <w:t>0.027</w:t>
                  </w:r>
                </w:p>
              </w:tc>
            </w:tr>
            <w:tr w14:paraId="63712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2" w:type="pct"/>
                  <w:gridSpan w:val="2"/>
                  <w:vMerge w:val="continue"/>
                  <w:vAlign w:val="center"/>
                </w:tcPr>
                <w:p w14:paraId="02801362">
                  <w:pPr>
                    <w:widowControl/>
                    <w:spacing w:line="360" w:lineRule="auto"/>
                    <w:jc w:val="center"/>
                    <w:textAlignment w:val="center"/>
                    <w:rPr>
                      <w:rFonts w:hint="default" w:ascii="Times New Roman" w:hAnsi="Times New Roman" w:eastAsia="宋体" w:cs="Times New Roman"/>
                      <w:color w:val="auto"/>
                      <w:kern w:val="0"/>
                      <w:szCs w:val="21"/>
                      <w:lang w:bidi="ar"/>
                    </w:rPr>
                  </w:pPr>
                </w:p>
              </w:tc>
              <w:tc>
                <w:tcPr>
                  <w:tcW w:w="3037" w:type="pct"/>
                  <w:gridSpan w:val="4"/>
                  <w:vAlign w:val="center"/>
                </w:tcPr>
                <w:p w14:paraId="0BACF287">
                  <w:pPr>
                    <w:widowControl/>
                    <w:spacing w:line="360" w:lineRule="auto"/>
                    <w:jc w:val="center"/>
                    <w:textAlignment w:val="center"/>
                    <w:rPr>
                      <w:rFonts w:hint="default" w:ascii="Times New Roman" w:hAnsi="Times New Roman" w:eastAsia="宋体" w:cs="Times New Roman"/>
                      <w:color w:val="auto"/>
                      <w:kern w:val="0"/>
                      <w:szCs w:val="21"/>
                      <w:lang w:bidi="ar"/>
                    </w:rPr>
                  </w:pPr>
                  <w:r>
                    <w:rPr>
                      <w:rFonts w:hint="default" w:ascii="Times New Roman" w:hAnsi="Times New Roman" w:eastAsia="宋体" w:cs="Times New Roman"/>
                      <w:color w:val="auto"/>
                      <w:kern w:val="0"/>
                      <w:szCs w:val="21"/>
                      <w:lang w:bidi="ar"/>
                    </w:rPr>
                    <w:t>NH</w:t>
                  </w:r>
                  <w:r>
                    <w:rPr>
                      <w:rFonts w:hint="default" w:ascii="Times New Roman" w:hAnsi="Times New Roman" w:eastAsia="宋体" w:cs="Times New Roman"/>
                      <w:color w:val="auto"/>
                      <w:kern w:val="0"/>
                      <w:szCs w:val="21"/>
                      <w:vertAlign w:val="subscript"/>
                      <w:lang w:bidi="ar"/>
                    </w:rPr>
                    <w:t>3</w:t>
                  </w:r>
                  <w:r>
                    <w:rPr>
                      <w:rFonts w:hint="default" w:ascii="Times New Roman" w:hAnsi="Times New Roman" w:eastAsia="宋体" w:cs="Times New Roman"/>
                      <w:color w:val="auto"/>
                      <w:kern w:val="0"/>
                      <w:szCs w:val="21"/>
                      <w:lang w:bidi="ar"/>
                    </w:rPr>
                    <w:t>-N</w:t>
                  </w:r>
                </w:p>
              </w:tc>
              <w:tc>
                <w:tcPr>
                  <w:tcW w:w="709" w:type="pct"/>
                  <w:vAlign w:val="center"/>
                </w:tcPr>
                <w:p w14:paraId="31179F64">
                  <w:pPr>
                    <w:keepNext w:val="0"/>
                    <w:keepLines w:val="0"/>
                    <w:widowControl/>
                    <w:suppressLineNumbers w:val="0"/>
                    <w:spacing w:line="360" w:lineRule="auto"/>
                    <w:jc w:val="center"/>
                    <w:textAlignment w:val="center"/>
                    <w:rPr>
                      <w:rFonts w:hint="default" w:ascii="Times New Roman" w:hAnsi="Times New Roman" w:eastAsia="宋体" w:cs="Times New Roman"/>
                      <w:color w:val="auto"/>
                    </w:rPr>
                  </w:pPr>
                  <w:r>
                    <w:rPr>
                      <w:rFonts w:hint="default" w:ascii="Times New Roman" w:hAnsi="Times New Roman" w:eastAsia="宋体" w:cs="Times New Roman"/>
                      <w:i w:val="0"/>
                      <w:iCs w:val="0"/>
                      <w:color w:val="auto"/>
                      <w:kern w:val="0"/>
                      <w:sz w:val="22"/>
                      <w:szCs w:val="22"/>
                      <w:u w:val="none"/>
                      <w:lang w:val="en-US" w:eastAsia="zh-CN" w:bidi="ar"/>
                    </w:rPr>
                    <w:t>0.0045</w:t>
                  </w:r>
                </w:p>
              </w:tc>
            </w:tr>
          </w:tbl>
          <w:p w14:paraId="24C36D43">
            <w:pPr>
              <w:snapToGrid w:val="0"/>
              <w:spacing w:line="360" w:lineRule="auto"/>
              <w:ind w:firstLine="420" w:firstLineChars="200"/>
              <w:rPr>
                <w:rFonts w:hint="eastAsia"/>
                <w:color w:val="auto"/>
                <w:szCs w:val="21"/>
              </w:rPr>
            </w:pPr>
            <w:r>
              <w:rPr>
                <w:rFonts w:hint="eastAsia"/>
                <w:color w:val="auto"/>
                <w:szCs w:val="21"/>
              </w:rPr>
              <w:t>综上所述，外排废水对纳污水体及周边水环境影响不大。</w:t>
            </w:r>
          </w:p>
          <w:p w14:paraId="00565BBD">
            <w:pPr>
              <w:snapToGrid w:val="0"/>
              <w:spacing w:line="360" w:lineRule="auto"/>
              <w:ind w:firstLine="422" w:firstLineChars="200"/>
              <w:rPr>
                <w:rFonts w:hint="eastAsia" w:ascii="Times New Roman" w:hAnsi="Times New Roman" w:eastAsia="宋体"/>
                <w:b/>
                <w:bCs/>
                <w:color w:val="auto"/>
                <w:spacing w:val="0"/>
                <w:sz w:val="21"/>
                <w:szCs w:val="21"/>
                <w:highlight w:val="none"/>
              </w:rPr>
            </w:pPr>
            <w:r>
              <w:rPr>
                <w:rFonts w:hint="eastAsia" w:ascii="Times New Roman" w:hAnsi="Times New Roman" w:eastAsia="宋体"/>
                <w:b/>
                <w:bCs/>
                <w:color w:val="auto"/>
                <w:spacing w:val="0"/>
                <w:sz w:val="21"/>
                <w:szCs w:val="21"/>
                <w:highlight w:val="none"/>
              </w:rPr>
              <w:t>环境保护措施与监测计划</w:t>
            </w:r>
          </w:p>
          <w:p w14:paraId="31E8D1C1">
            <w:pPr>
              <w:snapToGrid w:val="0"/>
              <w:spacing w:line="360" w:lineRule="auto"/>
              <w:ind w:firstLine="420" w:firstLineChars="200"/>
              <w:rPr>
                <w:rFonts w:hint="eastAsia" w:ascii="Times New Roman" w:hAnsi="Times New Roman" w:eastAsia="宋体"/>
                <w:color w:val="auto"/>
                <w:spacing w:val="0"/>
                <w:sz w:val="21"/>
                <w:szCs w:val="21"/>
                <w:highlight w:val="none"/>
                <w:lang w:val="en-US" w:eastAsia="zh-CN"/>
              </w:rPr>
            </w:pPr>
            <w:r>
              <w:rPr>
                <w:rFonts w:hint="eastAsia" w:ascii="Times New Roman" w:hAnsi="Times New Roman" w:eastAsia="宋体" w:cs="宋体"/>
                <w:color w:val="auto"/>
                <w:spacing w:val="0"/>
                <w:sz w:val="21"/>
                <w:szCs w:val="21"/>
                <w:highlight w:val="none"/>
              </w:rPr>
              <w:t>项目主要排水为</w:t>
            </w:r>
            <w:r>
              <w:rPr>
                <w:rFonts w:hint="eastAsia" w:ascii="Times New Roman" w:hAnsi="Times New Roman" w:eastAsia="宋体" w:cs="宋体"/>
                <w:color w:val="auto"/>
                <w:spacing w:val="0"/>
                <w:sz w:val="21"/>
                <w:szCs w:val="21"/>
                <w:highlight w:val="none"/>
                <w:lang w:val="en-US" w:eastAsia="zh-CN"/>
              </w:rPr>
              <w:t>生活污水和生产废水（清洗废水），生活污水经化粪池预处理后经市政管网进入南朗横门污水处理厂；生产废水</w:t>
            </w:r>
            <w:r>
              <w:rPr>
                <w:rFonts w:hint="eastAsia" w:cs="宋体"/>
                <w:color w:val="auto"/>
                <w:spacing w:val="0"/>
                <w:sz w:val="21"/>
                <w:szCs w:val="21"/>
                <w:highlight w:val="none"/>
                <w:lang w:val="en-US" w:eastAsia="zh-CN"/>
              </w:rPr>
              <w:t>（</w:t>
            </w:r>
            <w:r>
              <w:rPr>
                <w:rFonts w:hint="eastAsia" w:ascii="Times New Roman" w:hAnsi="Times New Roman" w:eastAsia="宋体" w:cs="宋体"/>
                <w:color w:val="auto"/>
                <w:spacing w:val="0"/>
                <w:sz w:val="21"/>
                <w:szCs w:val="21"/>
                <w:highlight w:val="none"/>
                <w:lang w:val="en-US" w:eastAsia="zh-CN"/>
              </w:rPr>
              <w:t>清洗废水</w:t>
            </w:r>
            <w:r>
              <w:rPr>
                <w:rFonts w:hint="eastAsia" w:cs="宋体"/>
                <w:color w:val="auto"/>
                <w:spacing w:val="0"/>
                <w:sz w:val="21"/>
                <w:szCs w:val="21"/>
                <w:highlight w:val="none"/>
                <w:lang w:val="en-US" w:eastAsia="zh-CN"/>
              </w:rPr>
              <w:t>）</w:t>
            </w:r>
            <w:r>
              <w:rPr>
                <w:rFonts w:hint="eastAsia"/>
                <w:color w:val="auto"/>
                <w:szCs w:val="21"/>
                <w:lang w:val="en-US" w:eastAsia="zh-CN"/>
              </w:rPr>
              <w:t>收集后</w:t>
            </w:r>
            <w:r>
              <w:rPr>
                <w:rFonts w:hint="eastAsia"/>
                <w:color w:val="auto"/>
                <w:szCs w:val="21"/>
              </w:rPr>
              <w:t>定期委托给有处理能力的废水处理机构处理</w:t>
            </w:r>
            <w:r>
              <w:rPr>
                <w:rFonts w:hint="eastAsia" w:ascii="Times New Roman" w:hAnsi="Times New Roman" w:eastAsia="宋体" w:cs="宋体"/>
                <w:color w:val="auto"/>
                <w:spacing w:val="0"/>
                <w:sz w:val="21"/>
                <w:szCs w:val="21"/>
                <w:highlight w:val="none"/>
                <w:lang w:val="en-US" w:eastAsia="zh-CN"/>
              </w:rPr>
              <w:t>。</w:t>
            </w:r>
            <w:r>
              <w:rPr>
                <w:rFonts w:hint="eastAsia" w:ascii="Times New Roman" w:hAnsi="Times New Roman" w:eastAsia="宋体"/>
                <w:color w:val="auto"/>
                <w:spacing w:val="0"/>
                <w:sz w:val="21"/>
                <w:szCs w:val="21"/>
                <w:highlight w:val="none"/>
                <w:lang w:val="en-US" w:eastAsia="zh-CN"/>
              </w:rPr>
              <w:t>故本项目不设废水监测计划。</w:t>
            </w:r>
          </w:p>
          <w:p w14:paraId="283233C1">
            <w:pPr>
              <w:adjustRightInd w:val="0"/>
              <w:snapToGrid w:val="0"/>
              <w:spacing w:line="360" w:lineRule="auto"/>
              <w:ind w:firstLine="382" w:firstLineChars="200"/>
              <w:rPr>
                <w:rFonts w:ascii="宋体" w:hAnsi="宋体" w:cs="宋体"/>
                <w:b/>
                <w:bCs/>
                <w:color w:val="auto"/>
                <w:spacing w:val="-10"/>
                <w:szCs w:val="21"/>
              </w:rPr>
            </w:pPr>
            <w:r>
              <w:rPr>
                <w:rFonts w:hint="eastAsia" w:ascii="宋体" w:hAnsi="宋体" w:cs="宋体"/>
                <w:b/>
                <w:bCs/>
                <w:color w:val="auto"/>
                <w:spacing w:val="-10"/>
                <w:szCs w:val="21"/>
              </w:rPr>
              <w:t>三</w:t>
            </w:r>
            <w:r>
              <w:rPr>
                <w:rFonts w:ascii="宋体" w:hAnsi="宋体" w:cs="宋体"/>
                <w:b/>
                <w:bCs/>
                <w:color w:val="auto"/>
                <w:spacing w:val="-10"/>
                <w:szCs w:val="21"/>
              </w:rPr>
              <w:t>、噪声</w:t>
            </w:r>
          </w:p>
          <w:p w14:paraId="44A98450">
            <w:pPr>
              <w:pStyle w:val="181"/>
              <w:spacing w:line="360" w:lineRule="auto"/>
              <w:ind w:firstLine="420" w:firstLineChars="200"/>
              <w:rPr>
                <w:rFonts w:ascii="Times New Roman" w:hAnsi="Times New Roman" w:cs="Times New Roman"/>
                <w:color w:val="auto"/>
                <w:szCs w:val="21"/>
              </w:rPr>
            </w:pPr>
            <w:r>
              <w:rPr>
                <w:rFonts w:ascii="Times New Roman" w:hAnsi="Times New Roman" w:cs="Times New Roman"/>
                <w:color w:val="auto"/>
                <w:szCs w:val="21"/>
              </w:rPr>
              <w:t>该建设项目生产设备在运行过程中产生噪声，噪声声压级约在</w:t>
            </w:r>
            <w:r>
              <w:rPr>
                <w:rFonts w:hint="eastAsia" w:ascii="Times New Roman" w:hAnsi="Times New Roman" w:cs="Times New Roman"/>
                <w:color w:val="auto"/>
                <w:szCs w:val="21"/>
                <w:lang w:val="en-US" w:eastAsia="zh-CN"/>
              </w:rPr>
              <w:t>80</w:t>
            </w:r>
            <w:r>
              <w:rPr>
                <w:rFonts w:ascii="Times New Roman" w:hAnsi="Times New Roman" w:cs="Times New Roman"/>
                <w:color w:val="auto"/>
                <w:szCs w:val="21"/>
              </w:rPr>
              <w:t>～</w:t>
            </w:r>
            <w:r>
              <w:rPr>
                <w:rFonts w:hint="eastAsia" w:ascii="Times New Roman" w:hAnsi="Times New Roman" w:cs="Times New Roman"/>
                <w:color w:val="auto"/>
                <w:szCs w:val="21"/>
                <w:lang w:val="en-US"/>
              </w:rPr>
              <w:t>85</w:t>
            </w:r>
            <w:r>
              <w:rPr>
                <w:rFonts w:ascii="Times New Roman" w:hAnsi="Times New Roman" w:cs="Times New Roman"/>
                <w:color w:val="auto"/>
                <w:szCs w:val="21"/>
              </w:rPr>
              <w:t>dB(A)之间；原材料、成品在</w:t>
            </w:r>
            <w:r>
              <w:rPr>
                <w:rFonts w:hint="eastAsia" w:ascii="Times New Roman" w:hAnsi="Times New Roman" w:cs="Times New Roman"/>
                <w:color w:val="auto"/>
                <w:szCs w:val="21"/>
              </w:rPr>
              <w:t>装卸</w:t>
            </w:r>
            <w:r>
              <w:rPr>
                <w:rFonts w:ascii="Times New Roman" w:hAnsi="Times New Roman" w:cs="Times New Roman"/>
                <w:color w:val="auto"/>
                <w:szCs w:val="21"/>
              </w:rPr>
              <w:t>过程中会产生噪声，约在6</w:t>
            </w:r>
            <w:r>
              <w:rPr>
                <w:rFonts w:hint="eastAsia" w:ascii="Times New Roman" w:hAnsi="Times New Roman" w:cs="Times New Roman"/>
                <w:color w:val="auto"/>
                <w:szCs w:val="21"/>
                <w:lang w:val="en-US" w:eastAsia="zh-CN"/>
              </w:rPr>
              <w:t>5</w:t>
            </w:r>
            <w:r>
              <w:rPr>
                <w:rFonts w:ascii="Times New Roman" w:hAnsi="Times New Roman" w:cs="Times New Roman"/>
                <w:color w:val="auto"/>
                <w:szCs w:val="21"/>
              </w:rPr>
              <w:t>～7</w:t>
            </w:r>
            <w:r>
              <w:rPr>
                <w:rFonts w:hint="eastAsia" w:ascii="Times New Roman" w:hAnsi="Times New Roman" w:cs="Times New Roman"/>
                <w:color w:val="auto"/>
                <w:szCs w:val="21"/>
                <w:lang w:val="en-US" w:eastAsia="zh-CN"/>
              </w:rPr>
              <w:t>5</w:t>
            </w:r>
            <w:r>
              <w:rPr>
                <w:rFonts w:ascii="Times New Roman" w:hAnsi="Times New Roman" w:cs="Times New Roman"/>
                <w:color w:val="auto"/>
                <w:szCs w:val="21"/>
              </w:rPr>
              <w:t>B(A)之间。</w:t>
            </w:r>
          </w:p>
          <w:p w14:paraId="62FFCCD0">
            <w:pPr>
              <w:pStyle w:val="9"/>
              <w:spacing w:line="360" w:lineRule="auto"/>
              <w:ind w:left="630" w:leftChars="0" w:firstLineChars="0"/>
              <w:rPr>
                <w:b w:val="0"/>
                <w:bCs/>
                <w:color w:val="auto"/>
                <w:kern w:val="0"/>
                <w:szCs w:val="21"/>
              </w:rPr>
            </w:pPr>
            <w:r>
              <w:rPr>
                <w:color w:val="auto"/>
                <w:szCs w:val="21"/>
              </w:rPr>
              <w:t>主要噪声源强</w:t>
            </w:r>
            <w:r>
              <w:rPr>
                <w:rFonts w:hint="eastAsia"/>
                <w:color w:val="auto"/>
                <w:szCs w:val="21"/>
                <w:lang w:val="en-US" w:eastAsia="zh-CN"/>
              </w:rPr>
              <w:t>一览</w:t>
            </w:r>
            <w:r>
              <w:rPr>
                <w:color w:val="auto"/>
                <w:szCs w:val="21"/>
              </w:rPr>
              <w:t>表</w:t>
            </w:r>
          </w:p>
          <w:tbl>
            <w:tblPr>
              <w:tblStyle w:val="35"/>
              <w:tblW w:w="47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096"/>
              <w:gridCol w:w="1985"/>
              <w:gridCol w:w="1108"/>
              <w:gridCol w:w="1961"/>
              <w:gridCol w:w="1148"/>
            </w:tblGrid>
            <w:tr w14:paraId="0D7D7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408" w:type="pct"/>
                  <w:vAlign w:val="center"/>
                </w:tcPr>
                <w:p w14:paraId="197F09C0">
                  <w:pPr>
                    <w:spacing w:line="360" w:lineRule="auto"/>
                    <w:jc w:val="center"/>
                    <w:rPr>
                      <w:b/>
                      <w:bCs/>
                      <w:color w:val="auto"/>
                      <w:szCs w:val="21"/>
                    </w:rPr>
                  </w:pPr>
                  <w:r>
                    <w:rPr>
                      <w:b/>
                      <w:bCs/>
                      <w:color w:val="auto"/>
                      <w:szCs w:val="21"/>
                    </w:rPr>
                    <w:t>序号</w:t>
                  </w:r>
                </w:p>
              </w:tc>
              <w:tc>
                <w:tcPr>
                  <w:tcW w:w="689" w:type="pct"/>
                  <w:vAlign w:val="center"/>
                </w:tcPr>
                <w:p w14:paraId="6E34349F">
                  <w:pPr>
                    <w:spacing w:line="360" w:lineRule="auto"/>
                    <w:jc w:val="center"/>
                    <w:rPr>
                      <w:b/>
                      <w:bCs/>
                      <w:color w:val="auto"/>
                      <w:szCs w:val="21"/>
                    </w:rPr>
                  </w:pPr>
                  <w:r>
                    <w:rPr>
                      <w:b/>
                      <w:bCs/>
                      <w:color w:val="auto"/>
                      <w:szCs w:val="21"/>
                    </w:rPr>
                    <w:t>设备名称</w:t>
                  </w:r>
                </w:p>
              </w:tc>
              <w:tc>
                <w:tcPr>
                  <w:tcW w:w="1248" w:type="pct"/>
                  <w:vAlign w:val="center"/>
                </w:tcPr>
                <w:p w14:paraId="7613BF83">
                  <w:pPr>
                    <w:spacing w:line="360" w:lineRule="auto"/>
                    <w:jc w:val="center"/>
                    <w:rPr>
                      <w:rFonts w:hint="eastAsia" w:eastAsia="宋体"/>
                      <w:b/>
                      <w:bCs/>
                      <w:color w:val="auto"/>
                      <w:szCs w:val="21"/>
                      <w:lang w:val="en-US" w:eastAsia="zh-CN"/>
                    </w:rPr>
                  </w:pPr>
                  <w:r>
                    <w:rPr>
                      <w:rFonts w:hint="eastAsia"/>
                      <w:b/>
                      <w:bCs/>
                      <w:color w:val="auto"/>
                      <w:szCs w:val="21"/>
                      <w:lang w:val="en-US" w:eastAsia="zh-CN"/>
                    </w:rPr>
                    <w:t>工序</w:t>
                  </w:r>
                </w:p>
              </w:tc>
              <w:tc>
                <w:tcPr>
                  <w:tcW w:w="697" w:type="pct"/>
                  <w:vAlign w:val="center"/>
                </w:tcPr>
                <w:p w14:paraId="6BB3E267">
                  <w:pPr>
                    <w:spacing w:line="360" w:lineRule="auto"/>
                    <w:jc w:val="center"/>
                    <w:rPr>
                      <w:b/>
                      <w:bCs/>
                      <w:color w:val="auto"/>
                      <w:szCs w:val="21"/>
                    </w:rPr>
                  </w:pPr>
                  <w:r>
                    <w:rPr>
                      <w:b/>
                      <w:bCs/>
                      <w:color w:val="auto"/>
                      <w:szCs w:val="21"/>
                    </w:rPr>
                    <w:t>数量（台）</w:t>
                  </w:r>
                </w:p>
              </w:tc>
              <w:tc>
                <w:tcPr>
                  <w:tcW w:w="1233" w:type="pct"/>
                  <w:vAlign w:val="center"/>
                </w:tcPr>
                <w:p w14:paraId="134F61BB">
                  <w:pPr>
                    <w:spacing w:line="360" w:lineRule="auto"/>
                    <w:jc w:val="center"/>
                    <w:rPr>
                      <w:b/>
                      <w:bCs/>
                      <w:color w:val="auto"/>
                      <w:szCs w:val="21"/>
                    </w:rPr>
                  </w:pPr>
                  <w:r>
                    <w:rPr>
                      <w:b/>
                      <w:bCs/>
                      <w:color w:val="auto"/>
                      <w:szCs w:val="21"/>
                    </w:rPr>
                    <w:t>噪声</w:t>
                  </w:r>
                  <w:r>
                    <w:rPr>
                      <w:rFonts w:hint="eastAsia"/>
                      <w:b/>
                      <w:bCs/>
                      <w:color w:val="auto"/>
                      <w:szCs w:val="21"/>
                      <w:lang w:val="en-US" w:eastAsia="zh-CN"/>
                    </w:rPr>
                    <w:t>值</w:t>
                  </w:r>
                  <w:r>
                    <w:rPr>
                      <w:b/>
                      <w:bCs/>
                      <w:color w:val="auto"/>
                      <w:szCs w:val="21"/>
                    </w:rPr>
                    <w:t>/dB（A）</w:t>
                  </w:r>
                </w:p>
              </w:tc>
              <w:tc>
                <w:tcPr>
                  <w:tcW w:w="722" w:type="pct"/>
                  <w:vAlign w:val="center"/>
                </w:tcPr>
                <w:p w14:paraId="682624FF">
                  <w:pPr>
                    <w:spacing w:line="360" w:lineRule="auto"/>
                    <w:jc w:val="center"/>
                    <w:rPr>
                      <w:rFonts w:hint="eastAsia" w:eastAsia="宋体"/>
                      <w:b/>
                      <w:bCs/>
                      <w:color w:val="auto"/>
                      <w:szCs w:val="21"/>
                      <w:lang w:val="en-US" w:eastAsia="zh-CN"/>
                    </w:rPr>
                  </w:pPr>
                  <w:r>
                    <w:rPr>
                      <w:rFonts w:hint="eastAsia"/>
                      <w:b/>
                      <w:bCs/>
                      <w:color w:val="auto"/>
                      <w:szCs w:val="21"/>
                      <w:lang w:val="en-US" w:eastAsia="zh-CN"/>
                    </w:rPr>
                    <w:t>位置</w:t>
                  </w:r>
                </w:p>
              </w:tc>
            </w:tr>
            <w:tr w14:paraId="5D2D9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408" w:type="pct"/>
                  <w:vAlign w:val="center"/>
                </w:tcPr>
                <w:p w14:paraId="2AEE502B">
                  <w:pPr>
                    <w:numPr>
                      <w:ilvl w:val="0"/>
                      <w:numId w:val="0"/>
                    </w:numPr>
                    <w:spacing w:line="360" w:lineRule="auto"/>
                    <w:ind w:left="420" w:leftChars="0" w:hanging="420" w:firstLineChars="0"/>
                    <w:jc w:val="center"/>
                    <w:rPr>
                      <w:color w:val="auto"/>
                      <w:szCs w:val="21"/>
                    </w:rPr>
                  </w:pPr>
                  <w:r>
                    <w:rPr>
                      <w:rFonts w:hint="eastAsia" w:cs="Times New Roman"/>
                      <w:color w:val="auto"/>
                      <w:kern w:val="2"/>
                      <w:sz w:val="21"/>
                      <w:szCs w:val="21"/>
                      <w:lang w:val="en-US" w:eastAsia="zh-CN" w:bidi="ar-SA"/>
                    </w:rPr>
                    <w:t>1</w:t>
                  </w:r>
                </w:p>
              </w:tc>
              <w:tc>
                <w:tcPr>
                  <w:tcW w:w="689" w:type="pct"/>
                  <w:shd w:val="clear" w:color="auto" w:fill="auto"/>
                  <w:vAlign w:val="center"/>
                </w:tcPr>
                <w:p w14:paraId="0590029C">
                  <w:pPr>
                    <w:tabs>
                      <w:tab w:val="left" w:pos="0"/>
                    </w:tabs>
                    <w:spacing w:line="360" w:lineRule="auto"/>
                    <w:jc w:val="center"/>
                    <w:rPr>
                      <w:rFonts w:hint="eastAsia" w:ascii="Times New Roman" w:hAnsi="Times New Roman" w:eastAsia="宋体" w:cs="Times New Roman"/>
                      <w:bCs/>
                      <w:color w:val="auto"/>
                      <w:kern w:val="2"/>
                      <w:sz w:val="21"/>
                      <w:szCs w:val="21"/>
                      <w:lang w:val="en-US" w:eastAsia="zh-CN" w:bidi="ar-SA"/>
                    </w:rPr>
                  </w:pPr>
                  <w:r>
                    <w:rPr>
                      <w:rFonts w:hint="eastAsia"/>
                      <w:color w:val="auto"/>
                      <w:lang w:val="en-US" w:eastAsia="zh-CN"/>
                    </w:rPr>
                    <w:t>自动线</w:t>
                  </w:r>
                </w:p>
              </w:tc>
              <w:tc>
                <w:tcPr>
                  <w:tcW w:w="1248" w:type="pct"/>
                  <w:vAlign w:val="center"/>
                </w:tcPr>
                <w:p w14:paraId="0DADBE62">
                  <w:pPr>
                    <w:spacing w:line="360" w:lineRule="auto"/>
                    <w:jc w:val="center"/>
                    <w:rPr>
                      <w:rFonts w:hint="default" w:eastAsia="宋体"/>
                      <w:bCs/>
                      <w:color w:val="auto"/>
                      <w:szCs w:val="21"/>
                      <w:lang w:val="en-US" w:eastAsia="zh-CN"/>
                    </w:rPr>
                  </w:pPr>
                  <w:r>
                    <w:rPr>
                      <w:rFonts w:hint="eastAsia"/>
                      <w:bCs/>
                      <w:color w:val="auto"/>
                      <w:szCs w:val="21"/>
                      <w:lang w:val="en-US" w:eastAsia="zh-CN"/>
                    </w:rPr>
                    <w:t>清洗、陶化、除油、喷粉烘干、固化</w:t>
                  </w:r>
                </w:p>
              </w:tc>
              <w:tc>
                <w:tcPr>
                  <w:tcW w:w="697" w:type="pct"/>
                  <w:vAlign w:val="center"/>
                </w:tcPr>
                <w:p w14:paraId="3D0106E8">
                  <w:pPr>
                    <w:tabs>
                      <w:tab w:val="left" w:pos="0"/>
                    </w:tabs>
                    <w:spacing w:line="360" w:lineRule="auto"/>
                    <w:jc w:val="center"/>
                    <w:rPr>
                      <w:rFonts w:hint="eastAsia"/>
                      <w:bCs/>
                      <w:color w:val="auto"/>
                      <w:szCs w:val="21"/>
                    </w:rPr>
                  </w:pPr>
                  <w:r>
                    <w:rPr>
                      <w:rFonts w:hint="eastAsia"/>
                      <w:color w:val="auto"/>
                      <w:szCs w:val="21"/>
                    </w:rPr>
                    <w:t>1</w:t>
                  </w:r>
                  <w:r>
                    <w:rPr>
                      <w:rFonts w:hint="eastAsia"/>
                      <w:color w:val="auto"/>
                      <w:szCs w:val="21"/>
                      <w:lang w:val="en-US" w:eastAsia="zh-CN"/>
                    </w:rPr>
                    <w:t>条</w:t>
                  </w:r>
                </w:p>
              </w:tc>
              <w:tc>
                <w:tcPr>
                  <w:tcW w:w="1233" w:type="pct"/>
                  <w:vAlign w:val="center"/>
                </w:tcPr>
                <w:p w14:paraId="61E76945">
                  <w:pPr>
                    <w:spacing w:line="360" w:lineRule="auto"/>
                    <w:jc w:val="center"/>
                    <w:rPr>
                      <w:rFonts w:hint="default" w:eastAsia="宋体"/>
                      <w:bCs/>
                      <w:color w:val="auto"/>
                      <w:szCs w:val="21"/>
                      <w:lang w:val="en-US" w:eastAsia="zh-CN"/>
                    </w:rPr>
                  </w:pPr>
                  <w:r>
                    <w:rPr>
                      <w:rFonts w:hint="eastAsia"/>
                      <w:bCs/>
                      <w:color w:val="auto"/>
                      <w:szCs w:val="21"/>
                    </w:rPr>
                    <w:t>80</w:t>
                  </w:r>
                  <w:r>
                    <w:rPr>
                      <w:rFonts w:hint="eastAsia"/>
                      <w:bCs/>
                      <w:color w:val="auto"/>
                      <w:szCs w:val="21"/>
                      <w:lang w:val="en-US" w:eastAsia="zh-CN"/>
                    </w:rPr>
                    <w:t>~85</w:t>
                  </w:r>
                </w:p>
              </w:tc>
              <w:tc>
                <w:tcPr>
                  <w:tcW w:w="722" w:type="pct"/>
                  <w:vAlign w:val="center"/>
                </w:tcPr>
                <w:p w14:paraId="6C3C20B1">
                  <w:pPr>
                    <w:spacing w:line="360" w:lineRule="auto"/>
                    <w:jc w:val="center"/>
                    <w:rPr>
                      <w:rFonts w:hint="eastAsia"/>
                      <w:bCs/>
                      <w:color w:val="auto"/>
                      <w:szCs w:val="21"/>
                    </w:rPr>
                  </w:pPr>
                  <w:r>
                    <w:rPr>
                      <w:rFonts w:hint="eastAsia"/>
                      <w:bCs/>
                      <w:color w:val="auto"/>
                      <w:szCs w:val="21"/>
                      <w:lang w:val="en-US" w:eastAsia="zh-CN"/>
                    </w:rPr>
                    <w:t>室内</w:t>
                  </w:r>
                </w:p>
              </w:tc>
            </w:tr>
            <w:tr w14:paraId="7C951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408" w:type="pct"/>
                  <w:vAlign w:val="center"/>
                </w:tcPr>
                <w:p w14:paraId="3E0FE973">
                  <w:pPr>
                    <w:numPr>
                      <w:ilvl w:val="0"/>
                      <w:numId w:val="0"/>
                    </w:numPr>
                    <w:spacing w:line="360" w:lineRule="auto"/>
                    <w:ind w:left="420" w:leftChars="0" w:hanging="42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689" w:type="pct"/>
                  <w:vAlign w:val="center"/>
                </w:tcPr>
                <w:p w14:paraId="1F688E52">
                  <w:pPr>
                    <w:tabs>
                      <w:tab w:val="left" w:pos="0"/>
                    </w:tabs>
                    <w:spacing w:line="360" w:lineRule="auto"/>
                    <w:jc w:val="center"/>
                    <w:rPr>
                      <w:rFonts w:hint="default" w:eastAsia="宋体"/>
                      <w:b w:val="0"/>
                      <w:bCs/>
                      <w:color w:val="auto"/>
                      <w:lang w:val="en-US" w:eastAsia="zh-CN"/>
                    </w:rPr>
                  </w:pPr>
                  <w:r>
                    <w:rPr>
                      <w:rFonts w:hint="eastAsia"/>
                      <w:b w:val="0"/>
                      <w:bCs/>
                      <w:color w:val="auto"/>
                      <w:lang w:val="en-US" w:eastAsia="zh-CN"/>
                    </w:rPr>
                    <w:t>手动线</w:t>
                  </w:r>
                </w:p>
              </w:tc>
              <w:tc>
                <w:tcPr>
                  <w:tcW w:w="1248" w:type="pct"/>
                  <w:vAlign w:val="center"/>
                </w:tcPr>
                <w:p w14:paraId="1EB292C2">
                  <w:pPr>
                    <w:spacing w:line="360" w:lineRule="auto"/>
                    <w:jc w:val="center"/>
                    <w:rPr>
                      <w:rFonts w:hint="default" w:eastAsia="宋体"/>
                      <w:bCs/>
                      <w:color w:val="auto"/>
                      <w:szCs w:val="21"/>
                      <w:lang w:val="en-US" w:eastAsia="zh-CN"/>
                    </w:rPr>
                  </w:pPr>
                  <w:r>
                    <w:rPr>
                      <w:rFonts w:hint="eastAsia"/>
                      <w:bCs/>
                      <w:color w:val="auto"/>
                      <w:szCs w:val="21"/>
                      <w:lang w:val="en-US" w:eastAsia="zh-CN"/>
                    </w:rPr>
                    <w:t>清洗、陶化、除油、喷粉、固化</w:t>
                  </w:r>
                </w:p>
              </w:tc>
              <w:tc>
                <w:tcPr>
                  <w:tcW w:w="697" w:type="pct"/>
                  <w:vAlign w:val="center"/>
                </w:tcPr>
                <w:p w14:paraId="2371012F">
                  <w:pPr>
                    <w:tabs>
                      <w:tab w:val="left" w:pos="0"/>
                    </w:tabs>
                    <w:spacing w:line="360" w:lineRule="auto"/>
                    <w:jc w:val="center"/>
                    <w:rPr>
                      <w:rFonts w:hint="eastAsia"/>
                      <w:color w:val="auto"/>
                      <w:szCs w:val="21"/>
                    </w:rPr>
                  </w:pPr>
                  <w:r>
                    <w:rPr>
                      <w:rFonts w:hint="eastAsia"/>
                      <w:color w:val="auto"/>
                      <w:szCs w:val="21"/>
                    </w:rPr>
                    <w:t>1条</w:t>
                  </w:r>
                </w:p>
              </w:tc>
              <w:tc>
                <w:tcPr>
                  <w:tcW w:w="1233" w:type="pct"/>
                  <w:vAlign w:val="center"/>
                </w:tcPr>
                <w:p w14:paraId="25E92C55">
                  <w:pPr>
                    <w:spacing w:line="360" w:lineRule="auto"/>
                    <w:jc w:val="center"/>
                    <w:rPr>
                      <w:rFonts w:hint="default" w:eastAsia="宋体"/>
                      <w:bCs/>
                      <w:color w:val="auto"/>
                      <w:szCs w:val="21"/>
                      <w:lang w:val="en-US" w:eastAsia="zh-CN"/>
                    </w:rPr>
                  </w:pPr>
                  <w:r>
                    <w:rPr>
                      <w:rFonts w:hint="eastAsia"/>
                      <w:bCs/>
                      <w:color w:val="auto"/>
                      <w:szCs w:val="21"/>
                      <w:lang w:val="en-US" w:eastAsia="zh-CN"/>
                    </w:rPr>
                    <w:t>80~85</w:t>
                  </w:r>
                </w:p>
              </w:tc>
              <w:tc>
                <w:tcPr>
                  <w:tcW w:w="722" w:type="pct"/>
                  <w:vAlign w:val="center"/>
                </w:tcPr>
                <w:p w14:paraId="2BC95C56">
                  <w:pPr>
                    <w:spacing w:line="360" w:lineRule="auto"/>
                    <w:jc w:val="center"/>
                    <w:rPr>
                      <w:rFonts w:hint="eastAsia"/>
                      <w:bCs/>
                      <w:color w:val="auto"/>
                      <w:szCs w:val="21"/>
                    </w:rPr>
                  </w:pPr>
                  <w:r>
                    <w:rPr>
                      <w:rFonts w:hint="eastAsia"/>
                      <w:bCs/>
                      <w:color w:val="auto"/>
                      <w:szCs w:val="21"/>
                      <w:lang w:val="en-US" w:eastAsia="zh-CN"/>
                    </w:rPr>
                    <w:t>室内</w:t>
                  </w:r>
                </w:p>
              </w:tc>
            </w:tr>
            <w:tr w14:paraId="4610A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408" w:type="pct"/>
                  <w:vAlign w:val="center"/>
                </w:tcPr>
                <w:p w14:paraId="482AD01B">
                  <w:pPr>
                    <w:numPr>
                      <w:ilvl w:val="0"/>
                      <w:numId w:val="0"/>
                    </w:numPr>
                    <w:spacing w:line="360" w:lineRule="auto"/>
                    <w:ind w:left="420" w:leftChars="0" w:hanging="420" w:firstLineChars="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3</w:t>
                  </w:r>
                </w:p>
              </w:tc>
              <w:tc>
                <w:tcPr>
                  <w:tcW w:w="689" w:type="pct"/>
                  <w:vAlign w:val="center"/>
                </w:tcPr>
                <w:p w14:paraId="65C869C8">
                  <w:pPr>
                    <w:tabs>
                      <w:tab w:val="left" w:pos="0"/>
                    </w:tabs>
                    <w:spacing w:line="360" w:lineRule="auto"/>
                    <w:jc w:val="center"/>
                    <w:rPr>
                      <w:rFonts w:hint="default"/>
                      <w:b w:val="0"/>
                      <w:bCs/>
                      <w:color w:val="auto"/>
                      <w:lang w:val="en-US" w:eastAsia="zh-CN"/>
                    </w:rPr>
                  </w:pPr>
                  <w:r>
                    <w:rPr>
                      <w:rFonts w:hint="eastAsia"/>
                      <w:b w:val="0"/>
                      <w:bCs/>
                      <w:color w:val="auto"/>
                      <w:lang w:val="en-US" w:eastAsia="zh-CN"/>
                    </w:rPr>
                    <w:t>风机</w:t>
                  </w:r>
                </w:p>
              </w:tc>
              <w:tc>
                <w:tcPr>
                  <w:tcW w:w="1248" w:type="pct"/>
                  <w:vAlign w:val="center"/>
                </w:tcPr>
                <w:p w14:paraId="7A29FA24">
                  <w:pPr>
                    <w:spacing w:line="360" w:lineRule="auto"/>
                    <w:jc w:val="center"/>
                    <w:rPr>
                      <w:rFonts w:hint="default"/>
                      <w:bCs/>
                      <w:color w:val="auto"/>
                      <w:szCs w:val="21"/>
                      <w:lang w:val="en-US" w:eastAsia="zh-CN"/>
                    </w:rPr>
                  </w:pPr>
                  <w:r>
                    <w:rPr>
                      <w:rFonts w:hint="eastAsia"/>
                      <w:bCs/>
                      <w:color w:val="auto"/>
                      <w:szCs w:val="21"/>
                      <w:lang w:val="en-US" w:eastAsia="zh-CN"/>
                    </w:rPr>
                    <w:t>辅助</w:t>
                  </w:r>
                </w:p>
              </w:tc>
              <w:tc>
                <w:tcPr>
                  <w:tcW w:w="697" w:type="pct"/>
                  <w:vAlign w:val="center"/>
                </w:tcPr>
                <w:p w14:paraId="5DA5EB5C">
                  <w:pPr>
                    <w:tabs>
                      <w:tab w:val="left" w:pos="0"/>
                    </w:tabs>
                    <w:spacing w:line="360" w:lineRule="auto"/>
                    <w:jc w:val="center"/>
                    <w:rPr>
                      <w:rFonts w:hint="default" w:eastAsia="宋体"/>
                      <w:color w:val="auto"/>
                      <w:szCs w:val="21"/>
                      <w:lang w:val="en-US" w:eastAsia="zh-CN"/>
                    </w:rPr>
                  </w:pPr>
                  <w:r>
                    <w:rPr>
                      <w:rFonts w:hint="eastAsia"/>
                      <w:color w:val="auto"/>
                      <w:szCs w:val="21"/>
                      <w:lang w:val="en-US" w:eastAsia="zh-CN"/>
                    </w:rPr>
                    <w:t>2台</w:t>
                  </w:r>
                </w:p>
              </w:tc>
              <w:tc>
                <w:tcPr>
                  <w:tcW w:w="1233" w:type="pct"/>
                  <w:vAlign w:val="center"/>
                </w:tcPr>
                <w:p w14:paraId="39F235C9">
                  <w:pPr>
                    <w:spacing w:line="360" w:lineRule="auto"/>
                    <w:jc w:val="center"/>
                    <w:rPr>
                      <w:rFonts w:hint="eastAsia"/>
                      <w:bCs/>
                      <w:color w:val="auto"/>
                      <w:szCs w:val="21"/>
                      <w:lang w:val="en-US" w:eastAsia="zh-CN"/>
                    </w:rPr>
                  </w:pPr>
                  <w:r>
                    <w:rPr>
                      <w:rFonts w:hint="eastAsia"/>
                      <w:bCs/>
                      <w:color w:val="auto"/>
                      <w:szCs w:val="21"/>
                      <w:lang w:val="en-US" w:eastAsia="zh-CN"/>
                    </w:rPr>
                    <w:t>80~85</w:t>
                  </w:r>
                </w:p>
              </w:tc>
              <w:tc>
                <w:tcPr>
                  <w:tcW w:w="722" w:type="pct"/>
                  <w:vAlign w:val="center"/>
                </w:tcPr>
                <w:p w14:paraId="72EA46BC">
                  <w:pPr>
                    <w:spacing w:line="360" w:lineRule="auto"/>
                    <w:jc w:val="center"/>
                    <w:rPr>
                      <w:rFonts w:hint="default"/>
                      <w:bCs/>
                      <w:color w:val="auto"/>
                      <w:szCs w:val="21"/>
                      <w:lang w:val="en-US" w:eastAsia="zh-CN"/>
                    </w:rPr>
                  </w:pPr>
                  <w:r>
                    <w:rPr>
                      <w:rFonts w:hint="eastAsia"/>
                      <w:bCs/>
                      <w:color w:val="auto"/>
                      <w:szCs w:val="21"/>
                      <w:lang w:val="en-US" w:eastAsia="zh-CN"/>
                    </w:rPr>
                    <w:t>室外</w:t>
                  </w:r>
                </w:p>
              </w:tc>
            </w:tr>
          </w:tbl>
          <w:p w14:paraId="0CFEBECC">
            <w:pPr>
              <w:keepNext w:val="0"/>
              <w:keepLines/>
              <w:pageBreakBefore w:val="0"/>
              <w:widowControl/>
              <w:numPr>
                <w:ilvl w:val="0"/>
                <w:numId w:val="0"/>
              </w:numPr>
              <w:kinsoku/>
              <w:bidi w:val="0"/>
              <w:spacing w:line="360" w:lineRule="auto"/>
              <w:ind w:firstLine="340"/>
              <w:jc w:val="both"/>
              <w:rPr>
                <w:rFonts w:hint="eastAsia" w:cs="Times New Roman"/>
                <w:color w:val="auto"/>
                <w:sz w:val="21"/>
                <w:szCs w:val="21"/>
                <w:highlight w:val="none"/>
                <w:lang w:eastAsia="zh-CN"/>
              </w:rPr>
            </w:pPr>
            <w:r>
              <w:rPr>
                <w:rFonts w:ascii="Times New Roman" w:hAnsi="Times New Roman" w:cs="Times New Roman"/>
                <w:color w:val="auto"/>
                <w:szCs w:val="21"/>
              </w:rPr>
              <w:t>项目各类生产设备均位于生产车间内，对于各种设备，除选用噪声低的设备外</w:t>
            </w:r>
            <w:r>
              <w:rPr>
                <w:rFonts w:hint="eastAsia" w:ascii="Times New Roman" w:hAnsi="Times New Roman" w:eastAsia="宋体" w:cs="Times New Roman"/>
                <w:color w:val="auto"/>
                <w:sz w:val="21"/>
                <w:szCs w:val="21"/>
                <w:highlight w:val="none"/>
              </w:rPr>
              <w:t>项目噪声</w:t>
            </w:r>
            <w:r>
              <w:rPr>
                <w:rFonts w:ascii="Times New Roman" w:hAnsi="Times New Roman" w:cs="Times New Roman"/>
                <w:color w:val="auto"/>
                <w:szCs w:val="21"/>
              </w:rPr>
              <w:t>还应</w:t>
            </w:r>
            <w:r>
              <w:rPr>
                <w:rFonts w:hint="eastAsia" w:ascii="Times New Roman" w:hAnsi="Times New Roman" w:eastAsia="宋体" w:cs="Times New Roman"/>
                <w:color w:val="auto"/>
                <w:sz w:val="21"/>
                <w:szCs w:val="21"/>
                <w:highlight w:val="none"/>
              </w:rPr>
              <w:t>经过车间墙体隔声、设置减振垫等措施，通过建设单位落实好各类设备的</w:t>
            </w:r>
            <w:r>
              <w:rPr>
                <w:rFonts w:hint="eastAsia" w:ascii="Times New Roman" w:hAnsi="Times New Roman" w:eastAsia="宋体" w:cs="Times New Roman"/>
                <w:color w:val="auto"/>
                <w:sz w:val="21"/>
                <w:szCs w:val="21"/>
                <w:highlight w:val="none"/>
                <w:lang w:eastAsia="zh-CN"/>
              </w:rPr>
              <w:t>降噪</w:t>
            </w:r>
            <w:r>
              <w:rPr>
                <w:rFonts w:hint="eastAsia" w:ascii="Times New Roman" w:hAnsi="Times New Roman" w:eastAsia="宋体" w:cs="Times New Roman"/>
                <w:color w:val="auto"/>
                <w:sz w:val="21"/>
                <w:szCs w:val="21"/>
                <w:highlight w:val="none"/>
              </w:rPr>
              <w:t>措施，且车间墙体为</w:t>
            </w:r>
            <w:r>
              <w:rPr>
                <w:rFonts w:ascii="Times New Roman" w:hAnsi="Times New Roman" w:cs="Times New Roman"/>
                <w:color w:val="auto"/>
                <w:spacing w:val="-2"/>
                <w:szCs w:val="21"/>
              </w:rPr>
              <w:t>混凝土砖墙体</w:t>
            </w:r>
            <w:r>
              <w:rPr>
                <w:rFonts w:ascii="Times New Roman" w:hAnsi="Times New Roman" w:cs="Times New Roman"/>
                <w:color w:val="auto"/>
                <w:spacing w:val="-9"/>
                <w:szCs w:val="21"/>
              </w:rPr>
              <w:t>结构</w:t>
            </w:r>
            <w:r>
              <w:rPr>
                <w:rFonts w:hint="eastAsia" w:ascii="Times New Roman" w:hAnsi="Times New Roman" w:eastAsia="宋体" w:cs="Times New Roman"/>
                <w:color w:val="auto"/>
                <w:sz w:val="21"/>
                <w:szCs w:val="21"/>
                <w:highlight w:val="none"/>
              </w:rPr>
              <w:t>、铝窗结构，查阅资料，噪声通过墙体隔声可降低23－30dB（A）</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参考文献：环境工作手册</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环境噪声控制卷，高等教育出版社，2000年</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，这里取2</w:t>
            </w: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rPr>
              <w:t>dB（A）；由环境保护实用数据手册可知，底座</w:t>
            </w:r>
            <w:r>
              <w:rPr>
                <w:rFonts w:hint="eastAsia" w:ascii="Times New Roman" w:hAnsi="Times New Roman" w:eastAsia="宋体" w:cs="Times New Roman"/>
                <w:color w:val="auto"/>
                <w:sz w:val="21"/>
                <w:szCs w:val="21"/>
                <w:highlight w:val="none"/>
                <w:lang w:eastAsia="zh-CN"/>
              </w:rPr>
              <w:t>防震</w:t>
            </w:r>
            <w:r>
              <w:rPr>
                <w:rFonts w:hint="eastAsia" w:ascii="Times New Roman" w:hAnsi="Times New Roman" w:eastAsia="宋体" w:cs="Times New Roman"/>
                <w:color w:val="auto"/>
                <w:sz w:val="21"/>
                <w:szCs w:val="21"/>
                <w:highlight w:val="none"/>
              </w:rPr>
              <w:t>措施可降噪5~8dB(A</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，这里取</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rPr>
              <w:t>dB(A</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，总的降噪值可达到</w:t>
            </w:r>
            <w:r>
              <w:rPr>
                <w:rFonts w:hint="eastAsia" w:cs="Times New Roman"/>
                <w:color w:val="auto"/>
                <w:sz w:val="21"/>
                <w:szCs w:val="21"/>
                <w:highlight w:val="none"/>
                <w:lang w:val="en-US" w:eastAsia="zh-CN"/>
              </w:rPr>
              <w:t>28</w:t>
            </w:r>
            <w:r>
              <w:rPr>
                <w:rFonts w:hint="eastAsia" w:ascii="Times New Roman" w:hAnsi="Times New Roman" w:eastAsia="宋体" w:cs="Times New Roman"/>
                <w:color w:val="auto"/>
                <w:sz w:val="21"/>
                <w:szCs w:val="21"/>
                <w:highlight w:val="none"/>
              </w:rPr>
              <w:t>dB(A</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eastAsia="zh-CN"/>
              </w:rPr>
              <w:t>。</w:t>
            </w:r>
          </w:p>
          <w:p w14:paraId="1D6958F7">
            <w:pPr>
              <w:keepNext w:val="0"/>
              <w:keepLines/>
              <w:pageBreakBefore w:val="0"/>
              <w:widowControl/>
              <w:numPr>
                <w:ilvl w:val="0"/>
                <w:numId w:val="0"/>
              </w:numPr>
              <w:kinsoku/>
              <w:bidi w:val="0"/>
              <w:spacing w:line="360" w:lineRule="auto"/>
              <w:ind w:firstLine="340"/>
              <w:jc w:val="both"/>
              <w:rPr>
                <w:rFonts w:hint="default" w:ascii="Times New Roman" w:hAnsi="Times New Roman" w:eastAsia="宋体"/>
                <w:color w:val="auto"/>
                <w:spacing w:val="-1"/>
                <w:highlight w:val="none"/>
                <w:lang w:val="en-US" w:eastAsia="zh-CN"/>
              </w:rPr>
            </w:pPr>
            <w:r>
              <w:rPr>
                <w:rFonts w:hint="eastAsia" w:ascii="Times New Roman" w:hAnsi="Times New Roman" w:cs="Times New Roman"/>
                <w:color w:val="auto"/>
                <w:sz w:val="21"/>
                <w:szCs w:val="21"/>
                <w:highlight w:val="none"/>
                <w:lang w:val="en-US" w:eastAsia="zh-CN"/>
              </w:rPr>
              <w:t>室外风机</w:t>
            </w:r>
            <w:r>
              <w:rPr>
                <w:rFonts w:hint="eastAsia" w:cs="Times New Roman"/>
                <w:color w:val="auto"/>
                <w:sz w:val="21"/>
                <w:szCs w:val="21"/>
                <w:highlight w:val="none"/>
                <w:lang w:val="en-US" w:eastAsia="zh-CN"/>
              </w:rPr>
              <w:t>共2台，分别距</w:t>
            </w:r>
            <w:r>
              <w:rPr>
                <w:rFonts w:hint="eastAsia" w:ascii="Times New Roman" w:hAnsi="Times New Roman" w:cs="Times New Roman"/>
                <w:color w:val="auto"/>
                <w:sz w:val="21"/>
                <w:szCs w:val="21"/>
                <w:highlight w:val="none"/>
                <w:lang w:val="en-US" w:eastAsia="zh-CN"/>
              </w:rPr>
              <w:t>近敏感点（</w:t>
            </w:r>
            <w:r>
              <w:rPr>
                <w:rFonts w:hint="eastAsia" w:cs="Times New Roman"/>
                <w:color w:val="auto"/>
                <w:sz w:val="21"/>
                <w:szCs w:val="21"/>
                <w:highlight w:val="none"/>
                <w:lang w:val="en-US" w:eastAsia="zh-CN"/>
              </w:rPr>
              <w:t>西亨社区</w:t>
            </w:r>
            <w:r>
              <w:rPr>
                <w:rFonts w:hint="eastAsia" w:ascii="Times New Roman" w:hAnsi="Times New Roman" w:cs="Times New Roman"/>
                <w:color w:val="auto"/>
                <w:sz w:val="21"/>
                <w:szCs w:val="21"/>
                <w:highlight w:val="none"/>
                <w:lang w:val="en-US" w:eastAsia="zh-CN"/>
              </w:rPr>
              <w:t>）99m和98m，布置在厂区</w:t>
            </w:r>
            <w:r>
              <w:rPr>
                <w:rFonts w:hint="eastAsia" w:cs="Times New Roman"/>
                <w:color w:val="auto"/>
                <w:sz w:val="21"/>
                <w:szCs w:val="21"/>
                <w:highlight w:val="none"/>
                <w:lang w:val="en-US" w:eastAsia="zh-CN"/>
              </w:rPr>
              <w:t>东</w:t>
            </w:r>
            <w:r>
              <w:rPr>
                <w:rFonts w:hint="eastAsia" w:ascii="Times New Roman" w:hAnsi="Times New Roman" w:cs="Times New Roman"/>
                <w:color w:val="auto"/>
                <w:sz w:val="21"/>
                <w:szCs w:val="21"/>
                <w:highlight w:val="none"/>
                <w:lang w:val="en-US" w:eastAsia="zh-CN"/>
              </w:rPr>
              <w:t>北侧，远离最近敏感点（</w:t>
            </w:r>
            <w:r>
              <w:rPr>
                <w:rFonts w:hint="eastAsia" w:cs="Times New Roman"/>
                <w:color w:val="auto"/>
                <w:sz w:val="21"/>
                <w:szCs w:val="21"/>
                <w:highlight w:val="none"/>
                <w:lang w:val="en-US" w:eastAsia="zh-CN"/>
              </w:rPr>
              <w:t>西亨社区</w:t>
            </w:r>
            <w:r>
              <w:rPr>
                <w:rFonts w:hint="eastAsia" w:ascii="Times New Roman" w:hAnsi="Times New Roman" w:cs="Times New Roman"/>
                <w:color w:val="auto"/>
                <w:sz w:val="21"/>
                <w:szCs w:val="21"/>
                <w:highlight w:val="none"/>
                <w:lang w:val="en-US" w:eastAsia="zh-CN"/>
              </w:rPr>
              <w:t>）一侧</w:t>
            </w:r>
            <w:r>
              <w:rPr>
                <w:rFonts w:hint="eastAsia" w:cs="Times New Roman"/>
                <w:color w:val="auto"/>
                <w:sz w:val="21"/>
                <w:szCs w:val="21"/>
                <w:highlight w:val="none"/>
                <w:lang w:val="en-US" w:eastAsia="zh-CN"/>
              </w:rPr>
              <w:t>。室外风机选用低噪声风机，采取隔音、消声、减振等综合处理，通过安装减振垫，风口软接、消声器等来消除振动等产生的影响</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olor w:val="auto"/>
                <w:spacing w:val="-1"/>
                <w:highlight w:val="none"/>
                <w:lang w:val="en-US" w:eastAsia="zh-CN"/>
              </w:rPr>
              <w:t>项目厂界外1米处噪声值可达到《工业企业厂界环境噪声排放标准》</w:t>
            </w:r>
            <w:r>
              <w:rPr>
                <w:rFonts w:hint="eastAsia" w:ascii="Times New Roman" w:hAnsi="Times New Roman" w:eastAsia="宋体"/>
                <w:color w:val="auto"/>
                <w:spacing w:val="-1"/>
                <w:highlight w:val="none"/>
                <w:lang w:val="en-US" w:eastAsia="zh-CN"/>
              </w:rPr>
              <w:t>（</w:t>
            </w:r>
            <w:r>
              <w:rPr>
                <w:rFonts w:hint="default" w:ascii="Times New Roman" w:hAnsi="Times New Roman" w:eastAsia="宋体"/>
                <w:color w:val="auto"/>
                <w:spacing w:val="-1"/>
                <w:highlight w:val="none"/>
                <w:lang w:val="en-US" w:eastAsia="zh-CN"/>
              </w:rPr>
              <w:t>GB12348-2008)</w:t>
            </w:r>
            <w:r>
              <w:rPr>
                <w:rFonts w:hint="eastAsia" w:ascii="Times New Roman" w:hAnsi="Times New Roman" w:eastAsia="宋体"/>
                <w:color w:val="auto"/>
                <w:spacing w:val="-1"/>
                <w:highlight w:val="none"/>
                <w:lang w:val="en-US" w:eastAsia="zh-CN"/>
              </w:rPr>
              <w:t>3</w:t>
            </w:r>
            <w:r>
              <w:rPr>
                <w:rFonts w:hint="default" w:ascii="Times New Roman" w:hAnsi="Times New Roman" w:eastAsia="宋体"/>
                <w:color w:val="auto"/>
                <w:spacing w:val="-1"/>
                <w:highlight w:val="none"/>
                <w:lang w:val="en-US" w:eastAsia="zh-CN"/>
              </w:rPr>
              <w:t>类标准</w:t>
            </w:r>
            <w:r>
              <w:rPr>
                <w:rFonts w:ascii="Times New Roman" w:hAnsi="Times New Roman" w:eastAsia="宋体" w:cs="Times New Roman"/>
                <w:bCs/>
                <w:color w:val="auto"/>
                <w:sz w:val="21"/>
                <w:szCs w:val="21"/>
                <w:highlight w:val="none"/>
              </w:rPr>
              <w:t>昼间噪声限值</w:t>
            </w:r>
            <w:r>
              <w:rPr>
                <w:rFonts w:hint="eastAsia" w:ascii="Times New Roman" w:hAnsi="Times New Roman" w:eastAsia="宋体" w:cs="Times New Roman"/>
                <w:bCs/>
                <w:color w:val="auto"/>
                <w:sz w:val="21"/>
                <w:szCs w:val="21"/>
                <w:highlight w:val="none"/>
                <w:lang w:val="en-US" w:eastAsia="zh-CN"/>
              </w:rPr>
              <w:t>6</w:t>
            </w:r>
            <w:r>
              <w:rPr>
                <w:rFonts w:hint="eastAsia" w:cs="Times New Roman"/>
                <w:bCs/>
                <w:color w:val="auto"/>
                <w:sz w:val="21"/>
                <w:szCs w:val="21"/>
                <w:highlight w:val="none"/>
                <w:lang w:val="en-US" w:eastAsia="zh-CN"/>
              </w:rPr>
              <w:t>5</w:t>
            </w:r>
            <w:r>
              <w:rPr>
                <w:rFonts w:ascii="Times New Roman" w:hAnsi="Times New Roman" w:eastAsia="宋体" w:cs="Times New Roman"/>
                <w:bCs/>
                <w:color w:val="auto"/>
                <w:sz w:val="21"/>
                <w:szCs w:val="21"/>
                <w:highlight w:val="none"/>
              </w:rPr>
              <w:t>dB(A)）</w:t>
            </w:r>
            <w:r>
              <w:rPr>
                <w:rFonts w:hint="default" w:ascii="Times New Roman" w:hAnsi="Times New Roman" w:eastAsia="宋体"/>
                <w:color w:val="auto"/>
                <w:spacing w:val="-1"/>
                <w:highlight w:val="none"/>
                <w:lang w:val="en-US" w:eastAsia="zh-CN"/>
              </w:rPr>
              <w:t>。</w:t>
            </w:r>
          </w:p>
          <w:p w14:paraId="074927ED">
            <w:pPr>
              <w:keepNext w:val="0"/>
              <w:keepLines/>
              <w:pageBreakBefore w:val="0"/>
              <w:widowControl/>
              <w:numPr>
                <w:ilvl w:val="0"/>
                <w:numId w:val="0"/>
              </w:numPr>
              <w:kinsoku/>
              <w:bidi w:val="0"/>
              <w:spacing w:line="360" w:lineRule="auto"/>
              <w:ind w:firstLine="340"/>
              <w:jc w:val="both"/>
              <w:rPr>
                <w:rFonts w:hint="default" w:ascii="Times New Roman" w:hAnsi="Times New Roman" w:eastAsia="宋体"/>
                <w:color w:val="auto"/>
                <w:spacing w:val="-1"/>
                <w:highlight w:val="none"/>
                <w:lang w:val="en-US" w:eastAsia="zh-CN"/>
              </w:rPr>
            </w:pPr>
            <w:r>
              <w:rPr>
                <w:rFonts w:hint="default" w:ascii="Times New Roman" w:hAnsi="Times New Roman" w:eastAsia="宋体"/>
                <w:color w:val="auto"/>
                <w:spacing w:val="-1"/>
                <w:highlight w:val="none"/>
                <w:lang w:val="en-US" w:eastAsia="zh-CN"/>
              </w:rPr>
              <w:t>项目50m范围内无敏感点。</w:t>
            </w:r>
            <w:r>
              <w:rPr>
                <w:rFonts w:hint="eastAsia"/>
                <w:color w:val="auto"/>
                <w:lang w:val="en-US" w:eastAsia="zh-CN"/>
              </w:rPr>
              <w:t>项目无</w:t>
            </w:r>
            <w:r>
              <w:rPr>
                <w:rFonts w:hint="eastAsia"/>
                <w:color w:val="auto"/>
                <w:spacing w:val="-1"/>
                <w:highlight w:val="none"/>
                <w:lang w:val="en-US" w:eastAsia="zh-CN"/>
              </w:rPr>
              <w:t>夜间生产。</w:t>
            </w:r>
          </w:p>
          <w:p w14:paraId="150CB4D8">
            <w:pPr>
              <w:keepNext w:val="0"/>
              <w:keepLines/>
              <w:pageBreakBefore w:val="0"/>
              <w:widowControl/>
              <w:numPr>
                <w:ilvl w:val="0"/>
                <w:numId w:val="0"/>
              </w:numPr>
              <w:kinsoku/>
              <w:bidi w:val="0"/>
              <w:spacing w:line="360" w:lineRule="auto"/>
              <w:ind w:firstLine="340"/>
              <w:jc w:val="both"/>
              <w:rPr>
                <w:rFonts w:hint="default" w:ascii="Times New Roman" w:hAnsi="Times New Roman" w:eastAsia="宋体"/>
                <w:color w:val="auto"/>
                <w:spacing w:val="-1"/>
                <w:highlight w:val="none"/>
                <w:lang w:val="en-US" w:eastAsia="zh-CN"/>
              </w:rPr>
            </w:pPr>
            <w:r>
              <w:rPr>
                <w:rFonts w:hint="default" w:ascii="Times New Roman" w:hAnsi="Times New Roman" w:eastAsia="宋体"/>
                <w:color w:val="auto"/>
                <w:spacing w:val="-1"/>
                <w:highlight w:val="none"/>
                <w:lang w:val="en-US" w:eastAsia="zh-CN"/>
              </w:rPr>
              <w:t>为营造更好的工作环境，噪声防治对策应该从声源上降低噪声传播途径上降低噪声两个环节着手，要求做到以下几点：</w:t>
            </w:r>
          </w:p>
          <w:p w14:paraId="72AE1F30">
            <w:pPr>
              <w:keepNext w:val="0"/>
              <w:keepLines/>
              <w:pageBreakBefore w:val="0"/>
              <w:widowControl/>
              <w:numPr>
                <w:ilvl w:val="0"/>
                <w:numId w:val="0"/>
              </w:numPr>
              <w:kinsoku/>
              <w:bidi w:val="0"/>
              <w:spacing w:line="360" w:lineRule="auto"/>
              <w:ind w:firstLine="340"/>
              <w:jc w:val="both"/>
              <w:rPr>
                <w:rFonts w:hint="default" w:ascii="Times New Roman" w:hAnsi="Times New Roman" w:eastAsia="宋体"/>
                <w:color w:val="auto"/>
                <w:spacing w:val="-1"/>
                <w:highlight w:val="none"/>
                <w:lang w:val="en-US" w:eastAsia="zh-CN"/>
              </w:rPr>
            </w:pPr>
            <w:r>
              <w:rPr>
                <w:rFonts w:hint="default" w:ascii="Times New Roman" w:hAnsi="Times New Roman" w:eastAsia="宋体"/>
                <w:color w:val="auto"/>
                <w:spacing w:val="-1"/>
                <w:highlight w:val="none"/>
                <w:lang w:val="en-US" w:eastAsia="zh-CN"/>
              </w:rPr>
              <w:t>（1）对于各种生产设备，除选用噪声低的设备外还应合理地安装、布局，较高噪声设备应安装减振垫、减振基座等。室外风机等设备应安装减振垫、减振基座，设置在厂区</w:t>
            </w:r>
            <w:r>
              <w:rPr>
                <w:rFonts w:hint="eastAsia"/>
                <w:color w:val="auto"/>
                <w:spacing w:val="-1"/>
                <w:highlight w:val="none"/>
                <w:lang w:val="en-US" w:eastAsia="zh-CN"/>
              </w:rPr>
              <w:t>东北</w:t>
            </w:r>
            <w:r>
              <w:rPr>
                <w:rFonts w:hint="default" w:ascii="Times New Roman" w:hAnsi="Times New Roman" w:eastAsia="宋体"/>
                <w:color w:val="auto"/>
                <w:spacing w:val="-1"/>
                <w:highlight w:val="none"/>
                <w:lang w:val="en-US" w:eastAsia="zh-CN"/>
              </w:rPr>
              <w:t>部位置</w:t>
            </w:r>
            <w:r>
              <w:rPr>
                <w:rFonts w:hint="eastAsia"/>
                <w:color w:val="auto"/>
                <w:spacing w:val="-1"/>
                <w:highlight w:val="none"/>
                <w:lang w:val="en-US" w:eastAsia="zh-CN"/>
              </w:rPr>
              <w:t>，确保与最近敏感点（</w:t>
            </w:r>
            <w:r>
              <w:rPr>
                <w:rFonts w:hint="eastAsia" w:cs="Times New Roman"/>
                <w:color w:val="auto"/>
                <w:sz w:val="21"/>
                <w:szCs w:val="21"/>
                <w:highlight w:val="none"/>
                <w:lang w:val="en-US" w:eastAsia="zh-CN"/>
              </w:rPr>
              <w:t>西亨社区</w:t>
            </w:r>
            <w:r>
              <w:rPr>
                <w:rFonts w:hint="eastAsia"/>
                <w:color w:val="auto"/>
                <w:spacing w:val="-1"/>
                <w:highlight w:val="none"/>
                <w:lang w:val="en-US" w:eastAsia="zh-CN"/>
              </w:rPr>
              <w:t>）距离≥90m</w:t>
            </w:r>
            <w:r>
              <w:rPr>
                <w:rFonts w:hint="default" w:ascii="Times New Roman" w:hAnsi="Times New Roman" w:eastAsia="宋体"/>
                <w:color w:val="auto"/>
                <w:spacing w:val="-1"/>
                <w:highlight w:val="none"/>
                <w:lang w:val="en-US" w:eastAsia="zh-CN"/>
              </w:rPr>
              <w:t>。</w:t>
            </w:r>
          </w:p>
          <w:p w14:paraId="3BB152D1">
            <w:pPr>
              <w:keepNext w:val="0"/>
              <w:keepLines/>
              <w:pageBreakBefore w:val="0"/>
              <w:widowControl/>
              <w:numPr>
                <w:ilvl w:val="0"/>
                <w:numId w:val="0"/>
              </w:numPr>
              <w:kinsoku/>
              <w:bidi w:val="0"/>
              <w:spacing w:line="360" w:lineRule="auto"/>
              <w:ind w:firstLine="340"/>
              <w:jc w:val="both"/>
              <w:rPr>
                <w:rFonts w:hint="default" w:ascii="Times New Roman" w:hAnsi="Times New Roman" w:eastAsia="宋体"/>
                <w:color w:val="auto"/>
                <w:spacing w:val="-1"/>
                <w:highlight w:val="none"/>
                <w:lang w:val="en-US" w:eastAsia="zh-CN"/>
              </w:rPr>
            </w:pPr>
            <w:r>
              <w:rPr>
                <w:rFonts w:hint="default" w:ascii="Times New Roman" w:hAnsi="Times New Roman" w:eastAsia="宋体"/>
                <w:color w:val="auto"/>
                <w:spacing w:val="-1"/>
                <w:highlight w:val="none"/>
                <w:lang w:val="en-US" w:eastAsia="zh-CN"/>
              </w:rPr>
              <w:t>（2）投入使用后应加强对设备的日常检修和维护，保证各设备正常运转，以免由于故障原因产生较大噪声，同时加强生产管理，教育员工文明生产，减少人为因素造成的噪声，合理安排生产；</w:t>
            </w:r>
          </w:p>
          <w:p w14:paraId="78001ABB">
            <w:pPr>
              <w:keepNext w:val="0"/>
              <w:keepLines/>
              <w:pageBreakBefore w:val="0"/>
              <w:widowControl/>
              <w:numPr>
                <w:ilvl w:val="0"/>
                <w:numId w:val="0"/>
              </w:numPr>
              <w:kinsoku/>
              <w:bidi w:val="0"/>
              <w:spacing w:line="360" w:lineRule="auto"/>
              <w:ind w:firstLine="340"/>
              <w:jc w:val="both"/>
              <w:rPr>
                <w:rFonts w:hint="default" w:ascii="Times New Roman" w:hAnsi="Times New Roman" w:eastAsia="宋体"/>
                <w:color w:val="auto"/>
                <w:spacing w:val="-1"/>
                <w:highlight w:val="none"/>
                <w:lang w:val="en-US" w:eastAsia="zh-CN"/>
              </w:rPr>
            </w:pPr>
            <w:r>
              <w:rPr>
                <w:rFonts w:hint="default" w:ascii="Times New Roman" w:hAnsi="Times New Roman" w:eastAsia="宋体"/>
                <w:color w:val="auto"/>
                <w:spacing w:val="-1"/>
                <w:highlight w:val="none"/>
                <w:lang w:val="en-US" w:eastAsia="zh-CN"/>
              </w:rPr>
              <w:t>（3）车间的门窗要选用隔声性能良好的门窗，加上自然距离的衰减，使生产设备产生的机械噪声得到有效地衰减。靠近</w:t>
            </w:r>
            <w:r>
              <w:rPr>
                <w:rFonts w:hint="eastAsia"/>
                <w:color w:val="auto"/>
                <w:spacing w:val="-1"/>
                <w:highlight w:val="none"/>
                <w:lang w:val="en-US" w:eastAsia="zh-CN"/>
              </w:rPr>
              <w:t>最近</w:t>
            </w:r>
            <w:r>
              <w:rPr>
                <w:rFonts w:hint="default" w:ascii="Times New Roman" w:hAnsi="Times New Roman" w:eastAsia="宋体"/>
                <w:color w:val="auto"/>
                <w:spacing w:val="-1"/>
                <w:highlight w:val="none"/>
                <w:lang w:val="en-US" w:eastAsia="zh-CN"/>
              </w:rPr>
              <w:t>敏感点</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西亨社区</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olor w:val="auto"/>
                <w:spacing w:val="-1"/>
                <w:highlight w:val="none"/>
                <w:lang w:val="en-US" w:eastAsia="zh-CN"/>
              </w:rPr>
              <w:t>处的</w:t>
            </w:r>
            <w:r>
              <w:rPr>
                <w:rFonts w:hint="eastAsia"/>
                <w:color w:val="auto"/>
                <w:spacing w:val="-1"/>
                <w:highlight w:val="none"/>
                <w:lang w:val="en-US" w:eastAsia="zh-CN"/>
              </w:rPr>
              <w:t>西</w:t>
            </w:r>
            <w:r>
              <w:rPr>
                <w:rFonts w:hint="default" w:ascii="Times New Roman" w:hAnsi="Times New Roman" w:eastAsia="宋体"/>
                <w:color w:val="auto"/>
                <w:spacing w:val="-1"/>
                <w:highlight w:val="none"/>
                <w:lang w:val="en-US" w:eastAsia="zh-CN"/>
              </w:rPr>
              <w:t>南面采用双层玻璃隔音窗，隔音窗可根据车间使用情况采用活动形式。</w:t>
            </w:r>
          </w:p>
          <w:p w14:paraId="104E5822">
            <w:pPr>
              <w:keepNext w:val="0"/>
              <w:keepLines/>
              <w:pageBreakBefore w:val="0"/>
              <w:widowControl/>
              <w:numPr>
                <w:ilvl w:val="0"/>
                <w:numId w:val="0"/>
              </w:numPr>
              <w:kinsoku/>
              <w:bidi w:val="0"/>
              <w:spacing w:line="360" w:lineRule="auto"/>
              <w:ind w:firstLine="340"/>
              <w:jc w:val="both"/>
              <w:rPr>
                <w:rFonts w:hint="default" w:ascii="Times New Roman" w:hAnsi="Times New Roman" w:eastAsia="宋体"/>
                <w:color w:val="auto"/>
                <w:spacing w:val="-1"/>
                <w:highlight w:val="none"/>
                <w:lang w:val="en-US" w:eastAsia="zh-CN"/>
              </w:rPr>
            </w:pPr>
            <w:r>
              <w:rPr>
                <w:rFonts w:hint="default" w:ascii="Times New Roman" w:hAnsi="Times New Roman" w:eastAsia="宋体"/>
                <w:color w:val="auto"/>
                <w:spacing w:val="-1"/>
                <w:highlight w:val="none"/>
                <w:lang w:val="en-US" w:eastAsia="zh-CN"/>
              </w:rPr>
              <w:t>（</w:t>
            </w:r>
            <w:r>
              <w:rPr>
                <w:rFonts w:hint="eastAsia" w:ascii="Times New Roman" w:hAnsi="Times New Roman" w:eastAsia="宋体"/>
                <w:color w:val="auto"/>
                <w:spacing w:val="-1"/>
                <w:highlight w:val="none"/>
                <w:lang w:val="en-US" w:eastAsia="zh-CN"/>
              </w:rPr>
              <w:t>4</w:t>
            </w:r>
            <w:r>
              <w:rPr>
                <w:rFonts w:hint="default" w:ascii="Times New Roman" w:hAnsi="Times New Roman" w:eastAsia="宋体"/>
                <w:color w:val="auto"/>
                <w:spacing w:val="-1"/>
                <w:highlight w:val="none"/>
                <w:lang w:val="en-US" w:eastAsia="zh-CN"/>
              </w:rPr>
              <w:t>）在原材料和成品的搬运过程中，要轻拿轻放，避免大的突发噪声产生。</w:t>
            </w:r>
          </w:p>
          <w:p w14:paraId="4C618C27">
            <w:pPr>
              <w:keepNext w:val="0"/>
              <w:keepLines/>
              <w:pageBreakBefore w:val="0"/>
              <w:widowControl/>
              <w:numPr>
                <w:ilvl w:val="0"/>
                <w:numId w:val="0"/>
              </w:numPr>
              <w:kinsoku/>
              <w:bidi w:val="0"/>
              <w:spacing w:line="360" w:lineRule="auto"/>
              <w:ind w:firstLine="340"/>
              <w:jc w:val="both"/>
              <w:rPr>
                <w:rFonts w:hint="default" w:ascii="Times New Roman" w:hAnsi="Times New Roman" w:eastAsia="宋体"/>
                <w:color w:val="auto"/>
                <w:spacing w:val="-1"/>
                <w:highlight w:val="none"/>
                <w:lang w:val="en-US" w:eastAsia="zh-CN"/>
              </w:rPr>
            </w:pPr>
            <w:r>
              <w:rPr>
                <w:rFonts w:hint="default" w:ascii="Times New Roman" w:hAnsi="Times New Roman" w:eastAsia="宋体"/>
                <w:color w:val="auto"/>
                <w:spacing w:val="-1"/>
                <w:highlight w:val="none"/>
                <w:lang w:val="en-US" w:eastAsia="zh-CN"/>
              </w:rPr>
              <w:t>（</w:t>
            </w:r>
            <w:r>
              <w:rPr>
                <w:rFonts w:hint="eastAsia" w:ascii="Times New Roman" w:hAnsi="Times New Roman" w:eastAsia="宋体"/>
                <w:color w:val="auto"/>
                <w:spacing w:val="-1"/>
                <w:highlight w:val="none"/>
                <w:lang w:val="en-US" w:eastAsia="zh-CN"/>
              </w:rPr>
              <w:t>5</w:t>
            </w:r>
            <w:r>
              <w:rPr>
                <w:rFonts w:hint="default" w:ascii="Times New Roman" w:hAnsi="Times New Roman" w:eastAsia="宋体"/>
                <w:color w:val="auto"/>
                <w:spacing w:val="-1"/>
                <w:highlight w:val="none"/>
                <w:lang w:val="en-US" w:eastAsia="zh-CN"/>
              </w:rPr>
              <w:t>）对于运输噪声，应合理选择运输路线，减少车辆噪声对周围环境敏感点的影响，限制大型载重车的车速，靠近居民区附近时应限速，对运输车辆定期维修、养护，减少或杜绝鸣笛等。</w:t>
            </w:r>
          </w:p>
          <w:p w14:paraId="74DB85A5">
            <w:pPr>
              <w:spacing w:line="360" w:lineRule="auto"/>
              <w:ind w:firstLine="420" w:firstLineChars="200"/>
              <w:rPr>
                <w:color w:val="auto"/>
                <w:szCs w:val="21"/>
              </w:rPr>
            </w:pPr>
            <w:r>
              <w:rPr>
                <w:color w:val="auto"/>
                <w:szCs w:val="21"/>
                <w:lang w:val="zh-CN" w:bidi="zh-CN"/>
              </w:rPr>
              <w:t>经过以上治理措施，项目昼间厂界产生的边界噪声</w:t>
            </w:r>
            <w:r>
              <w:rPr>
                <w:rFonts w:hint="eastAsia"/>
                <w:color w:val="auto"/>
                <w:szCs w:val="21"/>
                <w:lang w:val="en-US" w:bidi="zh-CN"/>
              </w:rPr>
              <w:t>满足</w:t>
            </w:r>
            <w:r>
              <w:rPr>
                <w:color w:val="auto"/>
                <w:szCs w:val="21"/>
                <w:lang w:val="zh-CN" w:bidi="zh-CN"/>
              </w:rPr>
              <w:t>《工业企业厂界环境噪声排放标准》(GB12348－2008)</w:t>
            </w:r>
            <w:r>
              <w:rPr>
                <w:color w:val="auto"/>
                <w:szCs w:val="21"/>
                <w:lang w:bidi="zh-CN"/>
              </w:rPr>
              <w:t>3</w:t>
            </w:r>
            <w:r>
              <w:rPr>
                <w:color w:val="auto"/>
                <w:szCs w:val="21"/>
                <w:lang w:val="zh-CN" w:bidi="zh-CN"/>
              </w:rPr>
              <w:t>类标准，不会对周边环境产生明显影响</w:t>
            </w:r>
            <w:r>
              <w:rPr>
                <w:color w:val="auto"/>
                <w:szCs w:val="21"/>
              </w:rPr>
              <w:t>。</w:t>
            </w:r>
          </w:p>
          <w:p w14:paraId="7446B400">
            <w:pPr>
              <w:pStyle w:val="9"/>
              <w:spacing w:line="360" w:lineRule="auto"/>
              <w:ind w:left="630" w:leftChars="0" w:firstLineChars="0"/>
              <w:rPr>
                <w:color w:val="auto"/>
                <w:szCs w:val="21"/>
              </w:rPr>
            </w:pPr>
            <w:r>
              <w:rPr>
                <w:rFonts w:hint="eastAsia"/>
                <w:color w:val="auto"/>
                <w:szCs w:val="21"/>
              </w:rPr>
              <w:t>噪声监测计划</w:t>
            </w:r>
          </w:p>
          <w:tbl>
            <w:tblPr>
              <w:tblStyle w:val="3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2068"/>
              <w:gridCol w:w="1085"/>
              <w:gridCol w:w="1985"/>
              <w:gridCol w:w="2563"/>
            </w:tblGrid>
            <w:tr w14:paraId="409C3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17" w:type="pct"/>
                  <w:shd w:val="clear" w:color="000000" w:fill="CCE8CF"/>
                  <w:vAlign w:val="center"/>
                </w:tcPr>
                <w:p w14:paraId="54160F46">
                  <w:pPr>
                    <w:snapToGrid w:val="0"/>
                    <w:spacing w:line="360" w:lineRule="auto"/>
                    <w:jc w:val="center"/>
                    <w:rPr>
                      <w:color w:val="auto"/>
                      <w:kern w:val="0"/>
                      <w:szCs w:val="21"/>
                    </w:rPr>
                  </w:pPr>
                  <w:r>
                    <w:rPr>
                      <w:rFonts w:hint="eastAsia"/>
                      <w:color w:val="auto"/>
                      <w:kern w:val="0"/>
                      <w:szCs w:val="21"/>
                    </w:rPr>
                    <w:t>序号</w:t>
                  </w:r>
                </w:p>
              </w:tc>
              <w:tc>
                <w:tcPr>
                  <w:tcW w:w="1230" w:type="pct"/>
                  <w:shd w:val="clear" w:color="000000" w:fill="CCE8CF"/>
                  <w:vAlign w:val="center"/>
                </w:tcPr>
                <w:p w14:paraId="0BEF9435">
                  <w:pPr>
                    <w:snapToGrid w:val="0"/>
                    <w:spacing w:line="360" w:lineRule="auto"/>
                    <w:jc w:val="center"/>
                    <w:rPr>
                      <w:color w:val="auto"/>
                      <w:kern w:val="0"/>
                      <w:szCs w:val="21"/>
                    </w:rPr>
                  </w:pPr>
                  <w:r>
                    <w:rPr>
                      <w:rFonts w:hint="eastAsia"/>
                      <w:color w:val="auto"/>
                      <w:kern w:val="0"/>
                      <w:szCs w:val="21"/>
                    </w:rPr>
                    <w:t>监测点位</w:t>
                  </w:r>
                </w:p>
              </w:tc>
              <w:tc>
                <w:tcPr>
                  <w:tcW w:w="645" w:type="pct"/>
                  <w:shd w:val="clear" w:color="000000" w:fill="CCE8CF"/>
                  <w:vAlign w:val="center"/>
                </w:tcPr>
                <w:p w14:paraId="06A8583A">
                  <w:pPr>
                    <w:snapToGrid w:val="0"/>
                    <w:spacing w:line="360" w:lineRule="auto"/>
                    <w:jc w:val="center"/>
                    <w:rPr>
                      <w:color w:val="auto"/>
                      <w:kern w:val="0"/>
                      <w:szCs w:val="21"/>
                    </w:rPr>
                  </w:pPr>
                  <w:r>
                    <w:rPr>
                      <w:rFonts w:hint="eastAsia"/>
                      <w:color w:val="auto"/>
                      <w:kern w:val="0"/>
                      <w:szCs w:val="21"/>
                    </w:rPr>
                    <w:t>监测频次</w:t>
                  </w:r>
                </w:p>
              </w:tc>
              <w:tc>
                <w:tcPr>
                  <w:tcW w:w="1181" w:type="pct"/>
                  <w:shd w:val="clear" w:color="000000" w:fill="CCE8CF"/>
                  <w:vAlign w:val="center"/>
                </w:tcPr>
                <w:p w14:paraId="087D6417">
                  <w:pPr>
                    <w:snapToGrid w:val="0"/>
                    <w:spacing w:line="360" w:lineRule="auto"/>
                    <w:jc w:val="center"/>
                    <w:rPr>
                      <w:color w:val="auto"/>
                      <w:kern w:val="0"/>
                      <w:szCs w:val="21"/>
                    </w:rPr>
                  </w:pPr>
                  <w:r>
                    <w:rPr>
                      <w:rFonts w:hint="eastAsia"/>
                      <w:color w:val="auto"/>
                      <w:kern w:val="0"/>
                      <w:szCs w:val="21"/>
                    </w:rPr>
                    <w:t>排放</w:t>
                  </w:r>
                  <w:r>
                    <w:rPr>
                      <w:color w:val="auto"/>
                      <w:kern w:val="0"/>
                      <w:szCs w:val="21"/>
                    </w:rPr>
                    <w:t>限值</w:t>
                  </w:r>
                </w:p>
              </w:tc>
              <w:tc>
                <w:tcPr>
                  <w:tcW w:w="1525" w:type="pct"/>
                  <w:shd w:val="clear" w:color="000000" w:fill="CCE8CF"/>
                  <w:vAlign w:val="center"/>
                </w:tcPr>
                <w:p w14:paraId="1D974B46">
                  <w:pPr>
                    <w:snapToGrid w:val="0"/>
                    <w:spacing w:line="360" w:lineRule="auto"/>
                    <w:jc w:val="center"/>
                    <w:rPr>
                      <w:color w:val="auto"/>
                      <w:kern w:val="0"/>
                      <w:szCs w:val="21"/>
                    </w:rPr>
                  </w:pPr>
                  <w:r>
                    <w:rPr>
                      <w:rFonts w:hint="eastAsia"/>
                      <w:color w:val="auto"/>
                      <w:kern w:val="0"/>
                      <w:szCs w:val="21"/>
                    </w:rPr>
                    <w:t>执行排放标准</w:t>
                  </w:r>
                </w:p>
              </w:tc>
            </w:tr>
            <w:tr w14:paraId="22F65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trPr>
              <w:tc>
                <w:tcPr>
                  <w:tcW w:w="417" w:type="pct"/>
                  <w:shd w:val="clear" w:color="000000" w:fill="CCE8CF"/>
                  <w:vAlign w:val="center"/>
                </w:tcPr>
                <w:p w14:paraId="07FBA70B">
                  <w:pPr>
                    <w:snapToGrid w:val="0"/>
                    <w:spacing w:line="360" w:lineRule="auto"/>
                    <w:jc w:val="center"/>
                    <w:rPr>
                      <w:rFonts w:hint="eastAsia" w:eastAsia="宋体"/>
                      <w:color w:val="auto"/>
                      <w:kern w:val="0"/>
                      <w:szCs w:val="21"/>
                      <w:lang w:eastAsia="zh-CN"/>
                    </w:rPr>
                  </w:pPr>
                  <w:r>
                    <w:rPr>
                      <w:rFonts w:hint="eastAsia"/>
                      <w:color w:val="auto"/>
                      <w:kern w:val="0"/>
                      <w:szCs w:val="21"/>
                      <w:lang w:val="en-US" w:eastAsia="zh-CN"/>
                    </w:rPr>
                    <w:t>1</w:t>
                  </w:r>
                </w:p>
              </w:tc>
              <w:tc>
                <w:tcPr>
                  <w:tcW w:w="1230" w:type="pct"/>
                  <w:shd w:val="clear" w:color="000000" w:fill="CCE8CF"/>
                  <w:vAlign w:val="center"/>
                </w:tcPr>
                <w:p w14:paraId="5B3D8CA9">
                  <w:pPr>
                    <w:snapToGrid w:val="0"/>
                    <w:spacing w:line="360" w:lineRule="auto"/>
                    <w:jc w:val="center"/>
                    <w:rPr>
                      <w:color w:val="auto"/>
                      <w:szCs w:val="21"/>
                    </w:rPr>
                  </w:pPr>
                  <w:r>
                    <w:rPr>
                      <w:rFonts w:hint="eastAsia"/>
                      <w:color w:val="auto"/>
                      <w:szCs w:val="21"/>
                    </w:rPr>
                    <w:t>厂界</w:t>
                  </w:r>
                  <w:r>
                    <w:rPr>
                      <w:rFonts w:hint="eastAsia"/>
                      <w:color w:val="auto"/>
                      <w:szCs w:val="21"/>
                      <w:lang w:val="en-US" w:eastAsia="zh-CN"/>
                    </w:rPr>
                    <w:t>东南、东北、西南、西北面外1米</w:t>
                  </w:r>
                </w:p>
              </w:tc>
              <w:tc>
                <w:tcPr>
                  <w:tcW w:w="645" w:type="pct"/>
                  <w:shd w:val="clear" w:color="000000" w:fill="CCE8CF"/>
                  <w:vAlign w:val="center"/>
                </w:tcPr>
                <w:p w14:paraId="4D1AB05B">
                  <w:pPr>
                    <w:snapToGrid w:val="0"/>
                    <w:spacing w:line="360" w:lineRule="auto"/>
                    <w:jc w:val="center"/>
                    <w:rPr>
                      <w:color w:val="auto"/>
                      <w:kern w:val="0"/>
                      <w:szCs w:val="21"/>
                    </w:rPr>
                  </w:pPr>
                  <w:r>
                    <w:rPr>
                      <w:rFonts w:hint="eastAsia"/>
                      <w:color w:val="auto"/>
                      <w:kern w:val="0"/>
                      <w:szCs w:val="21"/>
                    </w:rPr>
                    <w:t>1次/季</w:t>
                  </w:r>
                </w:p>
              </w:tc>
              <w:tc>
                <w:tcPr>
                  <w:tcW w:w="1181" w:type="pct"/>
                  <w:shd w:val="clear" w:color="000000" w:fill="CCE8CF"/>
                  <w:vAlign w:val="center"/>
                </w:tcPr>
                <w:p w14:paraId="5C96C5E6">
                  <w:pPr>
                    <w:snapToGrid w:val="0"/>
                    <w:spacing w:line="360" w:lineRule="auto"/>
                    <w:jc w:val="center"/>
                    <w:rPr>
                      <w:color w:val="auto"/>
                      <w:kern w:val="0"/>
                      <w:szCs w:val="21"/>
                    </w:rPr>
                  </w:pPr>
                  <w:r>
                    <w:rPr>
                      <w:color w:val="auto"/>
                      <w:kern w:val="0"/>
                      <w:szCs w:val="21"/>
                    </w:rPr>
                    <w:t>昼间≤6</w:t>
                  </w:r>
                  <w:r>
                    <w:rPr>
                      <w:rFonts w:hint="eastAsia"/>
                      <w:color w:val="auto"/>
                      <w:kern w:val="0"/>
                      <w:szCs w:val="21"/>
                      <w:lang w:val="en-US" w:eastAsia="zh-CN"/>
                    </w:rPr>
                    <w:t>5</w:t>
                  </w:r>
                  <w:r>
                    <w:rPr>
                      <w:color w:val="auto"/>
                      <w:kern w:val="0"/>
                      <w:szCs w:val="21"/>
                    </w:rPr>
                    <w:t>dB（A）</w:t>
                  </w:r>
                </w:p>
              </w:tc>
              <w:tc>
                <w:tcPr>
                  <w:tcW w:w="1525" w:type="pct"/>
                  <w:shd w:val="clear" w:color="000000" w:fill="CCE8CF"/>
                  <w:vAlign w:val="center"/>
                </w:tcPr>
                <w:p w14:paraId="222B6418">
                  <w:pPr>
                    <w:snapToGrid w:val="0"/>
                    <w:spacing w:line="360" w:lineRule="auto"/>
                    <w:jc w:val="center"/>
                    <w:rPr>
                      <w:color w:val="auto"/>
                      <w:kern w:val="0"/>
                      <w:szCs w:val="21"/>
                    </w:rPr>
                  </w:pPr>
                  <w:r>
                    <w:rPr>
                      <w:rFonts w:hint="eastAsia"/>
                      <w:color w:val="auto"/>
                      <w:kern w:val="0"/>
                      <w:szCs w:val="21"/>
                    </w:rPr>
                    <w:t>《工业企业厂界环境噪声排放标准》(GB12348－2008)的 3 类标准要求</w:t>
                  </w:r>
                </w:p>
              </w:tc>
            </w:tr>
          </w:tbl>
          <w:p w14:paraId="617EE501">
            <w:pPr>
              <w:adjustRightInd w:val="0"/>
              <w:snapToGrid w:val="0"/>
              <w:spacing w:line="360" w:lineRule="auto"/>
              <w:rPr>
                <w:rFonts w:ascii="宋体" w:hAnsi="宋体" w:cs="宋体"/>
                <w:b/>
                <w:bCs/>
                <w:color w:val="auto"/>
                <w:spacing w:val="-10"/>
                <w:szCs w:val="21"/>
              </w:rPr>
            </w:pPr>
            <w:r>
              <w:rPr>
                <w:rFonts w:hint="eastAsia" w:ascii="宋体" w:hAnsi="宋体" w:cs="宋体"/>
                <w:b/>
                <w:bCs/>
                <w:color w:val="auto"/>
                <w:spacing w:val="-10"/>
                <w:szCs w:val="21"/>
              </w:rPr>
              <w:t>四</w:t>
            </w:r>
            <w:r>
              <w:rPr>
                <w:rFonts w:ascii="宋体" w:hAnsi="宋体" w:cs="宋体"/>
                <w:b/>
                <w:bCs/>
                <w:color w:val="auto"/>
                <w:spacing w:val="-10"/>
                <w:szCs w:val="21"/>
              </w:rPr>
              <w:t>、固体废物</w:t>
            </w:r>
          </w:p>
          <w:p w14:paraId="17D88FF6">
            <w:pPr>
              <w:widowControl/>
              <w:snapToGrid w:val="0"/>
              <w:spacing w:before="60" w:line="360" w:lineRule="auto"/>
              <w:ind w:right="113" w:firstLine="420" w:firstLineChars="200"/>
              <w:rPr>
                <w:color w:val="auto"/>
                <w:kern w:val="0"/>
                <w:szCs w:val="21"/>
              </w:rPr>
            </w:pPr>
            <w:r>
              <w:rPr>
                <w:color w:val="auto"/>
                <w:kern w:val="0"/>
                <w:szCs w:val="21"/>
              </w:rPr>
              <w:t>（1）</w:t>
            </w:r>
            <w:r>
              <w:rPr>
                <w:rFonts w:hint="eastAsia"/>
                <w:color w:val="auto"/>
                <w:kern w:val="0"/>
                <w:szCs w:val="21"/>
                <w:lang w:val="en-US" w:eastAsia="zh-CN"/>
              </w:rPr>
              <w:t>生活垃圾：</w:t>
            </w:r>
            <w:r>
              <w:rPr>
                <w:color w:val="auto"/>
                <w:kern w:val="0"/>
                <w:szCs w:val="21"/>
              </w:rPr>
              <w:t>项目</w:t>
            </w:r>
            <w:r>
              <w:rPr>
                <w:rFonts w:hint="eastAsia"/>
                <w:color w:val="auto"/>
                <w:kern w:val="0"/>
                <w:szCs w:val="21"/>
                <w:lang w:val="en-US" w:eastAsia="zh-CN"/>
              </w:rPr>
              <w:t>员工</w:t>
            </w:r>
            <w:r>
              <w:rPr>
                <w:rFonts w:hint="eastAsia"/>
                <w:color w:val="auto"/>
                <w:kern w:val="0"/>
                <w:szCs w:val="21"/>
              </w:rPr>
              <w:t>共20人，</w:t>
            </w:r>
            <w:r>
              <w:rPr>
                <w:rFonts w:ascii="Times New Roman" w:hAnsi="Times New Roman"/>
                <w:color w:val="auto"/>
                <w:szCs w:val="21"/>
                <w:highlight w:val="none"/>
              </w:rPr>
              <w:t>根据《社会区域内环境影响评价》（中国环境科学出版社），我国目前城市人均生活垃圾为0.8~1.5kg/人·d，办公垃圾为0.5~1.0kg/人·d，本项目员工每人每天生活垃圾量按1kg计，年工作日按</w:t>
            </w:r>
            <w:r>
              <w:rPr>
                <w:rFonts w:hint="eastAsia" w:ascii="Times New Roman" w:hAnsi="Times New Roman"/>
                <w:color w:val="auto"/>
                <w:szCs w:val="21"/>
                <w:highlight w:val="none"/>
                <w:lang w:val="en-US" w:eastAsia="zh-CN"/>
              </w:rPr>
              <w:t>300</w:t>
            </w:r>
            <w:r>
              <w:rPr>
                <w:rFonts w:ascii="Times New Roman" w:hAnsi="Times New Roman"/>
                <w:color w:val="auto"/>
                <w:szCs w:val="21"/>
                <w:highlight w:val="none"/>
              </w:rPr>
              <w:t>天计算，</w:t>
            </w:r>
            <w:r>
              <w:rPr>
                <w:color w:val="auto"/>
                <w:kern w:val="0"/>
                <w:szCs w:val="21"/>
              </w:rPr>
              <w:t>生活垃圾产生量为</w:t>
            </w:r>
            <w:r>
              <w:rPr>
                <w:rFonts w:hint="eastAsia"/>
                <w:color w:val="auto"/>
                <w:kern w:val="0"/>
                <w:szCs w:val="21"/>
                <w:lang w:val="en-US" w:eastAsia="zh-CN"/>
              </w:rPr>
              <w:t>20</w:t>
            </w:r>
            <w:r>
              <w:rPr>
                <w:color w:val="auto"/>
                <w:kern w:val="0"/>
                <w:szCs w:val="21"/>
              </w:rPr>
              <w:t>kg/d</w:t>
            </w:r>
            <w:r>
              <w:rPr>
                <w:color w:val="auto"/>
                <w:spacing w:val="-10"/>
                <w:kern w:val="0"/>
                <w:szCs w:val="21"/>
              </w:rPr>
              <w:t>（</w:t>
            </w:r>
            <w:r>
              <w:rPr>
                <w:rFonts w:hint="eastAsia"/>
                <w:color w:val="auto"/>
                <w:spacing w:val="-10"/>
                <w:kern w:val="0"/>
                <w:szCs w:val="21"/>
                <w:lang w:val="en-US" w:eastAsia="zh-CN"/>
              </w:rPr>
              <w:t>6</w:t>
            </w:r>
            <w:r>
              <w:rPr>
                <w:color w:val="auto"/>
                <w:spacing w:val="-10"/>
                <w:kern w:val="0"/>
                <w:szCs w:val="21"/>
              </w:rPr>
              <w:t>t/a）</w:t>
            </w:r>
            <w:r>
              <w:rPr>
                <w:color w:val="auto"/>
                <w:kern w:val="0"/>
                <w:szCs w:val="21"/>
              </w:rPr>
              <w:t>。设置生活垃圾分类收集桶，集中放置在指定地点，由环卫部门清运，不会对环境造成影响。</w:t>
            </w:r>
          </w:p>
          <w:p w14:paraId="6AECADFA">
            <w:pPr>
              <w:widowControl/>
              <w:snapToGrid w:val="0"/>
              <w:spacing w:before="60" w:line="360" w:lineRule="auto"/>
              <w:ind w:right="113" w:firstLine="420" w:firstLineChars="200"/>
              <w:rPr>
                <w:color w:val="auto"/>
                <w:kern w:val="0"/>
                <w:szCs w:val="21"/>
              </w:rPr>
            </w:pPr>
            <w:r>
              <w:rPr>
                <w:color w:val="auto"/>
                <w:kern w:val="0"/>
                <w:szCs w:val="21"/>
              </w:rPr>
              <w:t>（2）一般固体废物：</w:t>
            </w:r>
          </w:p>
          <w:p w14:paraId="05FFB3DB">
            <w:pPr>
              <w:widowControl/>
              <w:snapToGrid w:val="0"/>
              <w:spacing w:before="60" w:line="360" w:lineRule="auto"/>
              <w:ind w:right="113" w:firstLine="420" w:firstLineChars="200"/>
              <w:rPr>
                <w:rFonts w:hint="default" w:ascii="Times New Roman" w:hAnsi="Times New Roman" w:eastAsia="宋体" w:cs="宋体"/>
                <w:color w:val="auto"/>
                <w:sz w:val="21"/>
                <w:szCs w:val="21"/>
                <w:shd w:val="clear" w:color="auto" w:fill="FFFFFF"/>
                <w:lang w:val="en-US" w:eastAsia="zh-CN"/>
              </w:rPr>
            </w:pPr>
            <w:r>
              <w:rPr>
                <w:rFonts w:hint="eastAsia" w:ascii="Times New Roman" w:hAnsi="Times New Roman" w:cs="宋体"/>
                <w:color w:val="auto"/>
                <w:sz w:val="21"/>
                <w:szCs w:val="21"/>
                <w:shd w:val="clear" w:color="auto" w:fill="FFFFFF"/>
              </w:rPr>
              <w:t>①</w:t>
            </w:r>
            <w:r>
              <w:rPr>
                <w:rFonts w:hint="eastAsia" w:ascii="Times New Roman" w:hAnsi="Times New Roman" w:cs="宋体"/>
                <w:color w:val="auto"/>
                <w:sz w:val="21"/>
                <w:szCs w:val="21"/>
              </w:rPr>
              <w:t>废包装材料</w:t>
            </w:r>
            <w:r>
              <w:rPr>
                <w:rFonts w:hint="eastAsia" w:ascii="Times New Roman" w:hAnsi="Times New Roman" w:cs="宋体"/>
                <w:color w:val="auto"/>
                <w:sz w:val="21"/>
                <w:szCs w:val="21"/>
                <w:lang w:val="en-US" w:eastAsia="zh-CN"/>
              </w:rPr>
              <w:t xml:space="preserve"> 0.</w:t>
            </w:r>
            <w:r>
              <w:rPr>
                <w:rFonts w:hint="eastAsia" w:cs="宋体"/>
                <w:color w:val="auto"/>
                <w:sz w:val="21"/>
                <w:szCs w:val="21"/>
                <w:lang w:val="en-US" w:eastAsia="zh-CN"/>
              </w:rPr>
              <w:t>2997</w:t>
            </w:r>
            <w:r>
              <w:rPr>
                <w:rFonts w:hint="eastAsia" w:ascii="Times New Roman" w:hAnsi="Times New Roman" w:cs="宋体"/>
                <w:color w:val="auto"/>
                <w:sz w:val="21"/>
                <w:szCs w:val="21"/>
                <w:lang w:val="en-US" w:eastAsia="zh-CN"/>
              </w:rPr>
              <w:t>t/a</w:t>
            </w:r>
          </w:p>
          <w:p w14:paraId="64ED8512">
            <w:pPr>
              <w:tabs>
                <w:tab w:val="center" w:pos="4446"/>
              </w:tabs>
              <w:adjustRightInd w:val="0"/>
              <w:spacing w:line="360" w:lineRule="auto"/>
              <w:ind w:firstLine="420" w:firstLineChars="200"/>
              <w:textAlignment w:val="baseline"/>
              <w:rPr>
                <w:rFonts w:hint="default" w:eastAsia="宋体"/>
                <w:color w:val="auto"/>
                <w:kern w:val="0"/>
                <w:lang w:val="en-US" w:eastAsia="zh-CN"/>
              </w:rPr>
            </w:pPr>
            <w:r>
              <w:rPr>
                <w:rFonts w:hint="eastAsia" w:ascii="Times New Roman" w:hAnsi="Times New Roman" w:cs="宋体"/>
                <w:color w:val="auto"/>
                <w:sz w:val="21"/>
                <w:szCs w:val="21"/>
              </w:rPr>
              <w:t>根据经验统计，每50</w:t>
            </w:r>
            <w:r>
              <w:rPr>
                <w:rFonts w:hint="eastAsia" w:cs="宋体"/>
                <w:color w:val="auto"/>
                <w:sz w:val="21"/>
                <w:szCs w:val="21"/>
                <w:lang w:val="en-US" w:eastAsia="zh-CN"/>
              </w:rPr>
              <w:t>t</w:t>
            </w:r>
            <w:r>
              <w:rPr>
                <w:rFonts w:hint="eastAsia" w:ascii="Times New Roman" w:hAnsi="Times New Roman" w:cs="宋体"/>
                <w:color w:val="auto"/>
                <w:sz w:val="21"/>
                <w:szCs w:val="21"/>
              </w:rPr>
              <w:t>产品会产生</w:t>
            </w:r>
            <w:r>
              <w:rPr>
                <w:rFonts w:ascii="Times New Roman" w:hAnsi="Times New Roman" w:cs="宋体"/>
                <w:color w:val="auto"/>
                <w:sz w:val="21"/>
                <w:szCs w:val="21"/>
              </w:rPr>
              <w:t>10</w:t>
            </w:r>
            <w:r>
              <w:rPr>
                <w:rFonts w:hint="eastAsia" w:ascii="Times New Roman" w:hAnsi="Times New Roman" w:cs="宋体"/>
                <w:color w:val="auto"/>
                <w:sz w:val="21"/>
                <w:szCs w:val="21"/>
              </w:rPr>
              <w:t>kg的废包装材料，项目</w:t>
            </w:r>
            <w:r>
              <w:rPr>
                <w:rFonts w:hint="eastAsia" w:cs="宋体"/>
                <w:color w:val="auto"/>
                <w:sz w:val="21"/>
                <w:szCs w:val="21"/>
                <w:lang w:val="en-US" w:eastAsia="zh-CN"/>
              </w:rPr>
              <w:t>共生产</w:t>
            </w:r>
            <w:r>
              <w:rPr>
                <w:rFonts w:ascii="Times New Roman" w:hAnsi="Times New Roman" w:cs="宋体"/>
                <w:color w:val="auto"/>
                <w:sz w:val="21"/>
                <w:szCs w:val="21"/>
                <w:highlight w:val="none"/>
              </w:rPr>
              <w:t>6</w:t>
            </w:r>
            <w:r>
              <w:rPr>
                <w:rFonts w:hint="eastAsia" w:cs="宋体"/>
                <w:color w:val="auto"/>
                <w:sz w:val="21"/>
                <w:szCs w:val="21"/>
                <w:highlight w:val="none"/>
                <w:lang w:val="en-US" w:eastAsia="zh-CN"/>
              </w:rPr>
              <w:t>16t</w:t>
            </w:r>
            <w:r>
              <w:rPr>
                <w:rFonts w:hint="eastAsia" w:ascii="Times New Roman" w:hAnsi="Times New Roman" w:cs="宋体"/>
                <w:color w:val="auto"/>
                <w:sz w:val="21"/>
                <w:szCs w:val="21"/>
              </w:rPr>
              <w:t>产品，</w:t>
            </w:r>
            <w:r>
              <w:rPr>
                <w:rFonts w:hint="eastAsia" w:cs="宋体"/>
                <w:color w:val="auto"/>
                <w:sz w:val="21"/>
                <w:szCs w:val="21"/>
                <w:lang w:val="en-US" w:eastAsia="zh-CN"/>
              </w:rPr>
              <w:t>废</w:t>
            </w:r>
            <w:r>
              <w:rPr>
                <w:rFonts w:hint="eastAsia" w:ascii="Times New Roman" w:hAnsi="Times New Roman" w:cs="宋体"/>
                <w:color w:val="auto"/>
                <w:sz w:val="21"/>
                <w:szCs w:val="21"/>
              </w:rPr>
              <w:t>包装</w:t>
            </w:r>
            <w:r>
              <w:rPr>
                <w:rFonts w:hint="eastAsia" w:cs="宋体"/>
                <w:color w:val="auto"/>
                <w:sz w:val="21"/>
                <w:szCs w:val="21"/>
                <w:lang w:val="en-US" w:eastAsia="zh-CN"/>
              </w:rPr>
              <w:t>材料</w:t>
            </w:r>
            <w:r>
              <w:rPr>
                <w:rFonts w:hint="eastAsia" w:ascii="Times New Roman" w:hAnsi="Times New Roman" w:cs="宋体"/>
                <w:color w:val="auto"/>
                <w:sz w:val="21"/>
                <w:szCs w:val="21"/>
              </w:rPr>
              <w:t>产生量约为</w:t>
            </w:r>
            <w:r>
              <w:rPr>
                <w:rFonts w:ascii="Times New Roman" w:hAnsi="Times New Roman" w:cs="宋体"/>
                <w:color w:val="auto"/>
                <w:sz w:val="21"/>
                <w:szCs w:val="21"/>
              </w:rPr>
              <w:t>0.1</w:t>
            </w:r>
            <w:r>
              <w:rPr>
                <w:rFonts w:hint="eastAsia" w:cs="宋体"/>
                <w:color w:val="auto"/>
                <w:sz w:val="21"/>
                <w:szCs w:val="21"/>
                <w:lang w:val="en-US" w:eastAsia="zh-CN"/>
              </w:rPr>
              <w:t>232t/a</w:t>
            </w:r>
            <w:r>
              <w:rPr>
                <w:rFonts w:hint="eastAsia" w:ascii="Times New Roman" w:hAnsi="Times New Roman" w:cs="宋体"/>
                <w:color w:val="auto"/>
                <w:sz w:val="21"/>
                <w:szCs w:val="21"/>
              </w:rPr>
              <w:t>，主要为纸箱、内置防震瓦楞纸盒等；</w:t>
            </w:r>
            <w:r>
              <w:rPr>
                <w:rFonts w:hint="eastAsia" w:cs="宋体"/>
                <w:color w:val="auto"/>
                <w:sz w:val="21"/>
                <w:szCs w:val="21"/>
                <w:lang w:val="en-US" w:eastAsia="zh-CN"/>
              </w:rPr>
              <w:t>项目</w:t>
            </w:r>
            <w:r>
              <w:rPr>
                <w:rFonts w:hint="eastAsia"/>
                <w:color w:val="auto"/>
                <w:kern w:val="0"/>
                <w:lang w:val="en-US" w:eastAsia="zh-CN"/>
              </w:rPr>
              <w:t>原辅材料废包装材料核算见下表</w:t>
            </w:r>
            <w:r>
              <w:rPr>
                <w:rFonts w:hint="eastAsia" w:cs="宋体"/>
                <w:color w:val="auto"/>
                <w:sz w:val="21"/>
                <w:szCs w:val="21"/>
                <w:lang w:val="en-US" w:eastAsia="zh-CN"/>
              </w:rPr>
              <w:t>。</w:t>
            </w:r>
          </w:p>
          <w:p w14:paraId="0F0788E3">
            <w:pPr>
              <w:pStyle w:val="9"/>
              <w:spacing w:line="360" w:lineRule="auto"/>
              <w:ind w:left="630" w:leftChars="0" w:firstLineChars="0"/>
              <w:rPr>
                <w:color w:val="auto"/>
                <w:szCs w:val="21"/>
              </w:rPr>
            </w:pPr>
            <w:r>
              <w:rPr>
                <w:rFonts w:hint="eastAsia" w:cs="宋体"/>
                <w:color w:val="auto"/>
                <w:sz w:val="21"/>
                <w:szCs w:val="21"/>
                <w:highlight w:val="none"/>
                <w:shd w:val="clear" w:color="auto" w:fill="FFFFFF"/>
                <w:lang w:val="en-US" w:eastAsia="zh-CN"/>
              </w:rPr>
              <w:t>原辅材料废包装材料</w:t>
            </w:r>
            <w:r>
              <w:rPr>
                <w:rFonts w:hint="eastAsia"/>
                <w:color w:val="auto"/>
                <w:szCs w:val="21"/>
                <w:lang w:val="en-US" w:eastAsia="zh-CN"/>
              </w:rPr>
              <w:t>核算一览</w:t>
            </w:r>
            <w:r>
              <w:rPr>
                <w:rFonts w:hint="eastAsia"/>
                <w:color w:val="auto"/>
                <w:szCs w:val="21"/>
              </w:rPr>
              <w:t>表</w:t>
            </w:r>
          </w:p>
          <w:tbl>
            <w:tblPr>
              <w:tblStyle w:val="3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1"/>
              <w:gridCol w:w="994"/>
              <w:gridCol w:w="1106"/>
              <w:gridCol w:w="1479"/>
              <w:gridCol w:w="2040"/>
              <w:gridCol w:w="1192"/>
            </w:tblGrid>
            <w:tr w14:paraId="69A14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pct"/>
                  <w:noWrap w:val="0"/>
                  <w:vAlign w:val="center"/>
                </w:tcPr>
                <w:p w14:paraId="53846327">
                  <w:pPr>
                    <w:pStyle w:val="48"/>
                    <w:keepNext w:val="0"/>
                    <w:keepLines w:val="0"/>
                    <w:pageBreakBefore w:val="0"/>
                    <w:kinsoku/>
                    <w:wordWrap/>
                    <w:overflowPunct/>
                    <w:topLinePunct w:val="0"/>
                    <w:autoSpaceDE/>
                    <w:autoSpaceDN/>
                    <w:bidi w:val="0"/>
                    <w:spacing w:line="240" w:lineRule="auto"/>
                    <w:ind w:firstLine="0" w:firstLineChars="0"/>
                    <w:jc w:val="center"/>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原材料名称</w:t>
                  </w:r>
                </w:p>
              </w:tc>
              <w:tc>
                <w:tcPr>
                  <w:tcW w:w="591" w:type="pct"/>
                  <w:noWrap w:val="0"/>
                  <w:vAlign w:val="center"/>
                </w:tcPr>
                <w:p w14:paraId="65906EDC">
                  <w:pPr>
                    <w:pStyle w:val="153"/>
                    <w:keepNext w:val="0"/>
                    <w:keepLines w:val="0"/>
                    <w:pageBreakBefore w:val="0"/>
                    <w:widowControl/>
                    <w:kinsoku/>
                    <w:wordWrap/>
                    <w:overflowPunct/>
                    <w:topLinePunct w:val="0"/>
                    <w:autoSpaceDE/>
                    <w:autoSpaceDN/>
                    <w:bidi w:val="0"/>
                    <w:spacing w:line="240" w:lineRule="auto"/>
                    <w:ind w:firstLine="0" w:firstLineChars="0"/>
                    <w:jc w:val="center"/>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rPr>
                    <w:t>年用量</w:t>
                  </w:r>
                  <w:r>
                    <w:rPr>
                      <w:rFonts w:hint="eastAsia" w:ascii="Times New Roman" w:hAnsi="Times New Roman" w:cs="Times New Roman"/>
                      <w:b/>
                      <w:bCs/>
                      <w:color w:val="auto"/>
                      <w:sz w:val="21"/>
                      <w:szCs w:val="21"/>
                      <w:highlight w:val="none"/>
                      <w:lang w:val="en-US" w:eastAsia="zh-CN"/>
                    </w:rPr>
                    <w:t>/</w:t>
                  </w:r>
                  <w:r>
                    <w:rPr>
                      <w:rFonts w:hint="eastAsia" w:cs="Times New Roman"/>
                      <w:b/>
                      <w:bCs/>
                      <w:color w:val="auto"/>
                      <w:kern w:val="2"/>
                      <w:sz w:val="21"/>
                      <w:szCs w:val="21"/>
                      <w:highlight w:val="none"/>
                      <w:lang w:val="en-US" w:eastAsia="zh-CN" w:bidi="ar-SA"/>
                    </w:rPr>
                    <w:t>t</w:t>
                  </w:r>
                </w:p>
              </w:tc>
              <w:tc>
                <w:tcPr>
                  <w:tcW w:w="658" w:type="pct"/>
                  <w:noWrap w:val="0"/>
                  <w:vAlign w:val="center"/>
                </w:tcPr>
                <w:p w14:paraId="0D778AB0">
                  <w:pPr>
                    <w:pStyle w:val="153"/>
                    <w:keepNext w:val="0"/>
                    <w:keepLines w:val="0"/>
                    <w:pageBreakBefore w:val="0"/>
                    <w:widowControl/>
                    <w:kinsoku/>
                    <w:wordWrap/>
                    <w:overflowPunct/>
                    <w:topLinePunct w:val="0"/>
                    <w:autoSpaceDE/>
                    <w:autoSpaceDN/>
                    <w:bidi w:val="0"/>
                    <w:spacing w:line="240" w:lineRule="auto"/>
                    <w:ind w:firstLine="0" w:firstLineChars="0"/>
                    <w:jc w:val="center"/>
                    <w:rPr>
                      <w:rFonts w:hint="default"/>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rPr>
                    <w:t>包装方式</w:t>
                  </w:r>
                </w:p>
              </w:tc>
              <w:tc>
                <w:tcPr>
                  <w:tcW w:w="880" w:type="pct"/>
                  <w:noWrap w:val="0"/>
                  <w:vAlign w:val="center"/>
                </w:tcPr>
                <w:p w14:paraId="35A05DB9">
                  <w:pPr>
                    <w:pStyle w:val="48"/>
                    <w:keepNext w:val="0"/>
                    <w:keepLines w:val="0"/>
                    <w:pageBreakBefore w:val="0"/>
                    <w:kinsoku/>
                    <w:wordWrap/>
                    <w:overflowPunct/>
                    <w:topLinePunct w:val="0"/>
                    <w:autoSpaceDE/>
                    <w:autoSpaceDN/>
                    <w:bidi w:val="0"/>
                    <w:spacing w:line="240" w:lineRule="auto"/>
                    <w:ind w:firstLine="0" w:firstLineChars="0"/>
                    <w:jc w:val="center"/>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包装物数量</w:t>
                  </w:r>
                </w:p>
              </w:tc>
              <w:tc>
                <w:tcPr>
                  <w:tcW w:w="1213" w:type="pct"/>
                  <w:noWrap w:val="0"/>
                  <w:vAlign w:val="center"/>
                </w:tcPr>
                <w:p w14:paraId="7B8DD85C">
                  <w:pPr>
                    <w:pStyle w:val="48"/>
                    <w:keepNext w:val="0"/>
                    <w:keepLines w:val="0"/>
                    <w:pageBreakBefore w:val="0"/>
                    <w:kinsoku/>
                    <w:wordWrap/>
                    <w:overflowPunct/>
                    <w:topLinePunct w:val="0"/>
                    <w:autoSpaceDE/>
                    <w:autoSpaceDN/>
                    <w:bidi w:val="0"/>
                    <w:spacing w:line="240" w:lineRule="auto"/>
                    <w:ind w:firstLine="0" w:firstLineChars="0"/>
                    <w:jc w:val="center"/>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单件包装物重量/kg</w:t>
                  </w:r>
                </w:p>
              </w:tc>
              <w:tc>
                <w:tcPr>
                  <w:tcW w:w="709" w:type="pct"/>
                  <w:noWrap w:val="0"/>
                  <w:vAlign w:val="center"/>
                </w:tcPr>
                <w:p w14:paraId="7A84810C">
                  <w:pPr>
                    <w:pStyle w:val="48"/>
                    <w:keepNext w:val="0"/>
                    <w:keepLines w:val="0"/>
                    <w:pageBreakBefore w:val="0"/>
                    <w:kinsoku/>
                    <w:wordWrap/>
                    <w:overflowPunct/>
                    <w:topLinePunct w:val="0"/>
                    <w:autoSpaceDE/>
                    <w:autoSpaceDN/>
                    <w:bidi w:val="0"/>
                    <w:spacing w:line="240" w:lineRule="auto"/>
                    <w:ind w:firstLine="0" w:firstLineChars="0"/>
                    <w:jc w:val="center"/>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总重量/t</w:t>
                  </w:r>
                </w:p>
              </w:tc>
            </w:tr>
            <w:tr w14:paraId="492FA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946" w:type="pct"/>
                  <w:noWrap w:val="0"/>
                  <w:vAlign w:val="center"/>
                </w:tcPr>
                <w:p w14:paraId="6F1E4C64">
                  <w:pPr>
                    <w:keepNext w:val="0"/>
                    <w:keepLines w:val="0"/>
                    <w:pageBreakBefore w:val="0"/>
                    <w:kinsoku/>
                    <w:wordWrap/>
                    <w:overflowPunct/>
                    <w:topLinePunct w:val="0"/>
                    <w:autoSpaceDE/>
                    <w:autoSpaceDN/>
                    <w:bidi w:val="0"/>
                    <w:snapToGrid w:val="0"/>
                    <w:spacing w:line="240" w:lineRule="auto"/>
                    <w:jc w:val="center"/>
                    <w:rPr>
                      <w:rFonts w:hint="default" w:hAnsi="宋体"/>
                      <w:color w:val="auto"/>
                      <w:kern w:val="2"/>
                      <w:sz w:val="21"/>
                      <w:szCs w:val="21"/>
                      <w:highlight w:val="none"/>
                      <w:lang w:val="en-US" w:eastAsia="zh-CN" w:bidi="ar-SA"/>
                    </w:rPr>
                  </w:pPr>
                  <w:r>
                    <w:rPr>
                      <w:color w:val="auto"/>
                      <w:kern w:val="0"/>
                    </w:rPr>
                    <w:t>环氧聚酯粉末</w:t>
                  </w:r>
                </w:p>
              </w:tc>
              <w:tc>
                <w:tcPr>
                  <w:tcW w:w="591" w:type="pct"/>
                  <w:noWrap w:val="0"/>
                  <w:vAlign w:val="center"/>
                </w:tcPr>
                <w:p w14:paraId="30E32815">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16</w:t>
                  </w:r>
                </w:p>
              </w:tc>
              <w:tc>
                <w:tcPr>
                  <w:tcW w:w="658" w:type="pct"/>
                  <w:noWrap w:val="0"/>
                  <w:vAlign w:val="center"/>
                </w:tcPr>
                <w:p w14:paraId="2AD4D219">
                  <w:pPr>
                    <w:keepNext w:val="0"/>
                    <w:keepLines w:val="0"/>
                    <w:pageBreakBefore w:val="0"/>
                    <w:kinsoku/>
                    <w:wordWrap/>
                    <w:overflowPunct/>
                    <w:topLinePunct w:val="0"/>
                    <w:autoSpaceDE/>
                    <w:autoSpaceDN/>
                    <w:bidi w:val="0"/>
                    <w:adjustRightInd w:val="0"/>
                    <w:spacing w:line="240" w:lineRule="auto"/>
                    <w:jc w:val="center"/>
                    <w:textAlignment w:val="baseline"/>
                    <w:rPr>
                      <w:rFonts w:hint="default" w:ascii="Times New Roman" w:hAnsi="Times New Roman" w:eastAsia="PMingLiU"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20kg</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箱</w:t>
                  </w:r>
                </w:p>
              </w:tc>
              <w:tc>
                <w:tcPr>
                  <w:tcW w:w="880" w:type="pct"/>
                  <w:noWrap w:val="0"/>
                  <w:vAlign w:val="center"/>
                </w:tcPr>
                <w:p w14:paraId="67E54202">
                  <w:pPr>
                    <w:keepNext w:val="0"/>
                    <w:keepLines w:val="0"/>
                    <w:widowControl/>
                    <w:suppressLineNumbers w:val="0"/>
                    <w:jc w:val="center"/>
                    <w:textAlignment w:val="center"/>
                    <w:rPr>
                      <w:rFonts w:hint="default"/>
                      <w:color w:val="auto"/>
                      <w:highlight w:val="none"/>
                      <w:vertAlign w:val="baseline"/>
                      <w:lang w:val="en-US" w:eastAsia="zh-CN"/>
                    </w:rPr>
                  </w:pPr>
                  <w:r>
                    <w:rPr>
                      <w:rFonts w:hint="eastAsia" w:cs="Times New Roman"/>
                      <w:i w:val="0"/>
                      <w:iCs w:val="0"/>
                      <w:color w:val="auto"/>
                      <w:kern w:val="0"/>
                      <w:sz w:val="21"/>
                      <w:szCs w:val="21"/>
                      <w:highlight w:val="none"/>
                      <w:u w:val="none"/>
                      <w:lang w:val="en-US" w:eastAsia="zh-CN" w:bidi="ar"/>
                    </w:rPr>
                    <w:t>800箱</w:t>
                  </w:r>
                </w:p>
              </w:tc>
              <w:tc>
                <w:tcPr>
                  <w:tcW w:w="1213" w:type="pct"/>
                  <w:noWrap w:val="0"/>
                  <w:vAlign w:val="center"/>
                </w:tcPr>
                <w:p w14:paraId="6A104231">
                  <w:pPr>
                    <w:keepNext w:val="0"/>
                    <w:keepLines w:val="0"/>
                    <w:pageBreakBefore w:val="0"/>
                    <w:kinsoku/>
                    <w:wordWrap/>
                    <w:overflowPunct/>
                    <w:topLinePunct w:val="0"/>
                    <w:autoSpaceDE/>
                    <w:autoSpaceDN/>
                    <w:bidi w:val="0"/>
                    <w:spacing w:line="240" w:lineRule="auto"/>
                    <w:ind w:firstLine="0" w:firstLineChars="0"/>
                    <w:jc w:val="center"/>
                    <w:rPr>
                      <w:rFonts w:hint="eastAsia"/>
                      <w:color w:val="auto"/>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约</w:t>
                  </w:r>
                  <w:r>
                    <w:rPr>
                      <w:rFonts w:hint="eastAsia"/>
                      <w:color w:val="auto"/>
                      <w:sz w:val="21"/>
                      <w:highlight w:val="none"/>
                      <w:vertAlign w:val="baseline"/>
                      <w:lang w:val="en-US" w:eastAsia="zh-CN"/>
                    </w:rPr>
                    <w:t>0.15</w:t>
                  </w:r>
                </w:p>
              </w:tc>
              <w:tc>
                <w:tcPr>
                  <w:tcW w:w="709" w:type="pct"/>
                  <w:noWrap w:val="0"/>
                  <w:vAlign w:val="center"/>
                </w:tcPr>
                <w:p w14:paraId="05FA75E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12</w:t>
                  </w:r>
                </w:p>
              </w:tc>
            </w:tr>
            <w:tr w14:paraId="73F73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pct"/>
                  <w:noWrap w:val="0"/>
                  <w:vAlign w:val="center"/>
                </w:tcPr>
                <w:p w14:paraId="149AAE04">
                  <w:pPr>
                    <w:keepNext w:val="0"/>
                    <w:keepLines w:val="0"/>
                    <w:pageBreakBefore w:val="0"/>
                    <w:kinsoku/>
                    <w:wordWrap/>
                    <w:overflowPunct/>
                    <w:topLinePunct w:val="0"/>
                    <w:autoSpaceDE/>
                    <w:autoSpaceDN/>
                    <w:bidi w:val="0"/>
                    <w:snapToGrid w:val="0"/>
                    <w:spacing w:line="240" w:lineRule="auto"/>
                    <w:jc w:val="center"/>
                    <w:rPr>
                      <w:rFonts w:hint="default" w:hAnsi="宋体"/>
                      <w:color w:val="auto"/>
                      <w:kern w:val="2"/>
                      <w:sz w:val="21"/>
                      <w:szCs w:val="21"/>
                      <w:highlight w:val="none"/>
                      <w:lang w:val="en-US" w:eastAsia="zh-CN" w:bidi="ar-SA"/>
                    </w:rPr>
                  </w:pPr>
                  <w:r>
                    <w:rPr>
                      <w:rFonts w:hint="eastAsia" w:cs="Times New Roman"/>
                      <w:color w:val="auto"/>
                      <w:sz w:val="21"/>
                      <w:szCs w:val="21"/>
                      <w:highlight w:val="none"/>
                      <w:lang w:val="en-US" w:eastAsia="zh-CN"/>
                    </w:rPr>
                    <w:t>陶化</w:t>
                  </w:r>
                  <w:r>
                    <w:rPr>
                      <w:rFonts w:hint="eastAsia" w:ascii="Times New Roman" w:hAnsi="Times New Roman" w:eastAsia="宋体" w:cs="Times New Roman"/>
                      <w:color w:val="auto"/>
                      <w:sz w:val="21"/>
                      <w:szCs w:val="21"/>
                      <w:highlight w:val="none"/>
                      <w:lang w:val="en-US" w:eastAsia="zh-CN"/>
                    </w:rPr>
                    <w:t>剂</w:t>
                  </w:r>
                </w:p>
              </w:tc>
              <w:tc>
                <w:tcPr>
                  <w:tcW w:w="591" w:type="pct"/>
                  <w:noWrap w:val="0"/>
                  <w:vAlign w:val="center"/>
                </w:tcPr>
                <w:p w14:paraId="155B5C10">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9</w:t>
                  </w:r>
                </w:p>
              </w:tc>
              <w:tc>
                <w:tcPr>
                  <w:tcW w:w="658" w:type="pct"/>
                  <w:noWrap w:val="0"/>
                  <w:vAlign w:val="center"/>
                </w:tcPr>
                <w:p w14:paraId="7B2D5483">
                  <w:pPr>
                    <w:keepNext w:val="0"/>
                    <w:keepLines w:val="0"/>
                    <w:pageBreakBefore w:val="0"/>
                    <w:kinsoku/>
                    <w:wordWrap/>
                    <w:overflowPunct/>
                    <w:topLinePunct w:val="0"/>
                    <w:autoSpaceDE/>
                    <w:autoSpaceDN/>
                    <w:bidi w:val="0"/>
                    <w:adjustRightInd w:val="0"/>
                    <w:spacing w:line="240" w:lineRule="auto"/>
                    <w:jc w:val="center"/>
                    <w:textAlignment w:val="baseline"/>
                    <w:rPr>
                      <w:rFonts w:hint="default" w:ascii="Times New Roman" w:hAnsi="Times New Roman" w:eastAsia="PMingLiU"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kg</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桶</w:t>
                  </w:r>
                </w:p>
              </w:tc>
              <w:tc>
                <w:tcPr>
                  <w:tcW w:w="880" w:type="pct"/>
                  <w:noWrap w:val="0"/>
                  <w:vAlign w:val="center"/>
                </w:tcPr>
                <w:p w14:paraId="1F257BBF">
                  <w:pPr>
                    <w:keepNext w:val="0"/>
                    <w:keepLines w:val="0"/>
                    <w:widowControl/>
                    <w:suppressLineNumbers w:val="0"/>
                    <w:jc w:val="center"/>
                    <w:textAlignment w:val="center"/>
                    <w:rPr>
                      <w:rFonts w:hint="default"/>
                      <w:color w:val="auto"/>
                      <w:highlight w:val="none"/>
                      <w:vertAlign w:val="baseline"/>
                      <w:lang w:val="en-US" w:eastAsia="zh-CN"/>
                    </w:rPr>
                  </w:pPr>
                  <w:r>
                    <w:rPr>
                      <w:rFonts w:hint="eastAsia" w:cs="Times New Roman"/>
                      <w:i w:val="0"/>
                      <w:iCs w:val="0"/>
                      <w:color w:val="auto"/>
                      <w:kern w:val="0"/>
                      <w:sz w:val="21"/>
                      <w:szCs w:val="21"/>
                      <w:highlight w:val="none"/>
                      <w:u w:val="none"/>
                      <w:lang w:val="en-US" w:eastAsia="zh-CN" w:bidi="ar"/>
                    </w:rPr>
                    <w:t>约44</w:t>
                  </w:r>
                  <w:r>
                    <w:rPr>
                      <w:rFonts w:hint="eastAsia" w:ascii="Times New Roman" w:hAnsi="Times New Roman" w:eastAsia="宋体" w:cs="Times New Roman"/>
                      <w:i w:val="0"/>
                      <w:iCs w:val="0"/>
                      <w:color w:val="auto"/>
                      <w:kern w:val="0"/>
                      <w:sz w:val="21"/>
                      <w:szCs w:val="21"/>
                      <w:highlight w:val="none"/>
                      <w:u w:val="none"/>
                      <w:lang w:val="en-US" w:eastAsia="zh-CN" w:bidi="ar"/>
                    </w:rPr>
                    <w:t>桶</w:t>
                  </w:r>
                </w:p>
              </w:tc>
              <w:tc>
                <w:tcPr>
                  <w:tcW w:w="1213" w:type="pct"/>
                  <w:noWrap w:val="0"/>
                  <w:vAlign w:val="center"/>
                </w:tcPr>
                <w:p w14:paraId="16BCA1A5">
                  <w:pPr>
                    <w:keepNext w:val="0"/>
                    <w:keepLines w:val="0"/>
                    <w:pageBreakBefore w:val="0"/>
                    <w:kinsoku/>
                    <w:wordWrap/>
                    <w:overflowPunct/>
                    <w:topLinePunct w:val="0"/>
                    <w:autoSpaceDE/>
                    <w:autoSpaceDN/>
                    <w:bidi w:val="0"/>
                    <w:spacing w:line="240" w:lineRule="auto"/>
                    <w:ind w:firstLine="0" w:firstLineChars="0"/>
                    <w:jc w:val="center"/>
                    <w:rPr>
                      <w:rFonts w:hint="eastAsia"/>
                      <w:color w:val="auto"/>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约</w:t>
                  </w:r>
                  <w:r>
                    <w:rPr>
                      <w:rFonts w:hint="eastAsia"/>
                      <w:color w:val="auto"/>
                      <w:sz w:val="21"/>
                      <w:highlight w:val="none"/>
                      <w:vertAlign w:val="baseline"/>
                      <w:lang w:val="en-US" w:eastAsia="zh-CN"/>
                    </w:rPr>
                    <w:t>0.</w:t>
                  </w:r>
                  <w:r>
                    <w:rPr>
                      <w:rFonts w:hint="eastAsia" w:ascii="Times New Roman" w:hAnsi="Times New Roman" w:eastAsia="宋体"/>
                      <w:color w:val="auto"/>
                      <w:sz w:val="21"/>
                      <w:highlight w:val="none"/>
                      <w:vertAlign w:val="baseline"/>
                      <w:lang w:val="en-US" w:eastAsia="zh-CN"/>
                    </w:rPr>
                    <w:t>2</w:t>
                  </w:r>
                  <w:r>
                    <w:rPr>
                      <w:rFonts w:hint="eastAsia"/>
                      <w:color w:val="auto"/>
                      <w:sz w:val="21"/>
                      <w:highlight w:val="none"/>
                      <w:vertAlign w:val="baseline"/>
                      <w:lang w:val="en-US" w:eastAsia="zh-CN"/>
                    </w:rPr>
                    <w:t>5</w:t>
                  </w:r>
                </w:p>
              </w:tc>
              <w:tc>
                <w:tcPr>
                  <w:tcW w:w="709" w:type="pct"/>
                  <w:noWrap w:val="0"/>
                  <w:vAlign w:val="center"/>
                </w:tcPr>
                <w:p w14:paraId="5DE1286A">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011</w:t>
                  </w:r>
                </w:p>
              </w:tc>
            </w:tr>
            <w:tr w14:paraId="42C73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pct"/>
                  <w:noWrap w:val="0"/>
                  <w:vAlign w:val="center"/>
                </w:tcPr>
                <w:p w14:paraId="1BF60F3F">
                  <w:pPr>
                    <w:keepNext w:val="0"/>
                    <w:keepLines w:val="0"/>
                    <w:pageBreakBefore w:val="0"/>
                    <w:kinsoku/>
                    <w:wordWrap/>
                    <w:overflowPunct/>
                    <w:topLinePunct w:val="0"/>
                    <w:autoSpaceDE/>
                    <w:autoSpaceDN/>
                    <w:bidi w:val="0"/>
                    <w:snapToGrid w:val="0"/>
                    <w:spacing w:line="240" w:lineRule="auto"/>
                    <w:jc w:val="center"/>
                    <w:rPr>
                      <w:rFonts w:hint="eastAsia" w:ascii="Times New Roman" w:hAnsi="Times New Roman" w:eastAsia="PMingLiU"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除油剂</w:t>
                  </w:r>
                </w:p>
              </w:tc>
              <w:tc>
                <w:tcPr>
                  <w:tcW w:w="591" w:type="pct"/>
                  <w:noWrap w:val="0"/>
                  <w:vAlign w:val="center"/>
                </w:tcPr>
                <w:p w14:paraId="74D5118F">
                  <w:pPr>
                    <w:keepNext w:val="0"/>
                    <w:keepLines w:val="0"/>
                    <w:pageBreakBefore w:val="0"/>
                    <w:kinsoku/>
                    <w:wordWrap/>
                    <w:overflowPunct/>
                    <w:topLinePunct w:val="0"/>
                    <w:autoSpaceDE/>
                    <w:autoSpaceDN/>
                    <w:bidi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54</w:t>
                  </w:r>
                </w:p>
              </w:tc>
              <w:tc>
                <w:tcPr>
                  <w:tcW w:w="658" w:type="pct"/>
                  <w:noWrap w:val="0"/>
                  <w:vAlign w:val="center"/>
                </w:tcPr>
                <w:p w14:paraId="7B2CCF44">
                  <w:pPr>
                    <w:keepNext w:val="0"/>
                    <w:keepLines w:val="0"/>
                    <w:pageBreakBefore w:val="0"/>
                    <w:kinsoku/>
                    <w:wordWrap/>
                    <w:overflowPunct/>
                    <w:topLinePunct w:val="0"/>
                    <w:autoSpaceDE/>
                    <w:autoSpaceDN/>
                    <w:bidi w:val="0"/>
                    <w:adjustRightInd w:val="0"/>
                    <w:spacing w:line="240" w:lineRule="auto"/>
                    <w:jc w:val="center"/>
                    <w:textAlignment w:val="baseline"/>
                    <w:rPr>
                      <w:rFonts w:hint="default" w:ascii="Times New Roman" w:hAnsi="Times New Roman" w:eastAsia="PMingLiU"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kg</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桶</w:t>
                  </w:r>
                </w:p>
              </w:tc>
              <w:tc>
                <w:tcPr>
                  <w:tcW w:w="880" w:type="pct"/>
                  <w:noWrap w:val="0"/>
                  <w:vAlign w:val="center"/>
                </w:tcPr>
                <w:p w14:paraId="2E306C2B">
                  <w:pPr>
                    <w:keepNext w:val="0"/>
                    <w:keepLines w:val="0"/>
                    <w:widowControl/>
                    <w:suppressLineNumbers w:val="0"/>
                    <w:jc w:val="center"/>
                    <w:textAlignment w:val="center"/>
                    <w:rPr>
                      <w:rFonts w:hint="default"/>
                      <w:color w:val="auto"/>
                      <w:highlight w:val="none"/>
                      <w:vertAlign w:val="baseline"/>
                      <w:lang w:val="en-US" w:eastAsia="zh-CN"/>
                    </w:rPr>
                  </w:pPr>
                  <w:r>
                    <w:rPr>
                      <w:rFonts w:hint="eastAsia" w:cs="Times New Roman"/>
                      <w:i w:val="0"/>
                      <w:iCs w:val="0"/>
                      <w:color w:val="auto"/>
                      <w:kern w:val="0"/>
                      <w:sz w:val="21"/>
                      <w:szCs w:val="21"/>
                      <w:highlight w:val="none"/>
                      <w:u w:val="none"/>
                      <w:lang w:val="en-US" w:eastAsia="zh-CN" w:bidi="ar"/>
                    </w:rPr>
                    <w:t>约182</w:t>
                  </w:r>
                  <w:r>
                    <w:rPr>
                      <w:rFonts w:hint="eastAsia" w:ascii="Times New Roman" w:hAnsi="Times New Roman" w:eastAsia="宋体" w:cs="Times New Roman"/>
                      <w:i w:val="0"/>
                      <w:iCs w:val="0"/>
                      <w:color w:val="auto"/>
                      <w:kern w:val="0"/>
                      <w:sz w:val="21"/>
                      <w:szCs w:val="21"/>
                      <w:highlight w:val="none"/>
                      <w:u w:val="none"/>
                      <w:lang w:val="en-US" w:eastAsia="zh-CN" w:bidi="ar"/>
                    </w:rPr>
                    <w:t>桶</w:t>
                  </w:r>
                </w:p>
              </w:tc>
              <w:tc>
                <w:tcPr>
                  <w:tcW w:w="1213" w:type="pct"/>
                  <w:noWrap w:val="0"/>
                  <w:vAlign w:val="center"/>
                </w:tcPr>
                <w:p w14:paraId="0EA64584">
                  <w:pPr>
                    <w:keepNext w:val="0"/>
                    <w:keepLines w:val="0"/>
                    <w:pageBreakBefore w:val="0"/>
                    <w:kinsoku/>
                    <w:wordWrap/>
                    <w:overflowPunct/>
                    <w:topLinePunct w:val="0"/>
                    <w:autoSpaceDE/>
                    <w:autoSpaceDN/>
                    <w:bidi w:val="0"/>
                    <w:spacing w:line="240" w:lineRule="auto"/>
                    <w:ind w:firstLine="0" w:firstLineChars="0"/>
                    <w:jc w:val="center"/>
                    <w:rPr>
                      <w:rFonts w:hint="eastAsia"/>
                      <w:color w:val="auto"/>
                      <w:highlight w:val="none"/>
                      <w:vertAlign w:val="baseline"/>
                      <w:lang w:val="en-US" w:eastAsia="zh-CN"/>
                    </w:rPr>
                  </w:pPr>
                  <w:r>
                    <w:rPr>
                      <w:rFonts w:hint="eastAsia" w:ascii="Times New Roman" w:hAnsi="Times New Roman" w:eastAsia="宋体"/>
                      <w:color w:val="auto"/>
                      <w:sz w:val="21"/>
                      <w:highlight w:val="none"/>
                      <w:vertAlign w:val="baseline"/>
                      <w:lang w:val="en-US" w:eastAsia="zh-CN"/>
                    </w:rPr>
                    <w:t>约</w:t>
                  </w:r>
                  <w:r>
                    <w:rPr>
                      <w:rFonts w:hint="eastAsia"/>
                      <w:color w:val="auto"/>
                      <w:sz w:val="21"/>
                      <w:highlight w:val="none"/>
                      <w:vertAlign w:val="baseline"/>
                      <w:lang w:val="en-US" w:eastAsia="zh-CN"/>
                    </w:rPr>
                    <w:t>0.25</w:t>
                  </w:r>
                </w:p>
              </w:tc>
              <w:tc>
                <w:tcPr>
                  <w:tcW w:w="709" w:type="pct"/>
                  <w:noWrap w:val="0"/>
                  <w:vAlign w:val="center"/>
                </w:tcPr>
                <w:p w14:paraId="3055BB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0455</w:t>
                  </w:r>
                </w:p>
              </w:tc>
            </w:tr>
            <w:tr w14:paraId="13B58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90" w:type="pct"/>
                  <w:gridSpan w:val="5"/>
                  <w:noWrap w:val="0"/>
                  <w:vAlign w:val="center"/>
                </w:tcPr>
                <w:p w14:paraId="02989D54">
                  <w:pPr>
                    <w:keepNext w:val="0"/>
                    <w:keepLines w:val="0"/>
                    <w:pageBreakBefore w:val="0"/>
                    <w:kinsoku/>
                    <w:wordWrap/>
                    <w:overflowPunct/>
                    <w:topLinePunct w:val="0"/>
                    <w:autoSpaceDE/>
                    <w:autoSpaceDN/>
                    <w:bidi w:val="0"/>
                    <w:spacing w:line="240" w:lineRule="auto"/>
                    <w:ind w:firstLine="0" w:firstLineChars="0"/>
                    <w:jc w:val="center"/>
                    <w:rPr>
                      <w:rFonts w:hint="default"/>
                      <w:color w:val="auto"/>
                      <w:highlight w:val="none"/>
                      <w:vertAlign w:val="baseline"/>
                      <w:lang w:val="en-US" w:eastAsia="zh-CN"/>
                    </w:rPr>
                  </w:pPr>
                  <w:r>
                    <w:rPr>
                      <w:rFonts w:hint="eastAsia"/>
                      <w:color w:val="auto"/>
                      <w:highlight w:val="none"/>
                      <w:vertAlign w:val="baseline"/>
                      <w:lang w:val="en-US" w:eastAsia="zh-CN"/>
                    </w:rPr>
                    <w:t>合计</w:t>
                  </w:r>
                </w:p>
              </w:tc>
              <w:tc>
                <w:tcPr>
                  <w:tcW w:w="709" w:type="pct"/>
                  <w:noWrap w:val="0"/>
                  <w:vAlign w:val="center"/>
                </w:tcPr>
                <w:p w14:paraId="4053C96D">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1765</w:t>
                  </w:r>
                </w:p>
              </w:tc>
            </w:tr>
          </w:tbl>
          <w:p w14:paraId="4C842EFE">
            <w:pPr>
              <w:tabs>
                <w:tab w:val="center" w:pos="4446"/>
              </w:tabs>
              <w:adjustRightInd w:val="0"/>
              <w:spacing w:line="360" w:lineRule="auto"/>
              <w:textAlignment w:val="baseline"/>
              <w:rPr>
                <w:rFonts w:hint="eastAsia"/>
                <w:color w:val="auto"/>
                <w:kern w:val="0"/>
                <w:szCs w:val="21"/>
                <w:lang w:val="en-US" w:eastAsia="zh-CN"/>
              </w:rPr>
            </w:pPr>
            <w:r>
              <w:rPr>
                <w:rFonts w:hint="eastAsia" w:cs="宋体"/>
                <w:color w:val="auto"/>
                <w:sz w:val="21"/>
                <w:szCs w:val="21"/>
                <w:highlight w:val="none"/>
                <w:shd w:val="clear" w:color="auto" w:fill="FFFFFF"/>
                <w:lang w:val="en-US" w:eastAsia="zh-CN"/>
              </w:rPr>
              <w:t>注:</w:t>
            </w:r>
            <w:r>
              <w:rPr>
                <w:rFonts w:hint="eastAsia"/>
                <w:color w:val="auto"/>
              </w:rPr>
              <w:t>残留在桶内的除油剂和陶化剂采用自来水清洗，</w:t>
            </w:r>
            <w:r>
              <w:rPr>
                <w:rFonts w:hint="eastAsia"/>
                <w:color w:val="auto"/>
              </w:rPr>
              <w:t>清洗</w:t>
            </w:r>
            <w:r>
              <w:rPr>
                <w:rFonts w:hint="eastAsia"/>
                <w:color w:val="auto"/>
                <w:lang w:val="en-US" w:eastAsia="zh-CN"/>
              </w:rPr>
              <w:t>包装桶的水作为母液使用</w:t>
            </w:r>
            <w:r>
              <w:rPr>
                <w:rFonts w:hint="eastAsia"/>
                <w:color w:val="auto"/>
                <w:kern w:val="0"/>
                <w:szCs w:val="21"/>
                <w:lang w:val="en-US" w:eastAsia="zh-CN"/>
              </w:rPr>
              <w:t>，废陶化剂桶、废除油剂桶清洗干净后可作为一般固体废物。</w:t>
            </w:r>
          </w:p>
          <w:p w14:paraId="2F499E8A">
            <w:pPr>
              <w:widowControl/>
              <w:snapToGrid w:val="0"/>
              <w:spacing w:before="60" w:line="360" w:lineRule="auto"/>
              <w:ind w:right="113" w:firstLine="420" w:firstLineChars="200"/>
              <w:rPr>
                <w:rFonts w:hint="default"/>
                <w:color w:val="auto"/>
                <w:kern w:val="0"/>
                <w:szCs w:val="21"/>
                <w:lang w:val="en-US" w:eastAsia="zh-CN"/>
              </w:rPr>
            </w:pPr>
            <w:r>
              <w:rPr>
                <w:rFonts w:hint="eastAsia"/>
                <w:color w:val="auto"/>
                <w:kern w:val="0"/>
                <w:szCs w:val="21"/>
                <w:lang w:val="en-US" w:eastAsia="zh-CN"/>
              </w:rPr>
              <w:t>因此，项目产生废包装材料</w:t>
            </w:r>
            <w:r>
              <w:rPr>
                <w:rFonts w:hint="eastAsia" w:ascii="Times New Roman" w:hAnsi="Times New Roman" w:cs="宋体"/>
                <w:color w:val="auto"/>
                <w:sz w:val="21"/>
                <w:szCs w:val="21"/>
                <w:lang w:val="en-US" w:eastAsia="zh-CN"/>
              </w:rPr>
              <w:t>0.</w:t>
            </w:r>
            <w:r>
              <w:rPr>
                <w:rFonts w:hint="eastAsia" w:cs="宋体"/>
                <w:color w:val="auto"/>
                <w:sz w:val="21"/>
                <w:szCs w:val="21"/>
                <w:lang w:val="en-US" w:eastAsia="zh-CN"/>
              </w:rPr>
              <w:t>2997</w:t>
            </w:r>
            <w:r>
              <w:rPr>
                <w:rFonts w:hint="eastAsia" w:ascii="Times New Roman" w:hAnsi="Times New Roman" w:cs="宋体"/>
                <w:color w:val="auto"/>
                <w:sz w:val="21"/>
                <w:szCs w:val="21"/>
                <w:lang w:val="en-US" w:eastAsia="zh-CN"/>
              </w:rPr>
              <w:t>t/a</w:t>
            </w:r>
            <w:r>
              <w:rPr>
                <w:rFonts w:hint="eastAsia" w:cs="宋体"/>
                <w:color w:val="auto"/>
                <w:sz w:val="21"/>
                <w:szCs w:val="21"/>
                <w:lang w:val="en-US" w:eastAsia="zh-CN"/>
              </w:rPr>
              <w:t>。</w:t>
            </w:r>
          </w:p>
          <w:p w14:paraId="039D90EE">
            <w:pPr>
              <w:tabs>
                <w:tab w:val="center" w:pos="4446"/>
              </w:tabs>
              <w:adjustRightInd w:val="0"/>
              <w:spacing w:line="360" w:lineRule="auto"/>
              <w:ind w:firstLine="420" w:firstLineChars="200"/>
              <w:textAlignment w:val="baseline"/>
              <w:rPr>
                <w:rFonts w:hint="default"/>
                <w:b w:val="0"/>
                <w:bCs w:val="0"/>
                <w:color w:val="auto"/>
                <w:lang w:val="en-US" w:eastAsia="zh-CN"/>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r>
              <w:rPr>
                <w:rFonts w:hint="eastAsia"/>
                <w:b w:val="0"/>
                <w:bCs w:val="0"/>
                <w:color w:val="auto"/>
                <w:lang w:val="en-US" w:eastAsia="zh-CN"/>
              </w:rPr>
              <w:t>废粉尘 0.2964t/a</w:t>
            </w:r>
          </w:p>
          <w:p w14:paraId="4C794A5B">
            <w:pPr>
              <w:tabs>
                <w:tab w:val="center" w:pos="4446"/>
              </w:tabs>
              <w:adjustRightInd w:val="0"/>
              <w:spacing w:line="360" w:lineRule="auto"/>
              <w:ind w:firstLine="420" w:firstLineChars="200"/>
              <w:textAlignment w:val="baseline"/>
              <w:rPr>
                <w:rFonts w:hint="default" w:ascii="Times New Roman" w:hAnsi="Times New Roman"/>
                <w:color w:val="auto"/>
                <w:kern w:val="0"/>
                <w:sz w:val="21"/>
                <w:szCs w:val="21"/>
                <w:lang w:val="en-US" w:eastAsia="zh-CN"/>
              </w:rPr>
            </w:pPr>
            <w:r>
              <w:rPr>
                <w:rFonts w:hint="eastAsia" w:ascii="Times New Roman" w:hAnsi="Times New Roman"/>
                <w:b w:val="0"/>
                <w:bCs w:val="0"/>
                <w:color w:val="auto"/>
                <w:kern w:val="0"/>
                <w:sz w:val="21"/>
                <w:szCs w:val="21"/>
              </w:rPr>
              <w:t>废粉</w:t>
            </w:r>
            <w:r>
              <w:rPr>
                <w:rFonts w:hint="eastAsia"/>
                <w:b w:val="0"/>
                <w:bCs w:val="0"/>
                <w:color w:val="auto"/>
                <w:kern w:val="0"/>
                <w:sz w:val="21"/>
                <w:szCs w:val="21"/>
                <w:lang w:val="en-US" w:eastAsia="zh-CN"/>
              </w:rPr>
              <w:t>尘为</w:t>
            </w:r>
            <w:r>
              <w:rPr>
                <w:rFonts w:hint="eastAsia" w:ascii="Times New Roman" w:hAnsi="Times New Roman" w:eastAsia="宋体" w:cs="Times New Roman"/>
                <w:b w:val="0"/>
                <w:bCs w:val="0"/>
                <w:color w:val="auto"/>
                <w:kern w:val="0"/>
                <w:sz w:val="21"/>
                <w:szCs w:val="21"/>
                <w:lang w:val="en-US" w:eastAsia="zh-CN" w:bidi="ar"/>
              </w:rPr>
              <w:t>喷粉工序回收后</w:t>
            </w:r>
            <w:r>
              <w:rPr>
                <w:rFonts w:hint="eastAsia" w:ascii="Times New Roman" w:hAnsi="Times New Roman" w:eastAsia="宋体"/>
                <w:b w:val="0"/>
                <w:bCs w:val="0"/>
                <w:color w:val="auto"/>
                <w:kern w:val="0"/>
                <w:sz w:val="21"/>
                <w:szCs w:val="21"/>
                <w:lang w:val="en-US" w:eastAsia="zh-CN"/>
              </w:rPr>
              <w:t>无法</w:t>
            </w:r>
            <w:r>
              <w:rPr>
                <w:rFonts w:hint="eastAsia" w:ascii="Times New Roman" w:hAnsi="Times New Roman"/>
                <w:b w:val="0"/>
                <w:bCs w:val="0"/>
                <w:color w:val="auto"/>
                <w:kern w:val="0"/>
                <w:sz w:val="21"/>
                <w:szCs w:val="21"/>
              </w:rPr>
              <w:t>回用</w:t>
            </w:r>
            <w:r>
              <w:rPr>
                <w:rFonts w:hint="eastAsia" w:ascii="Times New Roman" w:hAnsi="Times New Roman"/>
                <w:b w:val="0"/>
                <w:bCs w:val="0"/>
                <w:color w:val="auto"/>
                <w:kern w:val="0"/>
                <w:sz w:val="21"/>
                <w:szCs w:val="21"/>
                <w:lang w:val="en-US" w:eastAsia="zh-CN"/>
              </w:rPr>
              <w:t>粉尘</w:t>
            </w:r>
            <w:r>
              <w:rPr>
                <w:rFonts w:hint="eastAsia"/>
                <w:b w:val="0"/>
                <w:bCs w:val="0"/>
                <w:color w:val="auto"/>
                <w:kern w:val="0"/>
                <w:sz w:val="21"/>
                <w:szCs w:val="21"/>
                <w:lang w:eastAsia="zh-CN"/>
              </w:rPr>
              <w:t>。</w:t>
            </w:r>
            <w:r>
              <w:rPr>
                <w:rFonts w:hint="eastAsia"/>
                <w:b w:val="0"/>
                <w:bCs w:val="0"/>
                <w:color w:val="auto"/>
                <w:kern w:val="0"/>
                <w:sz w:val="21"/>
                <w:szCs w:val="21"/>
                <w:lang w:val="en-US" w:eastAsia="zh-CN"/>
              </w:rPr>
              <w:t>按照环氧聚酯粉末物料平衡（图2、图3）</w:t>
            </w:r>
            <w:r>
              <w:rPr>
                <w:rFonts w:hint="eastAsia" w:ascii="Times New Roman" w:hAnsi="Times New Roman" w:eastAsia="宋体" w:cs="Times New Roman"/>
                <w:b w:val="0"/>
                <w:bCs w:val="0"/>
                <w:color w:val="auto"/>
                <w:kern w:val="0"/>
                <w:sz w:val="21"/>
                <w:szCs w:val="21"/>
                <w:lang w:val="en-US" w:eastAsia="zh-CN" w:bidi="ar"/>
              </w:rPr>
              <w:t>废粉尘</w:t>
            </w:r>
            <w:r>
              <w:rPr>
                <w:rFonts w:hint="eastAsia" w:ascii="Times New Roman" w:hAnsi="Times New Roman"/>
                <w:b w:val="0"/>
                <w:bCs w:val="0"/>
                <w:color w:val="auto"/>
                <w:kern w:val="0"/>
                <w:sz w:val="21"/>
                <w:szCs w:val="21"/>
              </w:rPr>
              <w:t>产生量约</w:t>
            </w:r>
            <w:r>
              <w:rPr>
                <w:rFonts w:ascii="Times New Roman" w:hAnsi="Times New Roman"/>
                <w:b w:val="0"/>
                <w:bCs w:val="0"/>
                <w:color w:val="auto"/>
                <w:kern w:val="0"/>
                <w:sz w:val="21"/>
                <w:szCs w:val="21"/>
              </w:rPr>
              <w:t>0.</w:t>
            </w:r>
            <w:r>
              <w:rPr>
                <w:rFonts w:hint="eastAsia" w:ascii="Times New Roman" w:hAnsi="Times New Roman"/>
                <w:b w:val="0"/>
                <w:bCs w:val="0"/>
                <w:color w:val="auto"/>
                <w:kern w:val="0"/>
                <w:sz w:val="21"/>
                <w:szCs w:val="21"/>
                <w:lang w:val="en-US" w:eastAsia="zh-CN"/>
              </w:rPr>
              <w:t>2964</w:t>
            </w:r>
            <w:r>
              <w:rPr>
                <w:rFonts w:hint="eastAsia" w:ascii="Times New Roman" w:hAnsi="Times New Roman"/>
                <w:b w:val="0"/>
                <w:bCs w:val="0"/>
                <w:color w:val="auto"/>
                <w:kern w:val="0"/>
                <w:sz w:val="21"/>
                <w:szCs w:val="21"/>
              </w:rPr>
              <w:t>t/a</w:t>
            </w:r>
            <w:r>
              <w:rPr>
                <w:rFonts w:hint="eastAsia" w:ascii="Times New Roman" w:hAnsi="Times New Roman"/>
                <w:b w:val="0"/>
                <w:bCs w:val="0"/>
                <w:color w:val="auto"/>
                <w:kern w:val="0"/>
                <w:sz w:val="21"/>
                <w:szCs w:val="21"/>
              </w:rPr>
              <w:t>；</w:t>
            </w:r>
          </w:p>
          <w:p w14:paraId="76F6C058">
            <w:pPr>
              <w:pStyle w:val="19"/>
              <w:spacing w:line="360" w:lineRule="auto"/>
              <w:ind w:firstLine="420"/>
              <w:rPr>
                <w:rFonts w:hint="default" w:ascii="Times New Roman" w:hAnsi="Times New Roman"/>
                <w:color w:val="auto"/>
                <w:kern w:val="0"/>
                <w:sz w:val="21"/>
                <w:szCs w:val="21"/>
                <w:lang w:val="en-US" w:eastAsia="zh-CN"/>
              </w:rPr>
            </w:pPr>
            <w:r>
              <w:rPr>
                <w:rFonts w:hint="eastAsia" w:ascii="Times New Roman" w:hAnsi="Times New Roman"/>
                <w:color w:val="auto"/>
                <w:spacing w:val="-1"/>
                <w:sz w:val="21"/>
                <w:highlight w:val="none"/>
                <w:lang w:val="en-US" w:eastAsia="zh-CN"/>
              </w:rPr>
              <w:t>喷粉工序使用后的滤芯由环保工程单位专人回收，项目不产生废滤芯。</w:t>
            </w:r>
          </w:p>
          <w:p w14:paraId="5BC78C93">
            <w:pPr>
              <w:widowControl/>
              <w:snapToGrid w:val="0"/>
              <w:spacing w:before="60" w:line="360" w:lineRule="auto"/>
              <w:ind w:right="113" w:firstLine="420" w:firstLineChars="200"/>
              <w:rPr>
                <w:rFonts w:ascii="Times New Roman" w:hAnsi="Times New Roman"/>
                <w:b/>
                <w:bCs/>
                <w:color w:val="auto"/>
                <w:kern w:val="0"/>
                <w:sz w:val="21"/>
                <w:szCs w:val="21"/>
              </w:rPr>
            </w:pPr>
            <w:r>
              <w:rPr>
                <w:rFonts w:hint="eastAsia" w:ascii="Times New Roman" w:hAnsi="Times New Roman" w:cs="宋体"/>
                <w:color w:val="auto"/>
                <w:kern w:val="0"/>
                <w:sz w:val="21"/>
                <w:szCs w:val="21"/>
              </w:rPr>
              <w:t>一般固废收集后交给有一般固体废物处理能力的单位处理。</w:t>
            </w:r>
          </w:p>
          <w:p w14:paraId="474D080F">
            <w:pPr>
              <w:adjustRightInd w:val="0"/>
              <w:spacing w:line="360" w:lineRule="auto"/>
              <w:ind w:firstLine="420" w:firstLineChars="200"/>
              <w:textAlignment w:val="baseline"/>
              <w:rPr>
                <w:color w:val="auto"/>
                <w:kern w:val="0"/>
                <w:szCs w:val="21"/>
              </w:rPr>
            </w:pPr>
            <w:r>
              <w:rPr>
                <w:rFonts w:hint="eastAsia"/>
                <w:color w:val="auto"/>
                <w:kern w:val="0"/>
                <w:szCs w:val="21"/>
              </w:rPr>
              <w:t>（3）</w:t>
            </w:r>
            <w:r>
              <w:rPr>
                <w:color w:val="auto"/>
                <w:kern w:val="0"/>
                <w:szCs w:val="21"/>
              </w:rPr>
              <w:t>危险废物：</w:t>
            </w:r>
          </w:p>
          <w:p w14:paraId="1FD6C167">
            <w:pPr>
              <w:tabs>
                <w:tab w:val="center" w:pos="4446"/>
              </w:tabs>
              <w:adjustRightInd w:val="0"/>
              <w:spacing w:line="360" w:lineRule="auto"/>
              <w:ind w:firstLine="420" w:firstLineChars="200"/>
              <w:textAlignment w:val="baseline"/>
              <w:rPr>
                <w:rFonts w:hint="eastAsia" w:eastAsia="宋体"/>
                <w:strike w:val="0"/>
                <w:dstrike w:val="0"/>
                <w:color w:val="auto"/>
                <w:kern w:val="0"/>
                <w:sz w:val="21"/>
                <w:szCs w:val="21"/>
                <w:lang w:val="en-US" w:eastAsia="zh-CN"/>
              </w:rPr>
            </w:pPr>
            <w:r>
              <w:rPr>
                <w:rFonts w:hint="eastAsia" w:ascii="宋体" w:hAnsi="宋体" w:cs="宋体"/>
                <w:color w:val="auto"/>
                <w:kern w:val="0"/>
                <w:szCs w:val="21"/>
              </w:rPr>
              <w:t>①</w:t>
            </w:r>
            <w:r>
              <w:rPr>
                <w:rFonts w:hint="eastAsia"/>
                <w:strike w:val="0"/>
                <w:dstrike w:val="0"/>
                <w:color w:val="auto"/>
                <w:kern w:val="0"/>
                <w:sz w:val="21"/>
                <w:szCs w:val="21"/>
                <w:highlight w:val="none"/>
                <w:lang w:val="en-US" w:eastAsia="zh-CN"/>
              </w:rPr>
              <w:t>废</w:t>
            </w:r>
            <w:r>
              <w:rPr>
                <w:rFonts w:hint="eastAsia"/>
                <w:strike w:val="0"/>
                <w:dstrike w:val="0"/>
                <w:color w:val="auto"/>
                <w:kern w:val="0"/>
                <w:sz w:val="21"/>
                <w:szCs w:val="21"/>
                <w:highlight w:val="none"/>
              </w:rPr>
              <w:t>活性炭</w:t>
            </w:r>
            <w:r>
              <w:rPr>
                <w:rFonts w:hint="eastAsia"/>
                <w:strike w:val="0"/>
                <w:dstrike w:val="0"/>
                <w:color w:val="auto"/>
                <w:kern w:val="0"/>
                <w:sz w:val="21"/>
                <w:szCs w:val="21"/>
                <w:highlight w:val="none"/>
                <w:lang w:val="en-US" w:eastAsia="zh-CN"/>
              </w:rPr>
              <w:t xml:space="preserve"> </w:t>
            </w:r>
            <w:r>
              <w:rPr>
                <w:rFonts w:hint="eastAsia" w:ascii="Times New Roman"/>
                <w:strike w:val="0"/>
                <w:dstrike w:val="0"/>
                <w:color w:val="auto"/>
                <w:kern w:val="0"/>
                <w:sz w:val="21"/>
                <w:szCs w:val="21"/>
                <w:lang w:val="en-US" w:eastAsia="zh-CN"/>
              </w:rPr>
              <w:t>1</w:t>
            </w:r>
            <w:r>
              <w:rPr>
                <w:rFonts w:ascii="Times New Roman" w:hAnsi="Times New Roman"/>
                <w:strike w:val="0"/>
                <w:dstrike w:val="0"/>
                <w:color w:val="auto"/>
                <w:kern w:val="0"/>
                <w:sz w:val="21"/>
                <w:szCs w:val="21"/>
              </w:rPr>
              <w:t>.</w:t>
            </w:r>
            <w:r>
              <w:rPr>
                <w:rFonts w:hint="eastAsia" w:ascii="Times New Roman"/>
                <w:strike w:val="0"/>
                <w:dstrike w:val="0"/>
                <w:color w:val="auto"/>
                <w:kern w:val="0"/>
                <w:sz w:val="21"/>
                <w:szCs w:val="21"/>
                <w:lang w:val="en-US" w:eastAsia="zh-CN"/>
              </w:rPr>
              <w:t>8</w:t>
            </w:r>
            <w:r>
              <w:rPr>
                <w:rFonts w:hint="eastAsia"/>
                <w:strike w:val="0"/>
                <w:dstrike w:val="0"/>
                <w:color w:val="auto"/>
                <w:kern w:val="0"/>
                <w:sz w:val="21"/>
                <w:szCs w:val="21"/>
                <w:lang w:val="en-US" w:eastAsia="zh-CN"/>
              </w:rPr>
              <w:t>255</w:t>
            </w:r>
            <w:r>
              <w:rPr>
                <w:rFonts w:ascii="Times New Roman" w:hAnsi="Times New Roman"/>
                <w:strike w:val="0"/>
                <w:dstrike w:val="0"/>
                <w:color w:val="auto"/>
                <w:kern w:val="0"/>
                <w:sz w:val="21"/>
                <w:szCs w:val="21"/>
              </w:rPr>
              <w:t>t/a</w:t>
            </w:r>
          </w:p>
          <w:p w14:paraId="656C5DC7">
            <w:pPr>
              <w:pStyle w:val="46"/>
              <w:spacing w:line="360" w:lineRule="auto"/>
              <w:ind w:firstLine="420" w:firstLineChars="200"/>
              <w:jc w:val="both"/>
              <w:rPr>
                <w:rFonts w:ascii="Times New Roman" w:hAnsi="Times New Roman"/>
                <w:color w:val="auto"/>
                <w:kern w:val="0"/>
                <w:sz w:val="21"/>
                <w:szCs w:val="21"/>
              </w:rPr>
            </w:pPr>
            <w:r>
              <w:rPr>
                <w:rFonts w:hint="eastAsia" w:ascii="Times New Roman" w:hAnsi="Times New Roman"/>
                <w:color w:val="auto"/>
                <w:kern w:val="0"/>
                <w:sz w:val="21"/>
                <w:szCs w:val="21"/>
              </w:rPr>
              <w:t>本项目</w:t>
            </w:r>
            <w:r>
              <w:rPr>
                <w:rFonts w:hint="eastAsia" w:ascii="Times New Roman"/>
                <w:color w:val="auto"/>
                <w:kern w:val="0"/>
                <w:sz w:val="21"/>
                <w:szCs w:val="21"/>
                <w:lang w:val="en-US" w:eastAsia="zh-CN"/>
              </w:rPr>
              <w:t>废</w:t>
            </w:r>
            <w:r>
              <w:rPr>
                <w:rFonts w:hint="eastAsia" w:ascii="Times New Roman" w:hAnsi="Times New Roman"/>
                <w:color w:val="auto"/>
                <w:kern w:val="0"/>
                <w:sz w:val="21"/>
                <w:szCs w:val="21"/>
              </w:rPr>
              <w:t>活性炭来自活性炭吸附</w:t>
            </w:r>
            <w:r>
              <w:rPr>
                <w:rFonts w:hint="eastAsia" w:ascii="Times New Roman"/>
                <w:color w:val="auto"/>
                <w:kern w:val="0"/>
                <w:sz w:val="21"/>
                <w:szCs w:val="21"/>
                <w:lang w:val="en-US" w:eastAsia="zh-CN"/>
              </w:rPr>
              <w:t>装置</w:t>
            </w:r>
            <w:r>
              <w:rPr>
                <w:rFonts w:hint="eastAsia" w:ascii="Times New Roman" w:hAnsi="Times New Roman"/>
                <w:color w:val="auto"/>
                <w:kern w:val="0"/>
                <w:sz w:val="21"/>
                <w:szCs w:val="21"/>
              </w:rPr>
              <w:t>对废气进行吸附处理。G</w:t>
            </w:r>
            <w:r>
              <w:rPr>
                <w:rFonts w:hint="eastAsia" w:ascii="Times New Roman"/>
                <w:color w:val="auto"/>
                <w:kern w:val="0"/>
                <w:sz w:val="21"/>
                <w:szCs w:val="21"/>
                <w:lang w:val="en-US" w:eastAsia="zh-CN"/>
              </w:rPr>
              <w:t>2</w:t>
            </w:r>
            <w:r>
              <w:rPr>
                <w:rFonts w:hint="eastAsia" w:ascii="Times New Roman" w:hAnsi="Times New Roman"/>
                <w:color w:val="auto"/>
                <w:kern w:val="0"/>
                <w:sz w:val="21"/>
                <w:szCs w:val="21"/>
              </w:rPr>
              <w:t>有机废气的吸附量为</w:t>
            </w:r>
            <w:r>
              <w:rPr>
                <w:rFonts w:ascii="Times New Roman" w:hAnsi="Times New Roman"/>
                <w:color w:val="auto"/>
                <w:kern w:val="0"/>
                <w:sz w:val="21"/>
                <w:szCs w:val="21"/>
              </w:rPr>
              <w:t>0.0</w:t>
            </w:r>
            <w:r>
              <w:rPr>
                <w:rFonts w:hint="eastAsia" w:ascii="Times New Roman"/>
                <w:color w:val="auto"/>
                <w:kern w:val="0"/>
                <w:sz w:val="21"/>
                <w:szCs w:val="21"/>
                <w:lang w:val="en-US" w:eastAsia="zh-CN"/>
              </w:rPr>
              <w:t>467</w:t>
            </w:r>
            <w:r>
              <w:rPr>
                <w:rFonts w:hint="eastAsia" w:ascii="Times New Roman" w:hAnsi="Times New Roman"/>
                <w:color w:val="auto"/>
                <w:kern w:val="0"/>
                <w:sz w:val="21"/>
                <w:szCs w:val="21"/>
              </w:rPr>
              <w:t>/a，</w:t>
            </w:r>
            <w:r>
              <w:rPr>
                <w:rFonts w:hint="eastAsia" w:ascii="Times New Roman" w:hAnsi="Times New Roman"/>
                <w:color w:val="auto"/>
                <w:kern w:val="0"/>
                <w:sz w:val="21"/>
                <w:szCs w:val="21"/>
                <w:lang w:val="en-US" w:eastAsia="zh-CN"/>
              </w:rPr>
              <w:t>根据《广东省工业源挥发性有机物减排量核算方法（2023年修订版）》表3.3-3吸附技术：活性炭吸附比例建议取值 15%，则本项目活性炭装置需要活性炭0.</w:t>
            </w:r>
            <w:r>
              <w:rPr>
                <w:rFonts w:hint="eastAsia" w:ascii="Times New Roman"/>
                <w:color w:val="auto"/>
                <w:kern w:val="0"/>
                <w:sz w:val="21"/>
                <w:szCs w:val="21"/>
                <w:lang w:val="en-US" w:eastAsia="zh-CN"/>
              </w:rPr>
              <w:t>0467</w:t>
            </w:r>
            <w:r>
              <w:rPr>
                <w:rFonts w:hint="eastAsia" w:ascii="Times New Roman" w:hAnsi="Times New Roman"/>
                <w:color w:val="auto"/>
                <w:kern w:val="0"/>
                <w:sz w:val="21"/>
                <w:szCs w:val="21"/>
                <w:lang w:val="en-US" w:eastAsia="zh-CN"/>
              </w:rPr>
              <w:t>/15%=0.</w:t>
            </w:r>
            <w:r>
              <w:rPr>
                <w:rFonts w:hint="eastAsia" w:ascii="Times New Roman"/>
                <w:color w:val="auto"/>
                <w:kern w:val="0"/>
                <w:sz w:val="21"/>
                <w:szCs w:val="21"/>
                <w:lang w:val="en-US" w:eastAsia="zh-CN"/>
              </w:rPr>
              <w:t>3113</w:t>
            </w:r>
            <w:r>
              <w:rPr>
                <w:rFonts w:hint="eastAsia" w:ascii="Times New Roman" w:hAnsi="Times New Roman"/>
                <w:color w:val="auto"/>
                <w:kern w:val="0"/>
                <w:sz w:val="21"/>
                <w:szCs w:val="21"/>
                <w:lang w:val="en-US" w:eastAsia="zh-CN"/>
              </w:rPr>
              <w:t>t/a；根据前文表</w:t>
            </w:r>
            <w:r>
              <w:rPr>
                <w:rFonts w:hint="eastAsia" w:ascii="Times New Roman"/>
                <w:color w:val="auto"/>
                <w:kern w:val="0"/>
                <w:sz w:val="21"/>
                <w:szCs w:val="21"/>
                <w:lang w:val="en-US" w:eastAsia="zh-CN"/>
              </w:rPr>
              <w:t>28</w:t>
            </w:r>
            <w:r>
              <w:rPr>
                <w:rFonts w:hint="eastAsia" w:ascii="Times New Roman" w:hAnsi="Times New Roman"/>
                <w:color w:val="auto"/>
                <w:kern w:val="0"/>
                <w:sz w:val="21"/>
                <w:szCs w:val="21"/>
                <w:lang w:val="en-US" w:eastAsia="zh-CN"/>
              </w:rPr>
              <w:t>，单次单级活性炭填充量为0.</w:t>
            </w:r>
            <w:r>
              <w:rPr>
                <w:rFonts w:hint="eastAsia" w:ascii="Times New Roman"/>
                <w:color w:val="auto"/>
                <w:kern w:val="0"/>
                <w:sz w:val="21"/>
                <w:szCs w:val="21"/>
                <w:lang w:val="en-US" w:eastAsia="zh-CN"/>
              </w:rPr>
              <w:t>4447</w:t>
            </w:r>
            <w:r>
              <w:rPr>
                <w:rFonts w:hint="eastAsia" w:ascii="Times New Roman" w:hAnsi="Times New Roman"/>
                <w:color w:val="auto"/>
                <w:kern w:val="0"/>
                <w:sz w:val="21"/>
                <w:szCs w:val="21"/>
                <w:lang w:val="en-US" w:eastAsia="zh-CN"/>
              </w:rPr>
              <w:t>t，参考中山市生态环境局印发的《关于促进涉挥发性有机物企业规范使用活性炭吸附工艺工作方案》，无脱附功能或脱附功能不正常运行的，活性炭更换周期不应超过500小时（按3个月算），因此本项目活性炭更换频次为4次/年，则活性炭总填充量为0.</w:t>
            </w:r>
            <w:r>
              <w:rPr>
                <w:rFonts w:hint="eastAsia" w:ascii="Times New Roman"/>
                <w:color w:val="auto"/>
                <w:kern w:val="0"/>
                <w:sz w:val="21"/>
                <w:szCs w:val="21"/>
                <w:lang w:val="en-US" w:eastAsia="zh-CN"/>
              </w:rPr>
              <w:t>4447</w:t>
            </w:r>
            <w:r>
              <w:rPr>
                <w:rFonts w:hint="eastAsia" w:ascii="Times New Roman" w:hAnsi="Times New Roman"/>
                <w:color w:val="auto"/>
                <w:kern w:val="0"/>
                <w:sz w:val="21"/>
                <w:szCs w:val="21"/>
                <w:lang w:val="en-US" w:eastAsia="zh-CN"/>
              </w:rPr>
              <w:t>t</w:t>
            </w:r>
            <w:r>
              <w:rPr>
                <w:rFonts w:hint="eastAsia" w:ascii="Times New Roman"/>
                <w:color w:val="auto"/>
                <w:kern w:val="0"/>
                <w:sz w:val="21"/>
                <w:szCs w:val="21"/>
                <w:lang w:val="en-US" w:eastAsia="zh-CN"/>
              </w:rPr>
              <w:t>×</w:t>
            </w:r>
            <w:r>
              <w:rPr>
                <w:rFonts w:hint="eastAsia" w:ascii="Times New Roman" w:hAnsi="Times New Roman"/>
                <w:color w:val="auto"/>
                <w:kern w:val="0"/>
                <w:sz w:val="21"/>
                <w:szCs w:val="21"/>
                <w:lang w:val="en-US" w:eastAsia="zh-CN"/>
              </w:rPr>
              <w:t>4=</w:t>
            </w:r>
            <w:r>
              <w:rPr>
                <w:rFonts w:hint="eastAsia" w:ascii="Times New Roman"/>
                <w:color w:val="auto"/>
                <w:kern w:val="0"/>
                <w:sz w:val="21"/>
                <w:szCs w:val="21"/>
                <w:lang w:val="en-US" w:eastAsia="zh-CN"/>
              </w:rPr>
              <w:t>1</w:t>
            </w:r>
            <w:r>
              <w:rPr>
                <w:rFonts w:hint="eastAsia" w:ascii="Times New Roman" w:hAnsi="Times New Roman"/>
                <w:color w:val="auto"/>
                <w:kern w:val="0"/>
                <w:sz w:val="21"/>
                <w:szCs w:val="21"/>
                <w:lang w:val="en-US" w:eastAsia="zh-CN"/>
              </w:rPr>
              <w:t>.</w:t>
            </w:r>
            <w:r>
              <w:rPr>
                <w:rFonts w:hint="eastAsia" w:ascii="Times New Roman"/>
                <w:color w:val="auto"/>
                <w:kern w:val="0"/>
                <w:sz w:val="21"/>
                <w:szCs w:val="21"/>
                <w:lang w:val="en-US" w:eastAsia="zh-CN"/>
              </w:rPr>
              <w:t>7788</w:t>
            </w:r>
            <w:r>
              <w:rPr>
                <w:rFonts w:hint="eastAsia" w:ascii="Times New Roman" w:hAnsi="Times New Roman"/>
                <w:color w:val="auto"/>
                <w:kern w:val="0"/>
                <w:sz w:val="21"/>
                <w:szCs w:val="21"/>
                <w:lang w:val="en-US" w:eastAsia="zh-CN"/>
              </w:rPr>
              <w:t>t/a，满足处理需求，则产生废活性炭量为0.</w:t>
            </w:r>
            <w:r>
              <w:rPr>
                <w:rFonts w:hint="eastAsia" w:ascii="Times New Roman"/>
                <w:color w:val="auto"/>
                <w:kern w:val="0"/>
                <w:sz w:val="21"/>
                <w:szCs w:val="21"/>
                <w:lang w:val="en-US" w:eastAsia="zh-CN"/>
              </w:rPr>
              <w:t>0467</w:t>
            </w:r>
            <w:r>
              <w:rPr>
                <w:rFonts w:hint="eastAsia" w:ascii="Times New Roman" w:hAnsi="Times New Roman"/>
                <w:color w:val="auto"/>
                <w:kern w:val="0"/>
                <w:sz w:val="21"/>
                <w:szCs w:val="21"/>
                <w:lang w:val="en-US" w:eastAsia="zh-CN"/>
              </w:rPr>
              <w:t>t/a+</w:t>
            </w:r>
            <w:r>
              <w:rPr>
                <w:rFonts w:hint="eastAsia" w:ascii="Times New Roman"/>
                <w:color w:val="auto"/>
                <w:kern w:val="0"/>
                <w:sz w:val="21"/>
                <w:szCs w:val="21"/>
                <w:lang w:val="en-US" w:eastAsia="zh-CN"/>
              </w:rPr>
              <w:t>1</w:t>
            </w:r>
            <w:r>
              <w:rPr>
                <w:rFonts w:hint="eastAsia" w:ascii="Times New Roman" w:hAnsi="Times New Roman"/>
                <w:color w:val="auto"/>
                <w:kern w:val="0"/>
                <w:sz w:val="21"/>
                <w:szCs w:val="21"/>
                <w:lang w:val="en-US" w:eastAsia="zh-CN"/>
              </w:rPr>
              <w:t>.</w:t>
            </w:r>
            <w:r>
              <w:rPr>
                <w:rFonts w:hint="eastAsia" w:ascii="Times New Roman"/>
                <w:color w:val="auto"/>
                <w:kern w:val="0"/>
                <w:sz w:val="21"/>
                <w:szCs w:val="21"/>
                <w:lang w:val="en-US" w:eastAsia="zh-CN"/>
              </w:rPr>
              <w:t>7788</w:t>
            </w:r>
            <w:r>
              <w:rPr>
                <w:rFonts w:hint="eastAsia" w:ascii="Times New Roman" w:hAnsi="Times New Roman"/>
                <w:color w:val="auto"/>
                <w:kern w:val="0"/>
                <w:sz w:val="21"/>
                <w:szCs w:val="21"/>
                <w:lang w:val="en-US" w:eastAsia="zh-CN"/>
              </w:rPr>
              <w:t>t/a=</w:t>
            </w:r>
            <w:r>
              <w:rPr>
                <w:rFonts w:hint="eastAsia" w:ascii="Times New Roman"/>
                <w:color w:val="auto"/>
                <w:kern w:val="0"/>
                <w:sz w:val="21"/>
                <w:szCs w:val="21"/>
                <w:lang w:val="en-US" w:eastAsia="zh-CN"/>
              </w:rPr>
              <w:t>1</w:t>
            </w:r>
            <w:r>
              <w:rPr>
                <w:rFonts w:hint="eastAsia" w:ascii="Times New Roman" w:hAnsi="Times New Roman"/>
                <w:color w:val="auto"/>
                <w:kern w:val="0"/>
                <w:sz w:val="21"/>
                <w:szCs w:val="21"/>
                <w:lang w:val="en-US" w:eastAsia="zh-CN"/>
              </w:rPr>
              <w:t>.</w:t>
            </w:r>
            <w:r>
              <w:rPr>
                <w:rFonts w:hint="eastAsia" w:ascii="Times New Roman"/>
                <w:color w:val="auto"/>
                <w:kern w:val="0"/>
                <w:sz w:val="21"/>
                <w:szCs w:val="21"/>
                <w:lang w:val="en-US" w:eastAsia="zh-CN"/>
              </w:rPr>
              <w:t>8255</w:t>
            </w:r>
            <w:r>
              <w:rPr>
                <w:rFonts w:hint="eastAsia" w:ascii="Times New Roman" w:hAnsi="Times New Roman"/>
                <w:color w:val="auto"/>
                <w:kern w:val="0"/>
                <w:sz w:val="21"/>
                <w:szCs w:val="21"/>
                <w:lang w:val="en-US" w:eastAsia="zh-CN"/>
              </w:rPr>
              <w:t>t/a。</w:t>
            </w:r>
          </w:p>
          <w:p w14:paraId="14C19A96">
            <w:pPr>
              <w:pStyle w:val="46"/>
              <w:spacing w:line="360" w:lineRule="auto"/>
              <w:ind w:firstLine="420" w:firstLineChars="200"/>
              <w:jc w:val="both"/>
              <w:rPr>
                <w:rFonts w:ascii="Times New Roman" w:hAnsi="Times New Roman"/>
                <w:color w:val="auto"/>
                <w:kern w:val="0"/>
                <w:sz w:val="21"/>
                <w:szCs w:val="21"/>
              </w:rPr>
            </w:pPr>
            <w:r>
              <w:rPr>
                <w:rFonts w:hint="eastAsia" w:ascii="Times New Roman" w:hAnsi="Times New Roman"/>
                <w:color w:val="auto"/>
                <w:kern w:val="0"/>
                <w:sz w:val="21"/>
                <w:szCs w:val="21"/>
              </w:rPr>
              <w:t>综上所述，</w:t>
            </w:r>
            <w:r>
              <w:rPr>
                <w:rFonts w:hint="eastAsia" w:ascii="Times New Roman"/>
                <w:color w:val="auto"/>
                <w:kern w:val="0"/>
                <w:sz w:val="21"/>
                <w:szCs w:val="21"/>
                <w:lang w:eastAsia="zh-CN"/>
              </w:rPr>
              <w:t>废活性炭</w:t>
            </w:r>
            <w:r>
              <w:rPr>
                <w:rFonts w:hint="eastAsia" w:ascii="Times New Roman" w:hAnsi="Times New Roman"/>
                <w:color w:val="auto"/>
                <w:kern w:val="0"/>
                <w:sz w:val="21"/>
                <w:szCs w:val="21"/>
              </w:rPr>
              <w:t>产生量为</w:t>
            </w:r>
            <w:r>
              <w:rPr>
                <w:rFonts w:hint="eastAsia" w:ascii="Times New Roman"/>
                <w:color w:val="auto"/>
                <w:kern w:val="0"/>
                <w:sz w:val="21"/>
                <w:szCs w:val="21"/>
                <w:lang w:val="en-US" w:eastAsia="zh-CN"/>
              </w:rPr>
              <w:t>1</w:t>
            </w:r>
            <w:r>
              <w:rPr>
                <w:rFonts w:ascii="Times New Roman" w:hAnsi="Times New Roman"/>
                <w:color w:val="auto"/>
                <w:kern w:val="0"/>
                <w:sz w:val="21"/>
                <w:szCs w:val="21"/>
              </w:rPr>
              <w:t>.</w:t>
            </w:r>
            <w:r>
              <w:rPr>
                <w:rFonts w:hint="eastAsia" w:ascii="Times New Roman"/>
                <w:color w:val="auto"/>
                <w:kern w:val="0"/>
                <w:sz w:val="21"/>
                <w:szCs w:val="21"/>
                <w:lang w:val="en-US" w:eastAsia="zh-CN"/>
              </w:rPr>
              <w:t>8255</w:t>
            </w:r>
            <w:r>
              <w:rPr>
                <w:rFonts w:ascii="Times New Roman" w:hAnsi="Times New Roman"/>
                <w:color w:val="auto"/>
                <w:kern w:val="0"/>
                <w:sz w:val="21"/>
                <w:szCs w:val="21"/>
              </w:rPr>
              <w:t>/a</w:t>
            </w:r>
            <w:r>
              <w:rPr>
                <w:rFonts w:hint="eastAsia" w:ascii="Times New Roman" w:hAnsi="Times New Roman"/>
                <w:color w:val="auto"/>
                <w:kern w:val="0"/>
                <w:sz w:val="21"/>
                <w:szCs w:val="21"/>
              </w:rPr>
              <w:t>。</w:t>
            </w:r>
          </w:p>
          <w:p w14:paraId="3F8D2834">
            <w:pPr>
              <w:tabs>
                <w:tab w:val="center" w:pos="4446"/>
              </w:tabs>
              <w:adjustRightInd w:val="0"/>
              <w:spacing w:line="360" w:lineRule="auto"/>
              <w:ind w:firstLine="420" w:firstLineChars="200"/>
              <w:textAlignment w:val="baseline"/>
              <w:rPr>
                <w:rFonts w:hint="default" w:eastAsia="宋体"/>
                <w:color w:val="auto"/>
                <w:kern w:val="0"/>
                <w:szCs w:val="21"/>
                <w:lang w:val="en-US" w:eastAsia="zh-CN"/>
              </w:rPr>
            </w:pPr>
            <w:r>
              <w:rPr>
                <w:rFonts w:hint="eastAsia"/>
                <w:strike w:val="0"/>
                <w:dstrike w:val="0"/>
                <w:color w:val="auto"/>
                <w:kern w:val="0"/>
                <w:sz w:val="21"/>
                <w:szCs w:val="21"/>
              </w:rPr>
              <w:t>②</w:t>
            </w:r>
            <w:r>
              <w:rPr>
                <w:color w:val="auto"/>
                <w:kern w:val="0"/>
                <w:szCs w:val="21"/>
              </w:rPr>
              <w:t>废</w:t>
            </w:r>
            <w:r>
              <w:rPr>
                <w:rFonts w:hint="eastAsia"/>
                <w:color w:val="auto"/>
                <w:kern w:val="0"/>
                <w:szCs w:val="21"/>
              </w:rPr>
              <w:t>润滑油</w:t>
            </w:r>
            <w:r>
              <w:rPr>
                <w:color w:val="auto"/>
                <w:kern w:val="0"/>
                <w:szCs w:val="21"/>
              </w:rPr>
              <w:t>及其包装物</w:t>
            </w:r>
            <w:r>
              <w:rPr>
                <w:rFonts w:hint="eastAsia"/>
                <w:color w:val="auto"/>
                <w:kern w:val="0"/>
                <w:szCs w:val="21"/>
                <w:lang w:val="en-US" w:eastAsia="zh-CN"/>
              </w:rPr>
              <w:t xml:space="preserve"> 0.011t/a</w:t>
            </w:r>
          </w:p>
          <w:p w14:paraId="55CE09B4">
            <w:pPr>
              <w:tabs>
                <w:tab w:val="center" w:pos="4446"/>
              </w:tabs>
              <w:adjustRightInd w:val="0"/>
              <w:spacing w:line="360" w:lineRule="auto"/>
              <w:ind w:firstLine="420" w:firstLineChars="200"/>
              <w:textAlignment w:val="baseline"/>
              <w:rPr>
                <w:rFonts w:hint="default" w:eastAsia="宋体"/>
                <w:color w:val="auto"/>
                <w:kern w:val="0"/>
                <w:szCs w:val="21"/>
                <w:lang w:val="en-US" w:eastAsia="zh-CN"/>
              </w:rPr>
            </w:pPr>
            <w:r>
              <w:rPr>
                <w:rFonts w:hint="eastAsia"/>
                <w:color w:val="auto"/>
                <w:kern w:val="0"/>
                <w:szCs w:val="21"/>
              </w:rPr>
              <w:t>润滑油</w:t>
            </w:r>
            <w:r>
              <w:rPr>
                <w:rFonts w:hint="eastAsia"/>
                <w:color w:val="auto"/>
                <w:kern w:val="0"/>
                <w:szCs w:val="21"/>
                <w:lang w:val="en-US" w:eastAsia="zh-CN"/>
              </w:rPr>
              <w:t>年用量0.1吨，每桶25kg，共4桶，</w:t>
            </w:r>
            <w:r>
              <w:rPr>
                <w:color w:val="auto"/>
                <w:kern w:val="0"/>
                <w:szCs w:val="21"/>
              </w:rPr>
              <w:t>废</w:t>
            </w:r>
            <w:r>
              <w:rPr>
                <w:rFonts w:hint="eastAsia"/>
                <w:color w:val="auto"/>
                <w:kern w:val="0"/>
                <w:szCs w:val="21"/>
              </w:rPr>
              <w:t>润滑油产生量约为原料用量的1</w:t>
            </w:r>
            <w:r>
              <w:rPr>
                <w:color w:val="auto"/>
                <w:kern w:val="0"/>
                <w:szCs w:val="21"/>
              </w:rPr>
              <w:t>0</w:t>
            </w:r>
            <w:r>
              <w:rPr>
                <w:rFonts w:hint="eastAsia"/>
                <w:color w:val="auto"/>
                <w:kern w:val="0"/>
                <w:szCs w:val="21"/>
              </w:rPr>
              <w:t>%，</w:t>
            </w:r>
            <w:r>
              <w:rPr>
                <w:rFonts w:hint="eastAsia"/>
                <w:color w:val="auto"/>
                <w:kern w:val="0"/>
                <w:szCs w:val="21"/>
                <w:lang w:val="en-US" w:eastAsia="zh-CN"/>
              </w:rPr>
              <w:t>即</w:t>
            </w:r>
            <w:r>
              <w:rPr>
                <w:rFonts w:hint="eastAsia"/>
                <w:color w:val="auto"/>
                <w:kern w:val="0"/>
                <w:szCs w:val="21"/>
              </w:rPr>
              <w:t>产生量为</w:t>
            </w:r>
            <w:r>
              <w:rPr>
                <w:color w:val="auto"/>
                <w:kern w:val="0"/>
                <w:szCs w:val="21"/>
              </w:rPr>
              <w:t>0.01t/a</w:t>
            </w:r>
            <w:r>
              <w:rPr>
                <w:rFonts w:hint="eastAsia"/>
                <w:color w:val="auto"/>
                <w:kern w:val="0"/>
                <w:szCs w:val="21"/>
              </w:rPr>
              <w:t>。</w:t>
            </w:r>
            <w:r>
              <w:rPr>
                <w:rFonts w:hint="eastAsia"/>
                <w:color w:val="auto"/>
                <w:kern w:val="0"/>
                <w:szCs w:val="21"/>
                <w:lang w:val="en-US" w:eastAsia="zh-CN"/>
              </w:rPr>
              <w:t>单个空润滑油桶按0.25kg，则废润滑油包装物的产生量为0.001t/a。</w:t>
            </w:r>
          </w:p>
          <w:p w14:paraId="1F8C0664">
            <w:pPr>
              <w:tabs>
                <w:tab w:val="center" w:pos="4446"/>
              </w:tabs>
              <w:adjustRightInd w:val="0"/>
              <w:spacing w:line="360" w:lineRule="auto"/>
              <w:ind w:firstLine="420" w:firstLineChars="200"/>
              <w:textAlignment w:val="baseline"/>
              <w:rPr>
                <w:rFonts w:hint="eastAsia" w:eastAsia="宋体"/>
                <w:color w:val="auto"/>
                <w:kern w:val="0"/>
                <w:szCs w:val="21"/>
                <w:lang w:val="en-US" w:eastAsia="zh-CN"/>
              </w:rPr>
            </w:pPr>
            <w:r>
              <w:rPr>
                <w:rFonts w:hint="eastAsia"/>
                <w:color w:val="auto"/>
                <w:kern w:val="0"/>
                <w:szCs w:val="21"/>
              </w:rPr>
              <w:t>③</w:t>
            </w:r>
            <w:r>
              <w:rPr>
                <w:rFonts w:hint="eastAsia"/>
                <w:color w:val="auto"/>
                <w:kern w:val="0"/>
                <w:szCs w:val="21"/>
              </w:rPr>
              <w:t>除油废液</w:t>
            </w:r>
            <w:r>
              <w:rPr>
                <w:rFonts w:hint="eastAsia"/>
                <w:color w:val="auto"/>
                <w:kern w:val="0"/>
                <w:szCs w:val="21"/>
                <w:lang w:val="en-US" w:eastAsia="zh-CN"/>
              </w:rPr>
              <w:t xml:space="preserve"> </w:t>
            </w:r>
            <w:r>
              <w:rPr>
                <w:color w:val="auto"/>
                <w:kern w:val="0"/>
                <w:szCs w:val="21"/>
              </w:rPr>
              <w:t>1</w:t>
            </w:r>
            <w:r>
              <w:rPr>
                <w:rFonts w:hint="eastAsia"/>
                <w:color w:val="auto"/>
                <w:kern w:val="0"/>
                <w:szCs w:val="21"/>
                <w:lang w:val="en-US" w:eastAsia="zh-CN"/>
              </w:rPr>
              <w:t>1</w:t>
            </w:r>
            <w:r>
              <w:rPr>
                <w:color w:val="auto"/>
                <w:kern w:val="0"/>
                <w:szCs w:val="21"/>
              </w:rPr>
              <w:t>.</w:t>
            </w:r>
            <w:r>
              <w:rPr>
                <w:rFonts w:hint="eastAsia"/>
                <w:color w:val="auto"/>
                <w:kern w:val="0"/>
                <w:szCs w:val="21"/>
                <w:lang w:val="en-US" w:eastAsia="zh-CN"/>
              </w:rPr>
              <w:t>2</w:t>
            </w:r>
            <w:r>
              <w:rPr>
                <w:color w:val="auto"/>
                <w:kern w:val="0"/>
                <w:szCs w:val="21"/>
              </w:rPr>
              <w:t>t/a</w:t>
            </w:r>
          </w:p>
          <w:p w14:paraId="4831C924">
            <w:pPr>
              <w:tabs>
                <w:tab w:val="center" w:pos="4446"/>
              </w:tabs>
              <w:adjustRightInd w:val="0"/>
              <w:spacing w:line="360" w:lineRule="auto"/>
              <w:ind w:firstLine="420" w:firstLineChars="200"/>
              <w:textAlignment w:val="baseline"/>
              <w:rPr>
                <w:color w:val="auto"/>
                <w:kern w:val="0"/>
                <w:szCs w:val="21"/>
              </w:rPr>
            </w:pPr>
            <w:r>
              <w:rPr>
                <w:rFonts w:hint="eastAsia" w:ascii="Times New Roman" w:cs="AdobeSongStd-Light-Acro"/>
                <w:color w:val="auto"/>
                <w:kern w:val="0"/>
                <w:sz w:val="21"/>
                <w:szCs w:val="21"/>
                <w:lang w:val="en-US" w:eastAsia="zh-CN"/>
              </w:rPr>
              <w:t>预除油</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1</w:t>
            </w:r>
            <w:r>
              <w:rPr>
                <w:rFonts w:hint="eastAsia" w:ascii="Times New Roman" w:cs="AdobeSongStd-Light-Acro"/>
                <w:color w:val="auto"/>
                <w:kern w:val="0"/>
                <w:sz w:val="21"/>
                <w:szCs w:val="21"/>
                <w:lang w:eastAsia="zh-CN"/>
              </w:rPr>
              <w:t>、</w:t>
            </w:r>
            <w:r>
              <w:rPr>
                <w:rFonts w:hint="eastAsia" w:ascii="Times New Roman" w:cs="AdobeSongStd-Light-Acro"/>
                <w:color w:val="auto"/>
                <w:kern w:val="0"/>
                <w:sz w:val="21"/>
                <w:szCs w:val="21"/>
                <w:lang w:val="en-US" w:eastAsia="zh-CN"/>
              </w:rPr>
              <w:t>主除油池1、预除油</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a及除油</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a产生除油废液，</w:t>
            </w:r>
            <w:r>
              <w:rPr>
                <w:rFonts w:hint="eastAsia"/>
                <w:color w:val="auto"/>
                <w:kern w:val="0"/>
                <w:szCs w:val="21"/>
              </w:rPr>
              <w:t>根据表1</w:t>
            </w:r>
            <w:r>
              <w:rPr>
                <w:color w:val="auto"/>
                <w:kern w:val="0"/>
                <w:szCs w:val="21"/>
              </w:rPr>
              <w:t>3统计</w:t>
            </w:r>
            <w:r>
              <w:rPr>
                <w:rFonts w:hint="eastAsia"/>
                <w:color w:val="auto"/>
                <w:kern w:val="0"/>
                <w:szCs w:val="21"/>
              </w:rPr>
              <w:t>，除油废液产生量为</w:t>
            </w:r>
            <w:r>
              <w:rPr>
                <w:color w:val="auto"/>
                <w:kern w:val="0"/>
                <w:szCs w:val="21"/>
              </w:rPr>
              <w:t>1</w:t>
            </w:r>
            <w:r>
              <w:rPr>
                <w:rFonts w:hint="eastAsia"/>
                <w:color w:val="auto"/>
                <w:kern w:val="0"/>
                <w:szCs w:val="21"/>
                <w:lang w:val="en-US" w:eastAsia="zh-CN"/>
              </w:rPr>
              <w:t>1</w:t>
            </w:r>
            <w:r>
              <w:rPr>
                <w:color w:val="auto"/>
                <w:kern w:val="0"/>
                <w:szCs w:val="21"/>
              </w:rPr>
              <w:t>.</w:t>
            </w:r>
            <w:r>
              <w:rPr>
                <w:rFonts w:hint="eastAsia"/>
                <w:color w:val="auto"/>
                <w:kern w:val="0"/>
                <w:szCs w:val="21"/>
                <w:lang w:val="en-US" w:eastAsia="zh-CN"/>
              </w:rPr>
              <w:t>2</w:t>
            </w:r>
            <w:r>
              <w:rPr>
                <w:color w:val="auto"/>
                <w:kern w:val="0"/>
                <w:szCs w:val="21"/>
              </w:rPr>
              <w:t>t/a</w:t>
            </w:r>
            <w:r>
              <w:rPr>
                <w:rFonts w:hint="eastAsia"/>
                <w:color w:val="auto"/>
                <w:kern w:val="0"/>
                <w:szCs w:val="21"/>
              </w:rPr>
              <w:t>。</w:t>
            </w:r>
          </w:p>
          <w:p w14:paraId="32DBCB2F">
            <w:pPr>
              <w:tabs>
                <w:tab w:val="center" w:pos="4446"/>
              </w:tabs>
              <w:adjustRightInd w:val="0"/>
              <w:spacing w:line="360" w:lineRule="auto"/>
              <w:ind w:firstLine="420" w:firstLineChars="200"/>
              <w:textAlignment w:val="baseline"/>
              <w:rPr>
                <w:rFonts w:hint="eastAsia" w:eastAsia="宋体"/>
                <w:color w:val="auto"/>
                <w:kern w:val="0"/>
                <w:szCs w:val="21"/>
                <w:lang w:val="en-US" w:eastAsia="zh-CN"/>
              </w:rPr>
            </w:pPr>
            <w:r>
              <w:rPr>
                <w:rFonts w:hint="eastAsia"/>
                <w:color w:val="auto"/>
                <w:kern w:val="0"/>
                <w:szCs w:val="21"/>
              </w:rPr>
              <w:t>④</w:t>
            </w:r>
            <w:r>
              <w:rPr>
                <w:rFonts w:hint="eastAsia"/>
                <w:color w:val="auto"/>
                <w:kern w:val="0"/>
                <w:szCs w:val="21"/>
              </w:rPr>
              <w:t>陶化废液</w:t>
            </w:r>
            <w:r>
              <w:rPr>
                <w:rFonts w:hint="eastAsia"/>
                <w:color w:val="auto"/>
                <w:kern w:val="0"/>
                <w:szCs w:val="21"/>
                <w:lang w:val="en-US" w:eastAsia="zh-CN"/>
              </w:rPr>
              <w:t xml:space="preserve"> 2</w:t>
            </w:r>
            <w:r>
              <w:rPr>
                <w:color w:val="auto"/>
                <w:kern w:val="0"/>
                <w:szCs w:val="21"/>
              </w:rPr>
              <w:t>.</w:t>
            </w:r>
            <w:r>
              <w:rPr>
                <w:rFonts w:hint="eastAsia"/>
                <w:color w:val="auto"/>
                <w:kern w:val="0"/>
                <w:szCs w:val="21"/>
                <w:lang w:val="en-US" w:eastAsia="zh-CN"/>
              </w:rPr>
              <w:t>8</w:t>
            </w:r>
            <w:r>
              <w:rPr>
                <w:color w:val="auto"/>
                <w:kern w:val="0"/>
                <w:szCs w:val="21"/>
              </w:rPr>
              <w:t>t/a</w:t>
            </w:r>
          </w:p>
          <w:p w14:paraId="35EB8205">
            <w:pPr>
              <w:tabs>
                <w:tab w:val="center" w:pos="4446"/>
              </w:tabs>
              <w:adjustRightInd w:val="0"/>
              <w:spacing w:line="360" w:lineRule="auto"/>
              <w:ind w:firstLine="420" w:firstLineChars="200"/>
              <w:textAlignment w:val="baseline"/>
              <w:rPr>
                <w:color w:val="auto"/>
                <w:kern w:val="0"/>
                <w:szCs w:val="21"/>
              </w:rPr>
            </w:pPr>
            <w:r>
              <w:rPr>
                <w:rFonts w:hint="eastAsia" w:ascii="Times New Roman" w:cs="AdobeSongStd-Light-Acro"/>
                <w:color w:val="auto"/>
                <w:kern w:val="0"/>
                <w:sz w:val="21"/>
                <w:szCs w:val="21"/>
                <w:lang w:val="en-US" w:eastAsia="zh-CN"/>
              </w:rPr>
              <w:t>陶化</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1、陶化</w:t>
            </w:r>
            <w:r>
              <w:rPr>
                <w:rFonts w:hint="eastAsia" w:ascii="Times New Roman" w:hAnsi="Times New Roman" w:cs="AdobeSongStd-Light-Acro"/>
                <w:color w:val="auto"/>
                <w:kern w:val="0"/>
                <w:sz w:val="21"/>
                <w:szCs w:val="21"/>
              </w:rPr>
              <w:t>池</w:t>
            </w:r>
            <w:r>
              <w:rPr>
                <w:rFonts w:hint="eastAsia" w:ascii="Times New Roman" w:cs="AdobeSongStd-Light-Acro"/>
                <w:color w:val="auto"/>
                <w:kern w:val="0"/>
                <w:sz w:val="21"/>
                <w:szCs w:val="21"/>
                <w:lang w:val="en-US" w:eastAsia="zh-CN"/>
              </w:rPr>
              <w:t>a产生陶化废液，</w:t>
            </w:r>
            <w:r>
              <w:rPr>
                <w:rFonts w:hint="eastAsia"/>
                <w:color w:val="auto"/>
                <w:kern w:val="0"/>
                <w:szCs w:val="21"/>
              </w:rPr>
              <w:t>根据表1</w:t>
            </w:r>
            <w:r>
              <w:rPr>
                <w:color w:val="auto"/>
                <w:kern w:val="0"/>
                <w:szCs w:val="21"/>
              </w:rPr>
              <w:t>3统计</w:t>
            </w:r>
            <w:r>
              <w:rPr>
                <w:rFonts w:hint="eastAsia"/>
                <w:color w:val="auto"/>
                <w:kern w:val="0"/>
                <w:szCs w:val="21"/>
              </w:rPr>
              <w:t>，陶化废液产生量为</w:t>
            </w:r>
            <w:r>
              <w:rPr>
                <w:rFonts w:hint="eastAsia"/>
                <w:color w:val="auto"/>
                <w:kern w:val="0"/>
                <w:szCs w:val="21"/>
                <w:lang w:val="en-US" w:eastAsia="zh-CN"/>
              </w:rPr>
              <w:t>2</w:t>
            </w:r>
            <w:r>
              <w:rPr>
                <w:color w:val="auto"/>
                <w:kern w:val="0"/>
                <w:szCs w:val="21"/>
              </w:rPr>
              <w:t>.</w:t>
            </w:r>
            <w:r>
              <w:rPr>
                <w:rFonts w:hint="eastAsia"/>
                <w:color w:val="auto"/>
                <w:kern w:val="0"/>
                <w:szCs w:val="21"/>
                <w:lang w:val="en-US" w:eastAsia="zh-CN"/>
              </w:rPr>
              <w:t>8</w:t>
            </w:r>
            <w:r>
              <w:rPr>
                <w:color w:val="auto"/>
                <w:kern w:val="0"/>
                <w:szCs w:val="21"/>
              </w:rPr>
              <w:t>t/a</w:t>
            </w:r>
            <w:r>
              <w:rPr>
                <w:rFonts w:hint="eastAsia"/>
                <w:color w:val="auto"/>
                <w:kern w:val="0"/>
                <w:szCs w:val="21"/>
              </w:rPr>
              <w:t>。</w:t>
            </w:r>
          </w:p>
          <w:p w14:paraId="42A398CE">
            <w:pPr>
              <w:pStyle w:val="9"/>
              <w:spacing w:line="360" w:lineRule="auto"/>
              <w:ind w:left="630" w:leftChars="0" w:firstLineChars="0"/>
              <w:rPr>
                <w:color w:val="auto"/>
                <w:szCs w:val="21"/>
              </w:rPr>
            </w:pPr>
            <w:r>
              <w:rPr>
                <w:rFonts w:hint="eastAsia"/>
                <w:color w:val="auto"/>
                <w:szCs w:val="21"/>
              </w:rPr>
              <w:t>项目危险废物汇总表</w:t>
            </w:r>
          </w:p>
          <w:tbl>
            <w:tblPr>
              <w:tblStyle w:val="35"/>
              <w:tblW w:w="8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1"/>
              <w:gridCol w:w="708"/>
              <w:gridCol w:w="851"/>
              <w:gridCol w:w="671"/>
              <w:gridCol w:w="746"/>
              <w:gridCol w:w="889"/>
              <w:gridCol w:w="691"/>
              <w:gridCol w:w="689"/>
              <w:gridCol w:w="551"/>
              <w:gridCol w:w="637"/>
              <w:gridCol w:w="875"/>
            </w:tblGrid>
            <w:tr w14:paraId="7BC16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31" w:type="dxa"/>
                  <w:vAlign w:val="center"/>
                </w:tcPr>
                <w:p w14:paraId="2AFE6AC2">
                  <w:pPr>
                    <w:widowControl/>
                    <w:adjustRightInd w:val="0"/>
                    <w:snapToGrid w:val="0"/>
                    <w:spacing w:line="240" w:lineRule="auto"/>
                    <w:jc w:val="center"/>
                    <w:rPr>
                      <w:color w:val="auto"/>
                      <w:szCs w:val="21"/>
                    </w:rPr>
                  </w:pPr>
                  <w:r>
                    <w:rPr>
                      <w:rFonts w:hint="eastAsia"/>
                      <w:color w:val="auto"/>
                      <w:szCs w:val="21"/>
                    </w:rPr>
                    <w:t>危险废物名称</w:t>
                  </w:r>
                </w:p>
              </w:tc>
              <w:tc>
                <w:tcPr>
                  <w:tcW w:w="708" w:type="dxa"/>
                  <w:vAlign w:val="center"/>
                </w:tcPr>
                <w:p w14:paraId="38F8B2B7">
                  <w:pPr>
                    <w:widowControl/>
                    <w:adjustRightInd w:val="0"/>
                    <w:snapToGrid w:val="0"/>
                    <w:spacing w:line="240" w:lineRule="auto"/>
                    <w:jc w:val="center"/>
                    <w:rPr>
                      <w:color w:val="auto"/>
                      <w:szCs w:val="21"/>
                    </w:rPr>
                  </w:pPr>
                  <w:r>
                    <w:rPr>
                      <w:rFonts w:hint="eastAsia"/>
                      <w:color w:val="auto"/>
                      <w:szCs w:val="21"/>
                    </w:rPr>
                    <w:t>危险废物类别</w:t>
                  </w:r>
                </w:p>
              </w:tc>
              <w:tc>
                <w:tcPr>
                  <w:tcW w:w="851" w:type="dxa"/>
                  <w:vAlign w:val="center"/>
                </w:tcPr>
                <w:p w14:paraId="2826463C">
                  <w:pPr>
                    <w:widowControl/>
                    <w:adjustRightInd w:val="0"/>
                    <w:snapToGrid w:val="0"/>
                    <w:spacing w:line="240" w:lineRule="auto"/>
                    <w:jc w:val="center"/>
                    <w:rPr>
                      <w:color w:val="auto"/>
                      <w:szCs w:val="21"/>
                    </w:rPr>
                  </w:pPr>
                  <w:r>
                    <w:rPr>
                      <w:rFonts w:hint="eastAsia"/>
                      <w:color w:val="auto"/>
                      <w:szCs w:val="21"/>
                    </w:rPr>
                    <w:t>危险废物代码</w:t>
                  </w:r>
                </w:p>
              </w:tc>
              <w:tc>
                <w:tcPr>
                  <w:tcW w:w="671" w:type="dxa"/>
                  <w:vAlign w:val="center"/>
                </w:tcPr>
                <w:p w14:paraId="7D9D81C0">
                  <w:pPr>
                    <w:widowControl/>
                    <w:adjustRightInd w:val="0"/>
                    <w:snapToGrid w:val="0"/>
                    <w:spacing w:line="240" w:lineRule="auto"/>
                    <w:jc w:val="center"/>
                    <w:rPr>
                      <w:color w:val="auto"/>
                      <w:szCs w:val="21"/>
                    </w:rPr>
                  </w:pPr>
                  <w:r>
                    <w:rPr>
                      <w:rFonts w:hint="eastAsia"/>
                      <w:color w:val="auto"/>
                      <w:szCs w:val="21"/>
                    </w:rPr>
                    <w:t>产生量（t/a）</w:t>
                  </w:r>
                </w:p>
              </w:tc>
              <w:tc>
                <w:tcPr>
                  <w:tcW w:w="746" w:type="dxa"/>
                  <w:vAlign w:val="center"/>
                </w:tcPr>
                <w:p w14:paraId="266BCCF4">
                  <w:pPr>
                    <w:widowControl/>
                    <w:adjustRightInd w:val="0"/>
                    <w:snapToGrid w:val="0"/>
                    <w:spacing w:line="240" w:lineRule="auto"/>
                    <w:jc w:val="center"/>
                    <w:rPr>
                      <w:color w:val="auto"/>
                      <w:szCs w:val="21"/>
                    </w:rPr>
                  </w:pPr>
                  <w:r>
                    <w:rPr>
                      <w:rFonts w:hint="eastAsia"/>
                      <w:color w:val="auto"/>
                      <w:szCs w:val="21"/>
                    </w:rPr>
                    <w:t>产生工序及装置</w:t>
                  </w:r>
                </w:p>
              </w:tc>
              <w:tc>
                <w:tcPr>
                  <w:tcW w:w="889" w:type="dxa"/>
                  <w:vAlign w:val="center"/>
                </w:tcPr>
                <w:p w14:paraId="17EB99F7">
                  <w:pPr>
                    <w:widowControl/>
                    <w:adjustRightInd w:val="0"/>
                    <w:snapToGrid w:val="0"/>
                    <w:spacing w:line="240" w:lineRule="auto"/>
                    <w:jc w:val="center"/>
                    <w:rPr>
                      <w:color w:val="auto"/>
                      <w:szCs w:val="21"/>
                    </w:rPr>
                  </w:pPr>
                  <w:r>
                    <w:rPr>
                      <w:rFonts w:hint="eastAsia"/>
                      <w:color w:val="auto"/>
                      <w:szCs w:val="21"/>
                    </w:rPr>
                    <w:t>形态</w:t>
                  </w:r>
                </w:p>
              </w:tc>
              <w:tc>
                <w:tcPr>
                  <w:tcW w:w="691" w:type="dxa"/>
                  <w:vAlign w:val="center"/>
                </w:tcPr>
                <w:p w14:paraId="375A652D">
                  <w:pPr>
                    <w:widowControl/>
                    <w:adjustRightInd w:val="0"/>
                    <w:snapToGrid w:val="0"/>
                    <w:spacing w:line="240" w:lineRule="auto"/>
                    <w:jc w:val="center"/>
                    <w:rPr>
                      <w:color w:val="auto"/>
                      <w:szCs w:val="21"/>
                    </w:rPr>
                  </w:pPr>
                  <w:r>
                    <w:rPr>
                      <w:rFonts w:hint="eastAsia"/>
                      <w:color w:val="auto"/>
                      <w:szCs w:val="21"/>
                    </w:rPr>
                    <w:t>主要成分</w:t>
                  </w:r>
                </w:p>
              </w:tc>
              <w:tc>
                <w:tcPr>
                  <w:tcW w:w="689" w:type="dxa"/>
                  <w:vAlign w:val="center"/>
                </w:tcPr>
                <w:p w14:paraId="480C2F05">
                  <w:pPr>
                    <w:widowControl/>
                    <w:adjustRightInd w:val="0"/>
                    <w:snapToGrid w:val="0"/>
                    <w:spacing w:line="240" w:lineRule="auto"/>
                    <w:jc w:val="center"/>
                    <w:rPr>
                      <w:color w:val="auto"/>
                      <w:szCs w:val="21"/>
                    </w:rPr>
                  </w:pPr>
                  <w:r>
                    <w:rPr>
                      <w:rFonts w:hint="eastAsia"/>
                      <w:color w:val="auto"/>
                      <w:szCs w:val="21"/>
                    </w:rPr>
                    <w:t>有害成分</w:t>
                  </w:r>
                </w:p>
              </w:tc>
              <w:tc>
                <w:tcPr>
                  <w:tcW w:w="551" w:type="dxa"/>
                  <w:vAlign w:val="center"/>
                </w:tcPr>
                <w:p w14:paraId="7344766C">
                  <w:pPr>
                    <w:widowControl/>
                    <w:adjustRightInd w:val="0"/>
                    <w:snapToGrid w:val="0"/>
                    <w:spacing w:line="240" w:lineRule="auto"/>
                    <w:jc w:val="center"/>
                    <w:rPr>
                      <w:color w:val="auto"/>
                      <w:szCs w:val="21"/>
                    </w:rPr>
                  </w:pPr>
                  <w:r>
                    <w:rPr>
                      <w:rFonts w:hint="eastAsia"/>
                      <w:color w:val="auto"/>
                      <w:szCs w:val="21"/>
                    </w:rPr>
                    <w:t>产废周期</w:t>
                  </w:r>
                </w:p>
              </w:tc>
              <w:tc>
                <w:tcPr>
                  <w:tcW w:w="637" w:type="dxa"/>
                  <w:vAlign w:val="center"/>
                </w:tcPr>
                <w:p w14:paraId="3BD2B817">
                  <w:pPr>
                    <w:widowControl/>
                    <w:adjustRightInd w:val="0"/>
                    <w:snapToGrid w:val="0"/>
                    <w:spacing w:line="240" w:lineRule="auto"/>
                    <w:jc w:val="center"/>
                    <w:rPr>
                      <w:color w:val="auto"/>
                      <w:szCs w:val="21"/>
                    </w:rPr>
                  </w:pPr>
                  <w:r>
                    <w:rPr>
                      <w:rFonts w:hint="eastAsia"/>
                      <w:color w:val="auto"/>
                      <w:szCs w:val="21"/>
                    </w:rPr>
                    <w:t>危险</w:t>
                  </w:r>
                </w:p>
                <w:p w14:paraId="6AB06B16">
                  <w:pPr>
                    <w:widowControl/>
                    <w:adjustRightInd w:val="0"/>
                    <w:snapToGrid w:val="0"/>
                    <w:spacing w:line="240" w:lineRule="auto"/>
                    <w:jc w:val="center"/>
                    <w:rPr>
                      <w:color w:val="auto"/>
                      <w:szCs w:val="21"/>
                    </w:rPr>
                  </w:pPr>
                  <w:r>
                    <w:rPr>
                      <w:rFonts w:hint="eastAsia"/>
                      <w:color w:val="auto"/>
                      <w:szCs w:val="21"/>
                    </w:rPr>
                    <w:t>特性</w:t>
                  </w:r>
                </w:p>
              </w:tc>
              <w:tc>
                <w:tcPr>
                  <w:tcW w:w="875" w:type="dxa"/>
                  <w:vAlign w:val="center"/>
                </w:tcPr>
                <w:p w14:paraId="3DB7BCFF">
                  <w:pPr>
                    <w:widowControl/>
                    <w:adjustRightInd w:val="0"/>
                    <w:snapToGrid w:val="0"/>
                    <w:spacing w:line="240" w:lineRule="auto"/>
                    <w:jc w:val="center"/>
                    <w:rPr>
                      <w:color w:val="auto"/>
                      <w:szCs w:val="21"/>
                    </w:rPr>
                  </w:pPr>
                  <w:r>
                    <w:rPr>
                      <w:rFonts w:hint="eastAsia"/>
                      <w:color w:val="auto"/>
                      <w:szCs w:val="21"/>
                    </w:rPr>
                    <w:t>污染防治措施</w:t>
                  </w:r>
                </w:p>
              </w:tc>
            </w:tr>
            <w:tr w14:paraId="25EBE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231" w:type="dxa"/>
                  <w:vAlign w:val="center"/>
                </w:tcPr>
                <w:p w14:paraId="044520EA">
                  <w:pPr>
                    <w:widowControl/>
                    <w:adjustRightInd w:val="0"/>
                    <w:snapToGrid w:val="0"/>
                    <w:spacing w:line="240" w:lineRule="auto"/>
                    <w:jc w:val="center"/>
                    <w:rPr>
                      <w:color w:val="auto"/>
                      <w:szCs w:val="21"/>
                    </w:rPr>
                  </w:pPr>
                  <w:r>
                    <w:rPr>
                      <w:rFonts w:hint="eastAsia"/>
                      <w:strike w:val="0"/>
                      <w:dstrike w:val="0"/>
                      <w:color w:val="auto"/>
                      <w:szCs w:val="21"/>
                      <w:lang w:val="en-US" w:eastAsia="zh-CN"/>
                    </w:rPr>
                    <w:t>废</w:t>
                  </w:r>
                  <w:r>
                    <w:rPr>
                      <w:rFonts w:hint="eastAsia"/>
                      <w:strike w:val="0"/>
                      <w:dstrike w:val="0"/>
                      <w:color w:val="auto"/>
                      <w:szCs w:val="21"/>
                    </w:rPr>
                    <w:t>活性炭</w:t>
                  </w:r>
                </w:p>
              </w:tc>
              <w:tc>
                <w:tcPr>
                  <w:tcW w:w="708" w:type="dxa"/>
                  <w:vAlign w:val="center"/>
                </w:tcPr>
                <w:p w14:paraId="7F3B8ECB">
                  <w:pPr>
                    <w:widowControl/>
                    <w:adjustRightInd w:val="0"/>
                    <w:snapToGrid w:val="0"/>
                    <w:spacing w:line="240" w:lineRule="auto"/>
                    <w:jc w:val="center"/>
                    <w:rPr>
                      <w:rFonts w:hint="default" w:eastAsia="宋体"/>
                      <w:color w:val="auto"/>
                      <w:szCs w:val="21"/>
                      <w:lang w:val="en-US" w:eastAsia="zh-CN"/>
                    </w:rPr>
                  </w:pPr>
                  <w:r>
                    <w:rPr>
                      <w:color w:val="auto"/>
                      <w:szCs w:val="21"/>
                    </w:rPr>
                    <w:t>HW49</w:t>
                  </w:r>
                  <w:r>
                    <w:rPr>
                      <w:rFonts w:hint="eastAsia"/>
                      <w:color w:val="auto"/>
                      <w:szCs w:val="21"/>
                      <w:lang w:val="en-US" w:eastAsia="zh-CN"/>
                    </w:rPr>
                    <w:t xml:space="preserve"> 其他废物</w:t>
                  </w:r>
                </w:p>
              </w:tc>
              <w:tc>
                <w:tcPr>
                  <w:tcW w:w="851" w:type="dxa"/>
                  <w:vAlign w:val="center"/>
                </w:tcPr>
                <w:p w14:paraId="3DE3A4F4">
                  <w:pPr>
                    <w:widowControl/>
                    <w:adjustRightInd w:val="0"/>
                    <w:snapToGrid w:val="0"/>
                    <w:spacing w:line="240" w:lineRule="auto"/>
                    <w:jc w:val="center"/>
                    <w:rPr>
                      <w:color w:val="auto"/>
                      <w:szCs w:val="21"/>
                    </w:rPr>
                  </w:pPr>
                  <w:r>
                    <w:rPr>
                      <w:color w:val="auto"/>
                      <w:szCs w:val="21"/>
                    </w:rPr>
                    <w:t>900-039-49</w:t>
                  </w:r>
                </w:p>
              </w:tc>
              <w:tc>
                <w:tcPr>
                  <w:tcW w:w="671" w:type="dxa"/>
                  <w:vAlign w:val="center"/>
                </w:tcPr>
                <w:p w14:paraId="689D20CF">
                  <w:pPr>
                    <w:widowControl/>
                    <w:adjustRightInd w:val="0"/>
                    <w:snapToGrid w:val="0"/>
                    <w:spacing w:line="240" w:lineRule="auto"/>
                    <w:jc w:val="center"/>
                    <w:rPr>
                      <w:rFonts w:hint="default" w:eastAsia="宋体"/>
                      <w:color w:val="auto"/>
                      <w:szCs w:val="21"/>
                      <w:lang w:val="en-US" w:eastAsia="zh-CN"/>
                    </w:rPr>
                  </w:pPr>
                  <w:r>
                    <w:rPr>
                      <w:rFonts w:hint="eastAsia"/>
                      <w:color w:val="auto"/>
                      <w:kern w:val="0"/>
                      <w:szCs w:val="21"/>
                      <w:lang w:val="en-US" w:eastAsia="zh-CN"/>
                    </w:rPr>
                    <w:t>1.8255</w:t>
                  </w:r>
                </w:p>
              </w:tc>
              <w:tc>
                <w:tcPr>
                  <w:tcW w:w="746" w:type="dxa"/>
                  <w:vMerge w:val="restart"/>
                  <w:vAlign w:val="center"/>
                </w:tcPr>
                <w:p w14:paraId="33AC2500">
                  <w:pPr>
                    <w:widowControl/>
                    <w:adjustRightInd w:val="0"/>
                    <w:snapToGrid w:val="0"/>
                    <w:spacing w:line="240" w:lineRule="auto"/>
                    <w:jc w:val="center"/>
                    <w:rPr>
                      <w:color w:val="auto"/>
                      <w:szCs w:val="21"/>
                    </w:rPr>
                  </w:pPr>
                  <w:r>
                    <w:rPr>
                      <w:color w:val="auto"/>
                      <w:szCs w:val="21"/>
                    </w:rPr>
                    <w:t>项目生产</w:t>
                  </w:r>
                </w:p>
              </w:tc>
              <w:tc>
                <w:tcPr>
                  <w:tcW w:w="889" w:type="dxa"/>
                  <w:vAlign w:val="center"/>
                </w:tcPr>
                <w:p w14:paraId="253B4D65">
                  <w:pPr>
                    <w:widowControl/>
                    <w:adjustRightInd w:val="0"/>
                    <w:snapToGrid w:val="0"/>
                    <w:spacing w:line="240" w:lineRule="auto"/>
                    <w:jc w:val="center"/>
                    <w:rPr>
                      <w:color w:val="auto"/>
                      <w:szCs w:val="21"/>
                    </w:rPr>
                  </w:pPr>
                  <w:r>
                    <w:rPr>
                      <w:color w:val="auto"/>
                      <w:szCs w:val="21"/>
                    </w:rPr>
                    <w:t>固态</w:t>
                  </w:r>
                </w:p>
              </w:tc>
              <w:tc>
                <w:tcPr>
                  <w:tcW w:w="691" w:type="dxa"/>
                  <w:vAlign w:val="center"/>
                </w:tcPr>
                <w:p w14:paraId="7DF170F3">
                  <w:pPr>
                    <w:widowControl/>
                    <w:adjustRightInd w:val="0"/>
                    <w:snapToGrid w:val="0"/>
                    <w:spacing w:line="240" w:lineRule="auto"/>
                    <w:jc w:val="center"/>
                    <w:rPr>
                      <w:color w:val="auto"/>
                      <w:szCs w:val="21"/>
                    </w:rPr>
                  </w:pPr>
                  <w:r>
                    <w:rPr>
                      <w:color w:val="auto"/>
                      <w:szCs w:val="21"/>
                    </w:rPr>
                    <w:t>有机物</w:t>
                  </w:r>
                </w:p>
              </w:tc>
              <w:tc>
                <w:tcPr>
                  <w:tcW w:w="689" w:type="dxa"/>
                  <w:vAlign w:val="center"/>
                </w:tcPr>
                <w:p w14:paraId="134C8928">
                  <w:pPr>
                    <w:widowControl/>
                    <w:adjustRightInd w:val="0"/>
                    <w:snapToGrid w:val="0"/>
                    <w:spacing w:line="240" w:lineRule="auto"/>
                    <w:jc w:val="center"/>
                    <w:rPr>
                      <w:color w:val="auto"/>
                      <w:szCs w:val="21"/>
                    </w:rPr>
                  </w:pPr>
                  <w:r>
                    <w:rPr>
                      <w:color w:val="auto"/>
                      <w:szCs w:val="21"/>
                    </w:rPr>
                    <w:t>有机物</w:t>
                  </w:r>
                </w:p>
              </w:tc>
              <w:tc>
                <w:tcPr>
                  <w:tcW w:w="551" w:type="dxa"/>
                  <w:vMerge w:val="restart"/>
                  <w:vAlign w:val="center"/>
                </w:tcPr>
                <w:p w14:paraId="0C57529F">
                  <w:pPr>
                    <w:adjustRightInd w:val="0"/>
                    <w:snapToGrid w:val="0"/>
                    <w:spacing w:line="240" w:lineRule="auto"/>
                    <w:jc w:val="center"/>
                    <w:rPr>
                      <w:rFonts w:hint="eastAsia" w:eastAsia="宋体"/>
                      <w:color w:val="auto"/>
                      <w:szCs w:val="21"/>
                      <w:lang w:eastAsia="zh-CN"/>
                    </w:rPr>
                  </w:pPr>
                  <w:r>
                    <w:rPr>
                      <w:rFonts w:hint="eastAsia"/>
                      <w:color w:val="auto"/>
                      <w:szCs w:val="21"/>
                      <w:lang w:val="en-US" w:eastAsia="zh-CN"/>
                    </w:rPr>
                    <w:t>不定期</w:t>
                  </w:r>
                </w:p>
              </w:tc>
              <w:tc>
                <w:tcPr>
                  <w:tcW w:w="637" w:type="dxa"/>
                  <w:vAlign w:val="center"/>
                </w:tcPr>
                <w:p w14:paraId="0F6BE54F">
                  <w:pPr>
                    <w:widowControl/>
                    <w:adjustRightInd w:val="0"/>
                    <w:snapToGrid w:val="0"/>
                    <w:spacing w:line="240" w:lineRule="auto"/>
                    <w:jc w:val="center"/>
                    <w:rPr>
                      <w:color w:val="auto"/>
                      <w:szCs w:val="21"/>
                    </w:rPr>
                  </w:pPr>
                  <w:r>
                    <w:rPr>
                      <w:rFonts w:hint="eastAsia"/>
                      <w:color w:val="auto"/>
                      <w:szCs w:val="21"/>
                    </w:rPr>
                    <w:t>T</w:t>
                  </w:r>
                </w:p>
              </w:tc>
              <w:tc>
                <w:tcPr>
                  <w:tcW w:w="875" w:type="dxa"/>
                  <w:vMerge w:val="restart"/>
                  <w:vAlign w:val="center"/>
                </w:tcPr>
                <w:p w14:paraId="34FB4BD1">
                  <w:pPr>
                    <w:widowControl/>
                    <w:adjustRightInd w:val="0"/>
                    <w:snapToGrid w:val="0"/>
                    <w:spacing w:line="240" w:lineRule="auto"/>
                    <w:jc w:val="center"/>
                    <w:rPr>
                      <w:color w:val="auto"/>
                      <w:szCs w:val="21"/>
                    </w:rPr>
                  </w:pPr>
                  <w:r>
                    <w:rPr>
                      <w:rFonts w:hint="eastAsia"/>
                      <w:color w:val="auto"/>
                      <w:kern w:val="0"/>
                      <w:szCs w:val="21"/>
                      <w:highlight w:val="none"/>
                      <w:lang w:val="en-US" w:eastAsia="zh-CN"/>
                    </w:rPr>
                    <w:t>交由具有相关危险废物经营许可证的单位处理</w:t>
                  </w:r>
                </w:p>
              </w:tc>
            </w:tr>
            <w:tr w14:paraId="78C4F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1231" w:type="dxa"/>
                  <w:vAlign w:val="center"/>
                </w:tcPr>
                <w:p w14:paraId="110EC9C8">
                  <w:pPr>
                    <w:widowControl/>
                    <w:adjustRightInd w:val="0"/>
                    <w:snapToGrid w:val="0"/>
                    <w:spacing w:line="240" w:lineRule="auto"/>
                    <w:jc w:val="center"/>
                    <w:rPr>
                      <w:color w:val="auto"/>
                      <w:szCs w:val="21"/>
                    </w:rPr>
                  </w:pPr>
                  <w:r>
                    <w:rPr>
                      <w:color w:val="auto"/>
                      <w:szCs w:val="21"/>
                    </w:rPr>
                    <w:t>废</w:t>
                  </w:r>
                  <w:r>
                    <w:rPr>
                      <w:rFonts w:hint="eastAsia"/>
                      <w:color w:val="auto"/>
                      <w:szCs w:val="21"/>
                    </w:rPr>
                    <w:t>润滑油</w:t>
                  </w:r>
                </w:p>
              </w:tc>
              <w:tc>
                <w:tcPr>
                  <w:tcW w:w="708" w:type="dxa"/>
                  <w:vAlign w:val="center"/>
                </w:tcPr>
                <w:p w14:paraId="74D9B41F">
                  <w:pPr>
                    <w:widowControl/>
                    <w:adjustRightInd w:val="0"/>
                    <w:snapToGrid w:val="0"/>
                    <w:spacing w:line="240" w:lineRule="auto"/>
                    <w:jc w:val="center"/>
                    <w:rPr>
                      <w:color w:val="auto"/>
                      <w:szCs w:val="21"/>
                    </w:rPr>
                  </w:pPr>
                  <w:r>
                    <w:rPr>
                      <w:color w:val="auto"/>
                      <w:szCs w:val="21"/>
                    </w:rPr>
                    <w:t>HW08</w:t>
                  </w:r>
                  <w:r>
                    <w:rPr>
                      <w:rFonts w:hint="eastAsia"/>
                      <w:color w:val="auto"/>
                      <w:szCs w:val="21"/>
                      <w:lang w:val="en-US" w:eastAsia="zh-CN"/>
                    </w:rPr>
                    <w:t xml:space="preserve"> </w:t>
                  </w:r>
                  <w:r>
                    <w:rPr>
                      <w:rFonts w:hint="eastAsia"/>
                      <w:color w:val="auto"/>
                      <w:szCs w:val="21"/>
                    </w:rPr>
                    <w:t>废矿物油与含矿物油废物</w:t>
                  </w:r>
                </w:p>
              </w:tc>
              <w:tc>
                <w:tcPr>
                  <w:tcW w:w="851" w:type="dxa"/>
                  <w:vAlign w:val="center"/>
                </w:tcPr>
                <w:p w14:paraId="49803421">
                  <w:pPr>
                    <w:widowControl/>
                    <w:adjustRightInd w:val="0"/>
                    <w:snapToGrid w:val="0"/>
                    <w:spacing w:line="240" w:lineRule="auto"/>
                    <w:jc w:val="center"/>
                    <w:rPr>
                      <w:color w:val="auto"/>
                      <w:szCs w:val="21"/>
                    </w:rPr>
                  </w:pPr>
                  <w:r>
                    <w:rPr>
                      <w:rFonts w:hint="eastAsia"/>
                      <w:color w:val="auto"/>
                      <w:szCs w:val="21"/>
                    </w:rPr>
                    <w:t>900-2</w:t>
                  </w:r>
                  <w:r>
                    <w:rPr>
                      <w:color w:val="auto"/>
                      <w:szCs w:val="21"/>
                    </w:rPr>
                    <w:t>14</w:t>
                  </w:r>
                  <w:r>
                    <w:rPr>
                      <w:rFonts w:hint="eastAsia"/>
                      <w:color w:val="auto"/>
                      <w:szCs w:val="21"/>
                    </w:rPr>
                    <w:t>-08</w:t>
                  </w:r>
                </w:p>
              </w:tc>
              <w:tc>
                <w:tcPr>
                  <w:tcW w:w="671" w:type="dxa"/>
                  <w:vAlign w:val="center"/>
                </w:tcPr>
                <w:p w14:paraId="4FC0F55F">
                  <w:pPr>
                    <w:widowControl/>
                    <w:adjustRightInd w:val="0"/>
                    <w:snapToGrid w:val="0"/>
                    <w:spacing w:line="240" w:lineRule="auto"/>
                    <w:jc w:val="center"/>
                    <w:rPr>
                      <w:color w:val="auto"/>
                      <w:szCs w:val="21"/>
                    </w:rPr>
                  </w:pPr>
                  <w:r>
                    <w:rPr>
                      <w:rFonts w:hint="eastAsia"/>
                      <w:color w:val="auto"/>
                      <w:szCs w:val="21"/>
                    </w:rPr>
                    <w:t>0.01</w:t>
                  </w:r>
                </w:p>
              </w:tc>
              <w:tc>
                <w:tcPr>
                  <w:tcW w:w="746" w:type="dxa"/>
                  <w:vMerge w:val="continue"/>
                  <w:vAlign w:val="center"/>
                </w:tcPr>
                <w:p w14:paraId="5E478959">
                  <w:pPr>
                    <w:widowControl/>
                    <w:adjustRightInd w:val="0"/>
                    <w:snapToGrid w:val="0"/>
                    <w:spacing w:line="240" w:lineRule="auto"/>
                    <w:jc w:val="center"/>
                    <w:rPr>
                      <w:color w:val="auto"/>
                      <w:szCs w:val="21"/>
                    </w:rPr>
                  </w:pPr>
                </w:p>
              </w:tc>
              <w:tc>
                <w:tcPr>
                  <w:tcW w:w="889" w:type="dxa"/>
                  <w:vAlign w:val="center"/>
                </w:tcPr>
                <w:p w14:paraId="40743F71">
                  <w:pPr>
                    <w:widowControl/>
                    <w:adjustRightInd w:val="0"/>
                    <w:snapToGrid w:val="0"/>
                    <w:spacing w:line="240" w:lineRule="auto"/>
                    <w:jc w:val="center"/>
                    <w:rPr>
                      <w:color w:val="auto"/>
                      <w:szCs w:val="21"/>
                    </w:rPr>
                  </w:pPr>
                  <w:r>
                    <w:rPr>
                      <w:color w:val="auto"/>
                      <w:szCs w:val="21"/>
                    </w:rPr>
                    <w:t>液态</w:t>
                  </w:r>
                </w:p>
              </w:tc>
              <w:tc>
                <w:tcPr>
                  <w:tcW w:w="691" w:type="dxa"/>
                  <w:vAlign w:val="center"/>
                </w:tcPr>
                <w:p w14:paraId="140851E4">
                  <w:pPr>
                    <w:widowControl/>
                    <w:adjustRightInd w:val="0"/>
                    <w:snapToGrid w:val="0"/>
                    <w:spacing w:line="240" w:lineRule="auto"/>
                    <w:jc w:val="center"/>
                    <w:rPr>
                      <w:color w:val="auto"/>
                      <w:szCs w:val="21"/>
                    </w:rPr>
                  </w:pPr>
                  <w:r>
                    <w:rPr>
                      <w:color w:val="auto"/>
                      <w:szCs w:val="21"/>
                    </w:rPr>
                    <w:t>矿物油</w:t>
                  </w:r>
                </w:p>
              </w:tc>
              <w:tc>
                <w:tcPr>
                  <w:tcW w:w="689" w:type="dxa"/>
                  <w:vAlign w:val="center"/>
                </w:tcPr>
                <w:p w14:paraId="38556530">
                  <w:pPr>
                    <w:widowControl/>
                    <w:adjustRightInd w:val="0"/>
                    <w:snapToGrid w:val="0"/>
                    <w:spacing w:line="240" w:lineRule="auto"/>
                    <w:jc w:val="center"/>
                    <w:rPr>
                      <w:color w:val="auto"/>
                      <w:szCs w:val="21"/>
                    </w:rPr>
                  </w:pPr>
                  <w:r>
                    <w:rPr>
                      <w:color w:val="auto"/>
                      <w:szCs w:val="21"/>
                    </w:rPr>
                    <w:t>废矿物油</w:t>
                  </w:r>
                </w:p>
              </w:tc>
              <w:tc>
                <w:tcPr>
                  <w:tcW w:w="551" w:type="dxa"/>
                  <w:vMerge w:val="continue"/>
                  <w:vAlign w:val="center"/>
                </w:tcPr>
                <w:p w14:paraId="17ADDBC4">
                  <w:pPr>
                    <w:widowControl/>
                    <w:adjustRightInd w:val="0"/>
                    <w:snapToGrid w:val="0"/>
                    <w:spacing w:line="240" w:lineRule="auto"/>
                    <w:jc w:val="center"/>
                    <w:rPr>
                      <w:color w:val="auto"/>
                      <w:szCs w:val="21"/>
                    </w:rPr>
                  </w:pPr>
                </w:p>
              </w:tc>
              <w:tc>
                <w:tcPr>
                  <w:tcW w:w="637" w:type="dxa"/>
                  <w:vAlign w:val="center"/>
                </w:tcPr>
                <w:p w14:paraId="274DAF2C">
                  <w:pPr>
                    <w:widowControl/>
                    <w:adjustRightInd w:val="0"/>
                    <w:snapToGrid w:val="0"/>
                    <w:spacing w:line="240" w:lineRule="auto"/>
                    <w:jc w:val="center"/>
                    <w:rPr>
                      <w:color w:val="auto"/>
                      <w:szCs w:val="21"/>
                    </w:rPr>
                  </w:pPr>
                  <w:r>
                    <w:rPr>
                      <w:rFonts w:hint="eastAsia"/>
                      <w:color w:val="auto"/>
                      <w:szCs w:val="21"/>
                    </w:rPr>
                    <w:t>T，I</w:t>
                  </w:r>
                </w:p>
              </w:tc>
              <w:tc>
                <w:tcPr>
                  <w:tcW w:w="875" w:type="dxa"/>
                  <w:vMerge w:val="continue"/>
                  <w:vAlign w:val="center"/>
                </w:tcPr>
                <w:p w14:paraId="6883B123">
                  <w:pPr>
                    <w:widowControl/>
                    <w:adjustRightInd w:val="0"/>
                    <w:snapToGrid w:val="0"/>
                    <w:spacing w:line="240" w:lineRule="auto"/>
                    <w:jc w:val="center"/>
                    <w:rPr>
                      <w:color w:val="auto"/>
                      <w:szCs w:val="21"/>
                    </w:rPr>
                  </w:pPr>
                </w:p>
              </w:tc>
            </w:tr>
            <w:tr w14:paraId="517C8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1231" w:type="dxa"/>
                  <w:vAlign w:val="center"/>
                </w:tcPr>
                <w:p w14:paraId="449AA0EB">
                  <w:pPr>
                    <w:widowControl/>
                    <w:adjustRightInd w:val="0"/>
                    <w:snapToGrid w:val="0"/>
                    <w:spacing w:line="240" w:lineRule="auto"/>
                    <w:jc w:val="center"/>
                    <w:rPr>
                      <w:color w:val="auto"/>
                      <w:szCs w:val="21"/>
                    </w:rPr>
                  </w:pPr>
                  <w:r>
                    <w:rPr>
                      <w:color w:val="auto"/>
                      <w:szCs w:val="21"/>
                    </w:rPr>
                    <w:t>废</w:t>
                  </w:r>
                  <w:r>
                    <w:rPr>
                      <w:rFonts w:hint="eastAsia"/>
                      <w:color w:val="auto"/>
                      <w:szCs w:val="21"/>
                    </w:rPr>
                    <w:t>润滑油</w:t>
                  </w:r>
                  <w:r>
                    <w:rPr>
                      <w:color w:val="auto"/>
                      <w:szCs w:val="21"/>
                    </w:rPr>
                    <w:t>包装物</w:t>
                  </w:r>
                </w:p>
              </w:tc>
              <w:tc>
                <w:tcPr>
                  <w:tcW w:w="708" w:type="dxa"/>
                  <w:vAlign w:val="center"/>
                </w:tcPr>
                <w:p w14:paraId="268E80A3">
                  <w:pPr>
                    <w:widowControl/>
                    <w:adjustRightInd w:val="0"/>
                    <w:snapToGrid w:val="0"/>
                    <w:spacing w:line="240" w:lineRule="auto"/>
                    <w:jc w:val="center"/>
                    <w:rPr>
                      <w:color w:val="auto"/>
                      <w:szCs w:val="21"/>
                    </w:rPr>
                  </w:pPr>
                  <w:r>
                    <w:rPr>
                      <w:rFonts w:hint="eastAsia" w:ascii="Times New Roman" w:hAnsi="Times New Roman" w:eastAsia="宋体" w:cs="Times New Roman"/>
                      <w:color w:val="auto"/>
                      <w:spacing w:val="-2"/>
                      <w:kern w:val="2"/>
                      <w:sz w:val="21"/>
                      <w:szCs w:val="21"/>
                      <w:highlight w:val="none"/>
                      <w:lang w:val="en-US" w:eastAsia="zh-CN" w:bidi="ar-SA"/>
                    </w:rPr>
                    <w:t>HW</w:t>
                  </w:r>
                  <w:r>
                    <w:rPr>
                      <w:rFonts w:hint="eastAsia" w:eastAsia="宋体" w:cs="Times New Roman"/>
                      <w:color w:val="auto"/>
                      <w:spacing w:val="-2"/>
                      <w:kern w:val="2"/>
                      <w:sz w:val="21"/>
                      <w:szCs w:val="21"/>
                      <w:highlight w:val="none"/>
                      <w:lang w:val="en-US" w:eastAsia="zh-CN" w:bidi="ar-SA"/>
                    </w:rPr>
                    <w:t>0</w:t>
                  </w:r>
                  <w:r>
                    <w:rPr>
                      <w:rFonts w:hint="eastAsia" w:ascii="Times New Roman" w:hAnsi="Times New Roman" w:eastAsia="宋体" w:cs="Times New Roman"/>
                      <w:color w:val="auto"/>
                      <w:spacing w:val="-2"/>
                      <w:kern w:val="2"/>
                      <w:sz w:val="21"/>
                      <w:szCs w:val="21"/>
                      <w:highlight w:val="none"/>
                      <w:lang w:val="en-US" w:eastAsia="zh-CN" w:bidi="ar-SA"/>
                    </w:rPr>
                    <w:t>8</w:t>
                  </w:r>
                  <w:r>
                    <w:rPr>
                      <w:rFonts w:hint="eastAsia" w:ascii="Times New Roman" w:hAnsi="Times New Roman" w:eastAsia="宋体" w:cs="宋体"/>
                      <w:color w:val="auto"/>
                      <w:kern w:val="0"/>
                      <w:sz w:val="21"/>
                      <w:szCs w:val="21"/>
                      <w:highlight w:val="none"/>
                      <w:lang w:val="en-US" w:eastAsia="zh-CN" w:bidi="ar"/>
                    </w:rPr>
                    <w:t>废矿物油与含矿物油废物</w:t>
                  </w:r>
                </w:p>
              </w:tc>
              <w:tc>
                <w:tcPr>
                  <w:tcW w:w="851" w:type="dxa"/>
                  <w:vAlign w:val="center"/>
                </w:tcPr>
                <w:p w14:paraId="067B7937">
                  <w:pPr>
                    <w:widowControl/>
                    <w:adjustRightInd w:val="0"/>
                    <w:snapToGrid w:val="0"/>
                    <w:spacing w:line="240" w:lineRule="auto"/>
                    <w:jc w:val="center"/>
                    <w:rPr>
                      <w:rFonts w:hint="default"/>
                      <w:color w:val="auto"/>
                      <w:szCs w:val="21"/>
                      <w:lang w:val="en-US"/>
                    </w:rPr>
                  </w:pPr>
                  <w:r>
                    <w:rPr>
                      <w:rFonts w:hint="eastAsia"/>
                      <w:color w:val="auto"/>
                      <w:szCs w:val="21"/>
                    </w:rPr>
                    <w:t>9</w:t>
                  </w:r>
                  <w:r>
                    <w:rPr>
                      <w:color w:val="auto"/>
                      <w:szCs w:val="21"/>
                    </w:rPr>
                    <w:t>00-</w:t>
                  </w:r>
                  <w:r>
                    <w:rPr>
                      <w:rFonts w:hint="eastAsia"/>
                      <w:color w:val="auto"/>
                      <w:szCs w:val="21"/>
                      <w:lang w:val="en-US" w:eastAsia="zh-CN"/>
                    </w:rPr>
                    <w:t>2</w:t>
                  </w:r>
                  <w:r>
                    <w:rPr>
                      <w:color w:val="auto"/>
                      <w:szCs w:val="21"/>
                    </w:rPr>
                    <w:t>4</w:t>
                  </w:r>
                  <w:r>
                    <w:rPr>
                      <w:rFonts w:hint="eastAsia"/>
                      <w:color w:val="auto"/>
                      <w:szCs w:val="21"/>
                      <w:lang w:val="en-US" w:eastAsia="zh-CN"/>
                    </w:rPr>
                    <w:t>9</w:t>
                  </w:r>
                  <w:r>
                    <w:rPr>
                      <w:color w:val="auto"/>
                      <w:szCs w:val="21"/>
                    </w:rPr>
                    <w:t>-</w:t>
                  </w:r>
                  <w:r>
                    <w:rPr>
                      <w:rFonts w:hint="eastAsia"/>
                      <w:color w:val="auto"/>
                      <w:szCs w:val="21"/>
                      <w:lang w:val="en-US" w:eastAsia="zh-CN"/>
                    </w:rPr>
                    <w:t>08</w:t>
                  </w:r>
                </w:p>
              </w:tc>
              <w:tc>
                <w:tcPr>
                  <w:tcW w:w="671" w:type="dxa"/>
                  <w:vAlign w:val="center"/>
                </w:tcPr>
                <w:p w14:paraId="6180BF20">
                  <w:pPr>
                    <w:widowControl/>
                    <w:adjustRightInd w:val="0"/>
                    <w:snapToGrid w:val="0"/>
                    <w:spacing w:line="240" w:lineRule="auto"/>
                    <w:jc w:val="center"/>
                    <w:rPr>
                      <w:rFonts w:hint="default" w:eastAsia="宋体"/>
                      <w:color w:val="auto"/>
                      <w:szCs w:val="21"/>
                      <w:lang w:val="en-US" w:eastAsia="zh-CN"/>
                    </w:rPr>
                  </w:pPr>
                  <w:r>
                    <w:rPr>
                      <w:rFonts w:hint="eastAsia"/>
                      <w:color w:val="auto"/>
                      <w:szCs w:val="21"/>
                      <w:lang w:val="en-US" w:eastAsia="zh-CN"/>
                    </w:rPr>
                    <w:t>0.001</w:t>
                  </w:r>
                </w:p>
              </w:tc>
              <w:tc>
                <w:tcPr>
                  <w:tcW w:w="746" w:type="dxa"/>
                  <w:vMerge w:val="continue"/>
                  <w:vAlign w:val="center"/>
                </w:tcPr>
                <w:p w14:paraId="221F915B">
                  <w:pPr>
                    <w:widowControl/>
                    <w:adjustRightInd w:val="0"/>
                    <w:snapToGrid w:val="0"/>
                    <w:spacing w:line="240" w:lineRule="auto"/>
                    <w:jc w:val="center"/>
                    <w:rPr>
                      <w:color w:val="auto"/>
                      <w:szCs w:val="21"/>
                    </w:rPr>
                  </w:pPr>
                </w:p>
              </w:tc>
              <w:tc>
                <w:tcPr>
                  <w:tcW w:w="889" w:type="dxa"/>
                  <w:vAlign w:val="center"/>
                </w:tcPr>
                <w:p w14:paraId="5910AA3F">
                  <w:pPr>
                    <w:widowControl/>
                    <w:adjustRightInd w:val="0"/>
                    <w:snapToGrid w:val="0"/>
                    <w:spacing w:line="240" w:lineRule="auto"/>
                    <w:jc w:val="center"/>
                    <w:rPr>
                      <w:color w:val="auto"/>
                      <w:szCs w:val="21"/>
                    </w:rPr>
                  </w:pPr>
                  <w:r>
                    <w:rPr>
                      <w:rFonts w:hint="eastAsia"/>
                      <w:color w:val="auto"/>
                      <w:szCs w:val="21"/>
                      <w:lang w:val="en-US" w:eastAsia="zh-CN"/>
                    </w:rPr>
                    <w:t>固</w:t>
                  </w:r>
                  <w:r>
                    <w:rPr>
                      <w:color w:val="auto"/>
                      <w:szCs w:val="21"/>
                    </w:rPr>
                    <w:t>态</w:t>
                  </w:r>
                </w:p>
              </w:tc>
              <w:tc>
                <w:tcPr>
                  <w:tcW w:w="691" w:type="dxa"/>
                  <w:vAlign w:val="center"/>
                </w:tcPr>
                <w:p w14:paraId="5AC4D84F">
                  <w:pPr>
                    <w:widowControl/>
                    <w:adjustRightInd w:val="0"/>
                    <w:snapToGrid w:val="0"/>
                    <w:spacing w:line="240" w:lineRule="auto"/>
                    <w:jc w:val="center"/>
                    <w:rPr>
                      <w:color w:val="auto"/>
                      <w:szCs w:val="21"/>
                    </w:rPr>
                  </w:pPr>
                  <w:r>
                    <w:rPr>
                      <w:color w:val="auto"/>
                      <w:szCs w:val="21"/>
                    </w:rPr>
                    <w:t>矿物油</w:t>
                  </w:r>
                </w:p>
              </w:tc>
              <w:tc>
                <w:tcPr>
                  <w:tcW w:w="689" w:type="dxa"/>
                  <w:vAlign w:val="center"/>
                </w:tcPr>
                <w:p w14:paraId="6A4CB07B">
                  <w:pPr>
                    <w:widowControl/>
                    <w:adjustRightInd w:val="0"/>
                    <w:snapToGrid w:val="0"/>
                    <w:spacing w:line="240" w:lineRule="auto"/>
                    <w:jc w:val="center"/>
                    <w:rPr>
                      <w:color w:val="auto"/>
                      <w:szCs w:val="21"/>
                    </w:rPr>
                  </w:pPr>
                  <w:r>
                    <w:rPr>
                      <w:color w:val="auto"/>
                      <w:szCs w:val="21"/>
                    </w:rPr>
                    <w:t>废矿物油</w:t>
                  </w:r>
                </w:p>
              </w:tc>
              <w:tc>
                <w:tcPr>
                  <w:tcW w:w="551" w:type="dxa"/>
                  <w:vMerge w:val="continue"/>
                  <w:vAlign w:val="center"/>
                </w:tcPr>
                <w:p w14:paraId="77B2768E">
                  <w:pPr>
                    <w:widowControl/>
                    <w:adjustRightInd w:val="0"/>
                    <w:snapToGrid w:val="0"/>
                    <w:spacing w:line="240" w:lineRule="auto"/>
                    <w:jc w:val="center"/>
                    <w:rPr>
                      <w:color w:val="auto"/>
                      <w:szCs w:val="21"/>
                    </w:rPr>
                  </w:pPr>
                </w:p>
              </w:tc>
              <w:tc>
                <w:tcPr>
                  <w:tcW w:w="637" w:type="dxa"/>
                  <w:vAlign w:val="center"/>
                </w:tcPr>
                <w:p w14:paraId="4F7FBBB0">
                  <w:pPr>
                    <w:widowControl/>
                    <w:adjustRightInd w:val="0"/>
                    <w:snapToGrid w:val="0"/>
                    <w:spacing w:line="240" w:lineRule="auto"/>
                    <w:jc w:val="center"/>
                    <w:rPr>
                      <w:color w:val="auto"/>
                      <w:szCs w:val="21"/>
                    </w:rPr>
                  </w:pPr>
                  <w:r>
                    <w:rPr>
                      <w:color w:val="auto"/>
                      <w:szCs w:val="21"/>
                    </w:rPr>
                    <w:t>T/In</w:t>
                  </w:r>
                </w:p>
              </w:tc>
              <w:tc>
                <w:tcPr>
                  <w:tcW w:w="875" w:type="dxa"/>
                  <w:vMerge w:val="continue"/>
                  <w:vAlign w:val="center"/>
                </w:tcPr>
                <w:p w14:paraId="5E6DE649">
                  <w:pPr>
                    <w:widowControl/>
                    <w:adjustRightInd w:val="0"/>
                    <w:snapToGrid w:val="0"/>
                    <w:spacing w:line="240" w:lineRule="auto"/>
                    <w:jc w:val="center"/>
                    <w:rPr>
                      <w:color w:val="auto"/>
                      <w:szCs w:val="21"/>
                    </w:rPr>
                  </w:pPr>
                </w:p>
              </w:tc>
            </w:tr>
            <w:tr w14:paraId="578D7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231" w:type="dxa"/>
                  <w:vAlign w:val="center"/>
                </w:tcPr>
                <w:p w14:paraId="7D6DDE58">
                  <w:pPr>
                    <w:widowControl/>
                    <w:adjustRightInd w:val="0"/>
                    <w:snapToGrid w:val="0"/>
                    <w:spacing w:line="240" w:lineRule="auto"/>
                    <w:jc w:val="center"/>
                    <w:rPr>
                      <w:color w:val="auto"/>
                      <w:szCs w:val="21"/>
                    </w:rPr>
                  </w:pPr>
                  <w:r>
                    <w:rPr>
                      <w:rFonts w:hint="eastAsia"/>
                      <w:color w:val="auto"/>
                      <w:szCs w:val="21"/>
                    </w:rPr>
                    <w:t>除油废液</w:t>
                  </w:r>
                </w:p>
              </w:tc>
              <w:tc>
                <w:tcPr>
                  <w:tcW w:w="708" w:type="dxa"/>
                  <w:vAlign w:val="center"/>
                </w:tcPr>
                <w:p w14:paraId="357700B5">
                  <w:pPr>
                    <w:widowControl/>
                    <w:adjustRightInd w:val="0"/>
                    <w:snapToGrid w:val="0"/>
                    <w:spacing w:line="240" w:lineRule="auto"/>
                    <w:jc w:val="center"/>
                    <w:rPr>
                      <w:rFonts w:hint="default" w:eastAsia="宋体"/>
                      <w:color w:val="auto"/>
                      <w:szCs w:val="21"/>
                      <w:lang w:val="en-US" w:eastAsia="zh-CN"/>
                    </w:rPr>
                  </w:pPr>
                  <w:r>
                    <w:rPr>
                      <w:color w:val="auto"/>
                      <w:szCs w:val="21"/>
                    </w:rPr>
                    <w:t>HW17</w:t>
                  </w:r>
                  <w:r>
                    <w:rPr>
                      <w:rFonts w:hint="eastAsia"/>
                      <w:color w:val="auto"/>
                      <w:szCs w:val="21"/>
                      <w:lang w:val="en-US" w:eastAsia="zh-CN"/>
                    </w:rPr>
                    <w:t xml:space="preserve"> 表面处理废物</w:t>
                  </w:r>
                </w:p>
              </w:tc>
              <w:tc>
                <w:tcPr>
                  <w:tcW w:w="851" w:type="dxa"/>
                  <w:vAlign w:val="center"/>
                </w:tcPr>
                <w:p w14:paraId="6E3CE098">
                  <w:pPr>
                    <w:widowControl/>
                    <w:adjustRightInd w:val="0"/>
                    <w:snapToGrid w:val="0"/>
                    <w:spacing w:line="240" w:lineRule="auto"/>
                    <w:jc w:val="center"/>
                    <w:rPr>
                      <w:color w:val="auto"/>
                      <w:szCs w:val="21"/>
                    </w:rPr>
                  </w:pPr>
                  <w:r>
                    <w:rPr>
                      <w:color w:val="auto"/>
                      <w:szCs w:val="21"/>
                    </w:rPr>
                    <w:t>336-064-17</w:t>
                  </w:r>
                </w:p>
              </w:tc>
              <w:tc>
                <w:tcPr>
                  <w:tcW w:w="671" w:type="dxa"/>
                  <w:vAlign w:val="center"/>
                </w:tcPr>
                <w:p w14:paraId="1D9C41C2">
                  <w:pPr>
                    <w:widowControl/>
                    <w:adjustRightInd w:val="0"/>
                    <w:snapToGrid w:val="0"/>
                    <w:spacing w:line="240" w:lineRule="auto"/>
                    <w:jc w:val="center"/>
                    <w:rPr>
                      <w:rFonts w:hint="eastAsia" w:eastAsia="宋体"/>
                      <w:color w:val="auto"/>
                      <w:szCs w:val="21"/>
                      <w:lang w:eastAsia="zh-CN"/>
                    </w:rPr>
                  </w:pPr>
                  <w:r>
                    <w:rPr>
                      <w:color w:val="auto"/>
                      <w:kern w:val="0"/>
                      <w:szCs w:val="21"/>
                    </w:rPr>
                    <w:t>1</w:t>
                  </w:r>
                  <w:r>
                    <w:rPr>
                      <w:rFonts w:hint="eastAsia"/>
                      <w:color w:val="auto"/>
                      <w:kern w:val="0"/>
                      <w:szCs w:val="21"/>
                      <w:lang w:val="en-US" w:eastAsia="zh-CN"/>
                    </w:rPr>
                    <w:t>1</w:t>
                  </w:r>
                  <w:r>
                    <w:rPr>
                      <w:color w:val="auto"/>
                      <w:kern w:val="0"/>
                      <w:szCs w:val="21"/>
                    </w:rPr>
                    <w:t>.</w:t>
                  </w:r>
                  <w:r>
                    <w:rPr>
                      <w:rFonts w:hint="eastAsia"/>
                      <w:color w:val="auto"/>
                      <w:kern w:val="0"/>
                      <w:szCs w:val="21"/>
                      <w:lang w:val="en-US" w:eastAsia="zh-CN"/>
                    </w:rPr>
                    <w:t>2</w:t>
                  </w:r>
                </w:p>
              </w:tc>
              <w:tc>
                <w:tcPr>
                  <w:tcW w:w="746" w:type="dxa"/>
                  <w:vMerge w:val="continue"/>
                  <w:vAlign w:val="center"/>
                </w:tcPr>
                <w:p w14:paraId="358BE375">
                  <w:pPr>
                    <w:widowControl/>
                    <w:adjustRightInd w:val="0"/>
                    <w:snapToGrid w:val="0"/>
                    <w:spacing w:line="240" w:lineRule="auto"/>
                    <w:jc w:val="center"/>
                    <w:rPr>
                      <w:color w:val="auto"/>
                      <w:szCs w:val="21"/>
                    </w:rPr>
                  </w:pPr>
                </w:p>
              </w:tc>
              <w:tc>
                <w:tcPr>
                  <w:tcW w:w="889" w:type="dxa"/>
                  <w:vAlign w:val="center"/>
                </w:tcPr>
                <w:p w14:paraId="0C207AE3">
                  <w:pPr>
                    <w:widowControl/>
                    <w:adjustRightInd w:val="0"/>
                    <w:snapToGrid w:val="0"/>
                    <w:spacing w:line="240" w:lineRule="auto"/>
                    <w:jc w:val="center"/>
                    <w:rPr>
                      <w:color w:val="auto"/>
                      <w:szCs w:val="21"/>
                    </w:rPr>
                  </w:pPr>
                  <w:r>
                    <w:rPr>
                      <w:color w:val="auto"/>
                      <w:szCs w:val="21"/>
                    </w:rPr>
                    <w:t>液态</w:t>
                  </w:r>
                </w:p>
              </w:tc>
              <w:tc>
                <w:tcPr>
                  <w:tcW w:w="691" w:type="dxa"/>
                  <w:vAlign w:val="center"/>
                </w:tcPr>
                <w:p w14:paraId="6A61D0F0">
                  <w:pPr>
                    <w:widowControl/>
                    <w:adjustRightInd w:val="0"/>
                    <w:snapToGrid w:val="0"/>
                    <w:spacing w:line="240" w:lineRule="auto"/>
                    <w:jc w:val="center"/>
                    <w:rPr>
                      <w:rFonts w:hint="eastAsia" w:eastAsia="宋体"/>
                      <w:color w:val="auto"/>
                      <w:szCs w:val="21"/>
                      <w:lang w:eastAsia="zh-CN"/>
                    </w:rPr>
                  </w:pPr>
                  <w:r>
                    <w:rPr>
                      <w:rStyle w:val="45"/>
                      <w:rFonts w:hint="eastAsia"/>
                      <w:color w:val="auto"/>
                      <w:lang w:val="en-US" w:eastAsia="zh-CN"/>
                    </w:rPr>
                    <w:t>除油剂</w:t>
                  </w:r>
                </w:p>
              </w:tc>
              <w:tc>
                <w:tcPr>
                  <w:tcW w:w="689" w:type="dxa"/>
                  <w:vAlign w:val="center"/>
                </w:tcPr>
                <w:p w14:paraId="447E9A33">
                  <w:pPr>
                    <w:widowControl/>
                    <w:adjustRightInd w:val="0"/>
                    <w:snapToGrid w:val="0"/>
                    <w:spacing w:line="240" w:lineRule="auto"/>
                    <w:jc w:val="center"/>
                    <w:rPr>
                      <w:color w:val="auto"/>
                      <w:szCs w:val="21"/>
                    </w:rPr>
                  </w:pPr>
                  <w:r>
                    <w:rPr>
                      <w:color w:val="auto"/>
                      <w:szCs w:val="21"/>
                    </w:rPr>
                    <w:t>碱</w:t>
                  </w:r>
                </w:p>
              </w:tc>
              <w:tc>
                <w:tcPr>
                  <w:tcW w:w="551" w:type="dxa"/>
                  <w:vMerge w:val="continue"/>
                  <w:vAlign w:val="center"/>
                </w:tcPr>
                <w:p w14:paraId="6F6E6E6D">
                  <w:pPr>
                    <w:widowControl/>
                    <w:adjustRightInd w:val="0"/>
                    <w:snapToGrid w:val="0"/>
                    <w:spacing w:line="240" w:lineRule="auto"/>
                    <w:jc w:val="center"/>
                    <w:rPr>
                      <w:color w:val="auto"/>
                      <w:szCs w:val="21"/>
                    </w:rPr>
                  </w:pPr>
                </w:p>
              </w:tc>
              <w:tc>
                <w:tcPr>
                  <w:tcW w:w="637" w:type="dxa"/>
                  <w:vAlign w:val="center"/>
                </w:tcPr>
                <w:p w14:paraId="464BD04B">
                  <w:pPr>
                    <w:widowControl/>
                    <w:adjustRightInd w:val="0"/>
                    <w:snapToGrid w:val="0"/>
                    <w:spacing w:line="240" w:lineRule="auto"/>
                    <w:jc w:val="center"/>
                    <w:rPr>
                      <w:color w:val="auto"/>
                      <w:szCs w:val="21"/>
                    </w:rPr>
                  </w:pPr>
                  <w:r>
                    <w:rPr>
                      <w:color w:val="auto"/>
                      <w:szCs w:val="21"/>
                    </w:rPr>
                    <w:t>T/C</w:t>
                  </w:r>
                </w:p>
              </w:tc>
              <w:tc>
                <w:tcPr>
                  <w:tcW w:w="875" w:type="dxa"/>
                  <w:vMerge w:val="continue"/>
                  <w:vAlign w:val="center"/>
                </w:tcPr>
                <w:p w14:paraId="461F7145">
                  <w:pPr>
                    <w:widowControl/>
                    <w:adjustRightInd w:val="0"/>
                    <w:snapToGrid w:val="0"/>
                    <w:spacing w:line="240" w:lineRule="auto"/>
                    <w:jc w:val="center"/>
                    <w:rPr>
                      <w:color w:val="auto"/>
                      <w:szCs w:val="21"/>
                    </w:rPr>
                  </w:pPr>
                </w:p>
              </w:tc>
            </w:tr>
            <w:tr w14:paraId="75E8F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2" w:hRule="atLeast"/>
                <w:jc w:val="center"/>
              </w:trPr>
              <w:tc>
                <w:tcPr>
                  <w:tcW w:w="1231" w:type="dxa"/>
                  <w:vAlign w:val="center"/>
                </w:tcPr>
                <w:p w14:paraId="587E9845">
                  <w:pPr>
                    <w:widowControl/>
                    <w:adjustRightInd w:val="0"/>
                    <w:snapToGrid w:val="0"/>
                    <w:spacing w:line="240" w:lineRule="auto"/>
                    <w:jc w:val="center"/>
                    <w:rPr>
                      <w:color w:val="auto"/>
                      <w:szCs w:val="21"/>
                    </w:rPr>
                  </w:pPr>
                  <w:r>
                    <w:rPr>
                      <w:rFonts w:hint="eastAsia"/>
                      <w:color w:val="auto"/>
                      <w:szCs w:val="21"/>
                    </w:rPr>
                    <w:t>陶化废液</w:t>
                  </w:r>
                </w:p>
              </w:tc>
              <w:tc>
                <w:tcPr>
                  <w:tcW w:w="708" w:type="dxa"/>
                  <w:vAlign w:val="center"/>
                </w:tcPr>
                <w:p w14:paraId="01E34E2B">
                  <w:pPr>
                    <w:widowControl/>
                    <w:adjustRightInd w:val="0"/>
                    <w:snapToGrid w:val="0"/>
                    <w:spacing w:line="240" w:lineRule="auto"/>
                    <w:jc w:val="center"/>
                    <w:rPr>
                      <w:color w:val="auto"/>
                      <w:szCs w:val="21"/>
                    </w:rPr>
                  </w:pPr>
                  <w:r>
                    <w:rPr>
                      <w:color w:val="auto"/>
                      <w:szCs w:val="21"/>
                    </w:rPr>
                    <w:t>HW17</w:t>
                  </w:r>
                  <w:r>
                    <w:rPr>
                      <w:rFonts w:hint="eastAsia"/>
                      <w:color w:val="auto"/>
                      <w:szCs w:val="21"/>
                      <w:lang w:val="en-US" w:eastAsia="zh-CN"/>
                    </w:rPr>
                    <w:t>表面处理废物</w:t>
                  </w:r>
                </w:p>
              </w:tc>
              <w:tc>
                <w:tcPr>
                  <w:tcW w:w="851" w:type="dxa"/>
                  <w:vAlign w:val="center"/>
                </w:tcPr>
                <w:p w14:paraId="7E030755">
                  <w:pPr>
                    <w:widowControl/>
                    <w:adjustRightInd w:val="0"/>
                    <w:snapToGrid w:val="0"/>
                    <w:spacing w:line="240" w:lineRule="auto"/>
                    <w:jc w:val="center"/>
                    <w:rPr>
                      <w:color w:val="auto"/>
                      <w:szCs w:val="21"/>
                    </w:rPr>
                  </w:pPr>
                  <w:r>
                    <w:rPr>
                      <w:color w:val="auto"/>
                      <w:szCs w:val="21"/>
                    </w:rPr>
                    <w:t>336-064-17</w:t>
                  </w:r>
                </w:p>
              </w:tc>
              <w:tc>
                <w:tcPr>
                  <w:tcW w:w="671" w:type="dxa"/>
                  <w:vAlign w:val="center"/>
                </w:tcPr>
                <w:p w14:paraId="1FB85992">
                  <w:pPr>
                    <w:widowControl/>
                    <w:adjustRightInd w:val="0"/>
                    <w:snapToGrid w:val="0"/>
                    <w:spacing w:line="240" w:lineRule="auto"/>
                    <w:jc w:val="center"/>
                    <w:rPr>
                      <w:rFonts w:hint="eastAsia" w:eastAsia="宋体"/>
                      <w:color w:val="auto"/>
                      <w:szCs w:val="21"/>
                      <w:lang w:eastAsia="zh-CN"/>
                    </w:rPr>
                  </w:pPr>
                  <w:r>
                    <w:rPr>
                      <w:rFonts w:hint="eastAsia"/>
                      <w:color w:val="auto"/>
                      <w:kern w:val="0"/>
                      <w:szCs w:val="21"/>
                      <w:lang w:val="en-US" w:eastAsia="zh-CN"/>
                    </w:rPr>
                    <w:t>2</w:t>
                  </w:r>
                  <w:r>
                    <w:rPr>
                      <w:color w:val="auto"/>
                      <w:kern w:val="0"/>
                      <w:szCs w:val="21"/>
                    </w:rPr>
                    <w:t>.</w:t>
                  </w:r>
                  <w:r>
                    <w:rPr>
                      <w:rFonts w:hint="eastAsia"/>
                      <w:color w:val="auto"/>
                      <w:kern w:val="0"/>
                      <w:szCs w:val="21"/>
                      <w:lang w:val="en-US" w:eastAsia="zh-CN"/>
                    </w:rPr>
                    <w:t>8</w:t>
                  </w:r>
                </w:p>
              </w:tc>
              <w:tc>
                <w:tcPr>
                  <w:tcW w:w="746" w:type="dxa"/>
                  <w:vMerge w:val="continue"/>
                  <w:vAlign w:val="center"/>
                </w:tcPr>
                <w:p w14:paraId="7A47798C">
                  <w:pPr>
                    <w:widowControl/>
                    <w:adjustRightInd w:val="0"/>
                    <w:snapToGrid w:val="0"/>
                    <w:spacing w:line="240" w:lineRule="auto"/>
                    <w:jc w:val="center"/>
                    <w:rPr>
                      <w:color w:val="auto"/>
                      <w:szCs w:val="21"/>
                    </w:rPr>
                  </w:pPr>
                </w:p>
              </w:tc>
              <w:tc>
                <w:tcPr>
                  <w:tcW w:w="889" w:type="dxa"/>
                  <w:vAlign w:val="center"/>
                </w:tcPr>
                <w:p w14:paraId="3B4A3C84">
                  <w:pPr>
                    <w:widowControl/>
                    <w:adjustRightInd w:val="0"/>
                    <w:snapToGrid w:val="0"/>
                    <w:spacing w:line="240" w:lineRule="auto"/>
                    <w:jc w:val="center"/>
                    <w:rPr>
                      <w:color w:val="auto"/>
                      <w:szCs w:val="21"/>
                    </w:rPr>
                  </w:pPr>
                  <w:r>
                    <w:rPr>
                      <w:color w:val="auto"/>
                      <w:szCs w:val="21"/>
                    </w:rPr>
                    <w:t>液态</w:t>
                  </w:r>
                </w:p>
              </w:tc>
              <w:tc>
                <w:tcPr>
                  <w:tcW w:w="691" w:type="dxa"/>
                  <w:vAlign w:val="center"/>
                </w:tcPr>
                <w:p w14:paraId="4BA2152A">
                  <w:pPr>
                    <w:widowControl/>
                    <w:adjustRightInd w:val="0"/>
                    <w:snapToGrid w:val="0"/>
                    <w:spacing w:line="240" w:lineRule="auto"/>
                    <w:jc w:val="center"/>
                    <w:rPr>
                      <w:color w:val="auto"/>
                      <w:szCs w:val="21"/>
                    </w:rPr>
                  </w:pPr>
                  <w:r>
                    <w:rPr>
                      <w:rFonts w:hint="eastAsia"/>
                      <w:color w:val="auto"/>
                      <w:szCs w:val="21"/>
                    </w:rPr>
                    <w:t>陶化剂</w:t>
                  </w:r>
                </w:p>
              </w:tc>
              <w:tc>
                <w:tcPr>
                  <w:tcW w:w="689" w:type="dxa"/>
                  <w:vAlign w:val="center"/>
                </w:tcPr>
                <w:p w14:paraId="59F8782B">
                  <w:pPr>
                    <w:widowControl/>
                    <w:adjustRightInd w:val="0"/>
                    <w:snapToGrid w:val="0"/>
                    <w:spacing w:line="240" w:lineRule="auto"/>
                    <w:jc w:val="center"/>
                    <w:rPr>
                      <w:color w:val="auto"/>
                      <w:szCs w:val="21"/>
                    </w:rPr>
                  </w:pPr>
                  <w:r>
                    <w:rPr>
                      <w:rFonts w:hint="eastAsia"/>
                      <w:color w:val="auto"/>
                      <w:szCs w:val="21"/>
                    </w:rPr>
                    <w:t>陶化剂</w:t>
                  </w:r>
                </w:p>
              </w:tc>
              <w:tc>
                <w:tcPr>
                  <w:tcW w:w="551" w:type="dxa"/>
                  <w:vMerge w:val="continue"/>
                  <w:vAlign w:val="center"/>
                </w:tcPr>
                <w:p w14:paraId="48DB3C7A">
                  <w:pPr>
                    <w:widowControl/>
                    <w:adjustRightInd w:val="0"/>
                    <w:snapToGrid w:val="0"/>
                    <w:spacing w:line="240" w:lineRule="auto"/>
                    <w:jc w:val="center"/>
                    <w:rPr>
                      <w:color w:val="auto"/>
                      <w:szCs w:val="21"/>
                    </w:rPr>
                  </w:pPr>
                </w:p>
              </w:tc>
              <w:tc>
                <w:tcPr>
                  <w:tcW w:w="637" w:type="dxa"/>
                  <w:vAlign w:val="center"/>
                </w:tcPr>
                <w:p w14:paraId="20E13C6D">
                  <w:pPr>
                    <w:widowControl/>
                    <w:adjustRightInd w:val="0"/>
                    <w:snapToGrid w:val="0"/>
                    <w:spacing w:line="240" w:lineRule="auto"/>
                    <w:jc w:val="center"/>
                    <w:rPr>
                      <w:color w:val="auto"/>
                      <w:szCs w:val="21"/>
                    </w:rPr>
                  </w:pPr>
                  <w:r>
                    <w:rPr>
                      <w:color w:val="auto"/>
                      <w:szCs w:val="21"/>
                    </w:rPr>
                    <w:t>T/C</w:t>
                  </w:r>
                </w:p>
              </w:tc>
              <w:tc>
                <w:tcPr>
                  <w:tcW w:w="875" w:type="dxa"/>
                  <w:vMerge w:val="continue"/>
                  <w:vAlign w:val="center"/>
                </w:tcPr>
                <w:p w14:paraId="46BBFCCB">
                  <w:pPr>
                    <w:widowControl/>
                    <w:adjustRightInd w:val="0"/>
                    <w:snapToGrid w:val="0"/>
                    <w:spacing w:line="240" w:lineRule="auto"/>
                    <w:jc w:val="center"/>
                    <w:rPr>
                      <w:color w:val="auto"/>
                      <w:szCs w:val="21"/>
                    </w:rPr>
                  </w:pPr>
                </w:p>
              </w:tc>
            </w:tr>
          </w:tbl>
          <w:p w14:paraId="4EDC08D2">
            <w:pPr>
              <w:spacing w:line="360" w:lineRule="auto"/>
              <w:rPr>
                <w:rFonts w:hint="default"/>
                <w:color w:val="auto"/>
                <w:szCs w:val="21"/>
                <w:lang w:val="en-US" w:eastAsia="zh-CN"/>
              </w:rPr>
            </w:pPr>
            <w:r>
              <w:rPr>
                <w:rFonts w:hint="eastAsia"/>
                <w:color w:val="auto"/>
                <w:szCs w:val="21"/>
                <w:lang w:val="en-US" w:eastAsia="zh-CN"/>
              </w:rPr>
              <w:t>注：危险废物包括腐蚀性(C)、毒性(T)、易燃性(I)、反应性(R)和感染性（In）。</w:t>
            </w:r>
          </w:p>
          <w:p w14:paraId="164F38D1">
            <w:pPr>
              <w:spacing w:line="360" w:lineRule="auto"/>
              <w:ind w:firstLine="420" w:firstLineChars="200"/>
              <w:rPr>
                <w:color w:val="auto"/>
                <w:szCs w:val="21"/>
              </w:rPr>
            </w:pPr>
            <w:r>
              <w:rPr>
                <w:color w:val="auto"/>
                <w:szCs w:val="21"/>
              </w:rPr>
              <w:t>一般工业固废采取防扬散、防流失、防渗漏或者其他防止污染环境的措施；不得擅自倾倒、堆放、丢弃、遗撒固体废物，根据《广东省固体废物污染环境防治条例》，产生固体废物的单位和个人均有防治固体废物污染的责任，应当减少固体废物的产生，综合利用固体废物，防止固体废物污染环境。产生固体废物的单位和个人应当按有关规定分类贮存固体废物，自行处置或者交给有固体废物经营资格的单位集中处理。项目产生的一般工业固废放置在一般固体废物暂存处，交有一般工业固废处理能力的单位处理。</w:t>
            </w:r>
          </w:p>
          <w:p w14:paraId="6B7EDD8E">
            <w:pPr>
              <w:spacing w:line="360" w:lineRule="auto"/>
              <w:ind w:firstLine="420" w:firstLineChars="200"/>
              <w:rPr>
                <w:color w:val="auto"/>
                <w:szCs w:val="21"/>
              </w:rPr>
            </w:pPr>
            <w:r>
              <w:rPr>
                <w:rFonts w:hint="eastAsia"/>
                <w:color w:val="auto"/>
                <w:szCs w:val="21"/>
                <w:lang w:eastAsia="zh-CN"/>
              </w:rPr>
              <w:t>危险废物</w:t>
            </w:r>
            <w:r>
              <w:rPr>
                <w:color w:val="auto"/>
                <w:szCs w:val="21"/>
              </w:rPr>
              <w:t>暂存场应严格</w:t>
            </w:r>
            <w:r>
              <w:rPr>
                <w:rFonts w:hint="eastAsia"/>
                <w:color w:val="auto"/>
                <w:szCs w:val="21"/>
                <w:lang w:eastAsia="zh-CN"/>
              </w:rPr>
              <w:t>按照</w:t>
            </w:r>
            <w:r>
              <w:rPr>
                <w:color w:val="auto"/>
                <w:szCs w:val="21"/>
              </w:rPr>
              <w:t>《危险废物贮存污染控制标准》（GB18597-</w:t>
            </w:r>
            <w:r>
              <w:rPr>
                <w:color w:val="auto"/>
                <w:szCs w:val="21"/>
              </w:rPr>
              <w:t>20</w:t>
            </w:r>
            <w:r>
              <w:rPr>
                <w:rFonts w:hint="eastAsia"/>
                <w:color w:val="auto"/>
                <w:szCs w:val="21"/>
                <w:lang w:val="en-US" w:eastAsia="zh-CN"/>
              </w:rPr>
              <w:t>23</w:t>
            </w:r>
            <w:r>
              <w:rPr>
                <w:color w:val="auto"/>
                <w:szCs w:val="21"/>
              </w:rPr>
              <w:t>）及其修改清单标准要求进行设置及管理。</w:t>
            </w:r>
          </w:p>
          <w:p w14:paraId="1DEEDFE8">
            <w:pPr>
              <w:spacing w:line="360" w:lineRule="auto"/>
              <w:ind w:firstLine="420" w:firstLineChars="200"/>
              <w:rPr>
                <w:color w:val="auto"/>
                <w:szCs w:val="21"/>
              </w:rPr>
            </w:pPr>
            <w:r>
              <w:rPr>
                <w:color w:val="auto"/>
                <w:szCs w:val="21"/>
              </w:rPr>
              <w:t>对于危险废物管理要求如下：</w:t>
            </w:r>
          </w:p>
          <w:p w14:paraId="68BD9A5F">
            <w:pPr>
              <w:numPr>
                <w:ilvl w:val="0"/>
                <w:numId w:val="10"/>
              </w:numPr>
              <w:spacing w:line="360" w:lineRule="auto"/>
              <w:ind w:firstLine="420" w:firstLineChars="200"/>
              <w:rPr>
                <w:color w:val="auto"/>
                <w:szCs w:val="21"/>
              </w:rPr>
            </w:pPr>
            <w:r>
              <w:rPr>
                <w:color w:val="auto"/>
                <w:szCs w:val="21"/>
              </w:rPr>
              <w:t>危险废物的容</w:t>
            </w:r>
            <w:r>
              <w:rPr>
                <w:rFonts w:hint="eastAsia"/>
                <w:color w:val="auto"/>
                <w:szCs w:val="21"/>
                <w:lang w:val="en-US" w:eastAsia="zh-CN"/>
              </w:rPr>
              <w:t>器</w:t>
            </w:r>
            <w:r>
              <w:rPr>
                <w:color w:val="auto"/>
                <w:szCs w:val="21"/>
              </w:rPr>
              <w:t>和包装物</w:t>
            </w:r>
            <w:r>
              <w:rPr>
                <w:rFonts w:hint="eastAsia"/>
                <w:color w:val="auto"/>
                <w:szCs w:val="21"/>
                <w:lang w:eastAsia="zh-CN"/>
              </w:rPr>
              <w:t>以及</w:t>
            </w:r>
            <w:r>
              <w:rPr>
                <w:color w:val="auto"/>
                <w:szCs w:val="21"/>
              </w:rPr>
              <w:t>收集、暂存、转移、处置危险废物的设施、场所，必须设置危险废物识别标志；</w:t>
            </w:r>
          </w:p>
          <w:p w14:paraId="053A754C">
            <w:pPr>
              <w:numPr>
                <w:ilvl w:val="0"/>
                <w:numId w:val="10"/>
              </w:numPr>
              <w:spacing w:line="360" w:lineRule="auto"/>
              <w:ind w:firstLine="420" w:firstLineChars="200"/>
              <w:rPr>
                <w:color w:val="auto"/>
                <w:szCs w:val="21"/>
              </w:rPr>
            </w:pPr>
            <w:r>
              <w:rPr>
                <w:color w:val="auto"/>
                <w:szCs w:val="21"/>
              </w:rPr>
              <w:t>禁止企业随意倾倒、堆置危险废物；</w:t>
            </w:r>
          </w:p>
          <w:p w14:paraId="70D533B0">
            <w:pPr>
              <w:numPr>
                <w:ilvl w:val="0"/>
                <w:numId w:val="10"/>
              </w:numPr>
              <w:spacing w:line="360" w:lineRule="auto"/>
              <w:ind w:firstLine="420" w:firstLineChars="200"/>
              <w:rPr>
                <w:color w:val="auto"/>
                <w:szCs w:val="21"/>
              </w:rPr>
            </w:pPr>
            <w:r>
              <w:rPr>
                <w:color w:val="auto"/>
                <w:szCs w:val="21"/>
              </w:rPr>
              <w:t>禁止将危险废物混入非危险废物中收集、暂存、转移、处置，收集、贮存转移危险 废物时，严格按照危险废物特性分类进行。放置混合收集、贮存、运输、转移性质不相容且</w:t>
            </w:r>
            <w:r>
              <w:rPr>
                <w:rFonts w:hint="eastAsia"/>
                <w:color w:val="auto"/>
                <w:szCs w:val="21"/>
                <w:lang w:eastAsia="zh-CN"/>
              </w:rPr>
              <w:t>未</w:t>
            </w:r>
            <w:r>
              <w:rPr>
                <w:color w:val="auto"/>
                <w:szCs w:val="21"/>
              </w:rPr>
              <w:t xml:space="preserve"> 经安全性处置的危险废物；</w:t>
            </w:r>
          </w:p>
          <w:p w14:paraId="3531757A">
            <w:pPr>
              <w:numPr>
                <w:ilvl w:val="0"/>
                <w:numId w:val="10"/>
              </w:numPr>
              <w:spacing w:line="360" w:lineRule="auto"/>
              <w:ind w:firstLine="420" w:firstLineChars="200"/>
              <w:rPr>
                <w:color w:val="auto"/>
                <w:szCs w:val="21"/>
              </w:rPr>
            </w:pPr>
            <w:r>
              <w:rPr>
                <w:color w:val="auto"/>
                <w:szCs w:val="21"/>
              </w:rPr>
              <w:t>按照相关规范要求做到防渗、防漏等措施。</w:t>
            </w:r>
          </w:p>
          <w:p w14:paraId="3AE9791B">
            <w:pPr>
              <w:spacing w:line="360" w:lineRule="auto"/>
              <w:ind w:firstLine="420" w:firstLineChars="200"/>
              <w:rPr>
                <w:color w:val="auto"/>
                <w:szCs w:val="21"/>
              </w:rPr>
            </w:pPr>
            <w:r>
              <w:rPr>
                <w:color w:val="auto"/>
                <w:szCs w:val="21"/>
              </w:rPr>
              <w:t>因此，采取上述处理措施后，无外排固体废物，对周围环境影响较小，符合环境保护局有关固体废物应实现零排放的规定，项目对周围环境影响不大。通过合理处理处置措施，项目产生的固体废物尽可能废物资源化，减少其对周围环境的影响。</w:t>
            </w:r>
          </w:p>
          <w:p w14:paraId="239AF5A9">
            <w:pPr>
              <w:pStyle w:val="9"/>
              <w:spacing w:line="360" w:lineRule="auto"/>
              <w:ind w:left="630" w:leftChars="0" w:firstLineChars="0"/>
              <w:rPr>
                <w:color w:val="auto"/>
                <w:szCs w:val="21"/>
              </w:rPr>
            </w:pPr>
            <w:r>
              <w:rPr>
                <w:rFonts w:hint="eastAsia"/>
                <w:color w:val="auto"/>
                <w:szCs w:val="21"/>
              </w:rPr>
              <w:t>项目危险废物贮存场所基本情况表</w:t>
            </w:r>
          </w:p>
          <w:tbl>
            <w:tblPr>
              <w:tblStyle w:val="35"/>
              <w:tblW w:w="8368" w:type="dxa"/>
              <w:tblInd w:w="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7"/>
              <w:gridCol w:w="670"/>
              <w:gridCol w:w="1507"/>
              <w:gridCol w:w="696"/>
              <w:gridCol w:w="902"/>
              <w:gridCol w:w="490"/>
              <w:gridCol w:w="998"/>
              <w:gridCol w:w="998"/>
              <w:gridCol w:w="797"/>
              <w:gridCol w:w="933"/>
            </w:tblGrid>
            <w:tr w14:paraId="5292A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377" w:type="dxa"/>
                  <w:vAlign w:val="center"/>
                </w:tcPr>
                <w:p w14:paraId="7C9AE3B2">
                  <w:pPr>
                    <w:pStyle w:val="70"/>
                    <w:spacing w:line="240" w:lineRule="auto"/>
                    <w:rPr>
                      <w:color w:val="auto"/>
                    </w:rPr>
                  </w:pPr>
                  <w:r>
                    <w:rPr>
                      <w:rFonts w:hint="eastAsia"/>
                      <w:color w:val="auto"/>
                    </w:rPr>
                    <w:t>序号</w:t>
                  </w:r>
                </w:p>
              </w:tc>
              <w:tc>
                <w:tcPr>
                  <w:tcW w:w="670" w:type="dxa"/>
                  <w:vAlign w:val="center"/>
                </w:tcPr>
                <w:p w14:paraId="0948845A">
                  <w:pPr>
                    <w:pStyle w:val="70"/>
                    <w:spacing w:line="240" w:lineRule="auto"/>
                    <w:rPr>
                      <w:color w:val="auto"/>
                    </w:rPr>
                  </w:pPr>
                  <w:r>
                    <w:rPr>
                      <w:rFonts w:hint="eastAsia"/>
                      <w:color w:val="auto"/>
                    </w:rPr>
                    <w:t>贮存场所名称</w:t>
                  </w:r>
                </w:p>
              </w:tc>
              <w:tc>
                <w:tcPr>
                  <w:tcW w:w="1507" w:type="dxa"/>
                  <w:vAlign w:val="center"/>
                </w:tcPr>
                <w:p w14:paraId="373C6373">
                  <w:pPr>
                    <w:pStyle w:val="70"/>
                    <w:spacing w:line="240" w:lineRule="auto"/>
                    <w:rPr>
                      <w:color w:val="auto"/>
                    </w:rPr>
                  </w:pPr>
                  <w:r>
                    <w:rPr>
                      <w:rFonts w:hint="eastAsia"/>
                      <w:color w:val="auto"/>
                    </w:rPr>
                    <w:t>危险废物名称</w:t>
                  </w:r>
                </w:p>
              </w:tc>
              <w:tc>
                <w:tcPr>
                  <w:tcW w:w="696" w:type="dxa"/>
                  <w:vAlign w:val="center"/>
                </w:tcPr>
                <w:p w14:paraId="6B379100">
                  <w:pPr>
                    <w:pStyle w:val="70"/>
                    <w:spacing w:line="240" w:lineRule="auto"/>
                    <w:rPr>
                      <w:color w:val="auto"/>
                    </w:rPr>
                  </w:pPr>
                  <w:r>
                    <w:rPr>
                      <w:rFonts w:hint="eastAsia"/>
                      <w:color w:val="auto"/>
                    </w:rPr>
                    <w:t>危险废物类别</w:t>
                  </w:r>
                </w:p>
              </w:tc>
              <w:tc>
                <w:tcPr>
                  <w:tcW w:w="902" w:type="dxa"/>
                  <w:vAlign w:val="center"/>
                </w:tcPr>
                <w:p w14:paraId="0E916ABE">
                  <w:pPr>
                    <w:pStyle w:val="70"/>
                    <w:spacing w:line="240" w:lineRule="auto"/>
                    <w:rPr>
                      <w:color w:val="auto"/>
                    </w:rPr>
                  </w:pPr>
                  <w:r>
                    <w:rPr>
                      <w:rFonts w:hint="eastAsia"/>
                      <w:color w:val="auto"/>
                    </w:rPr>
                    <w:t>危险废物代码</w:t>
                  </w:r>
                </w:p>
              </w:tc>
              <w:tc>
                <w:tcPr>
                  <w:tcW w:w="490" w:type="dxa"/>
                  <w:vAlign w:val="center"/>
                </w:tcPr>
                <w:p w14:paraId="434A92E6">
                  <w:pPr>
                    <w:pStyle w:val="70"/>
                    <w:spacing w:line="240" w:lineRule="auto"/>
                    <w:rPr>
                      <w:color w:val="auto"/>
                    </w:rPr>
                  </w:pPr>
                  <w:r>
                    <w:rPr>
                      <w:rFonts w:hint="eastAsia"/>
                      <w:color w:val="auto"/>
                    </w:rPr>
                    <w:t>位置</w:t>
                  </w:r>
                </w:p>
              </w:tc>
              <w:tc>
                <w:tcPr>
                  <w:tcW w:w="998" w:type="dxa"/>
                  <w:vAlign w:val="center"/>
                </w:tcPr>
                <w:p w14:paraId="3FF49F38">
                  <w:pPr>
                    <w:pStyle w:val="70"/>
                    <w:spacing w:line="240" w:lineRule="auto"/>
                    <w:rPr>
                      <w:color w:val="auto"/>
                    </w:rPr>
                  </w:pPr>
                  <w:r>
                    <w:rPr>
                      <w:rFonts w:hint="eastAsia"/>
                      <w:color w:val="auto"/>
                    </w:rPr>
                    <w:t>占地面积</w:t>
                  </w:r>
                  <w:r>
                    <w:rPr>
                      <w:color w:val="auto"/>
                      <w:highlight w:val="none"/>
                    </w:rPr>
                    <w:t xml:space="preserve"> </w:t>
                  </w:r>
                  <w:r>
                    <w:rPr>
                      <w:rFonts w:hint="eastAsia"/>
                      <w:color w:val="auto"/>
                      <w:szCs w:val="21"/>
                      <w:lang w:val="en-US" w:eastAsia="zh-CN"/>
                    </w:rPr>
                    <w:t>㎡</w:t>
                  </w:r>
                </w:p>
              </w:tc>
              <w:tc>
                <w:tcPr>
                  <w:tcW w:w="998" w:type="dxa"/>
                  <w:vAlign w:val="center"/>
                </w:tcPr>
                <w:p w14:paraId="58697142">
                  <w:pPr>
                    <w:pStyle w:val="70"/>
                    <w:spacing w:line="240" w:lineRule="auto"/>
                    <w:rPr>
                      <w:color w:val="auto"/>
                    </w:rPr>
                  </w:pPr>
                  <w:r>
                    <w:rPr>
                      <w:rFonts w:hint="eastAsia"/>
                      <w:color w:val="auto"/>
                    </w:rPr>
                    <w:t>贮存方式</w:t>
                  </w:r>
                </w:p>
              </w:tc>
              <w:tc>
                <w:tcPr>
                  <w:tcW w:w="797" w:type="dxa"/>
                  <w:vAlign w:val="center"/>
                </w:tcPr>
                <w:p w14:paraId="2782D613">
                  <w:pPr>
                    <w:pStyle w:val="70"/>
                    <w:spacing w:line="240" w:lineRule="auto"/>
                    <w:rPr>
                      <w:color w:val="auto"/>
                    </w:rPr>
                  </w:pPr>
                  <w:r>
                    <w:rPr>
                      <w:rFonts w:hint="eastAsia"/>
                      <w:color w:val="auto"/>
                    </w:rPr>
                    <w:t>贮存</w:t>
                  </w:r>
                </w:p>
                <w:p w14:paraId="0C390ACD">
                  <w:pPr>
                    <w:pStyle w:val="70"/>
                    <w:spacing w:line="240" w:lineRule="auto"/>
                    <w:rPr>
                      <w:rFonts w:hint="eastAsia" w:eastAsia="宋体"/>
                      <w:color w:val="auto"/>
                      <w:lang w:val="en-US" w:eastAsia="zh-CN"/>
                    </w:rPr>
                  </w:pPr>
                  <w:r>
                    <w:rPr>
                      <w:rFonts w:hint="eastAsia"/>
                      <w:color w:val="auto"/>
                    </w:rPr>
                    <w:t>能力</w:t>
                  </w:r>
                  <w:r>
                    <w:rPr>
                      <w:rFonts w:hint="eastAsia"/>
                      <w:color w:val="auto"/>
                      <w:lang w:val="en-US" w:eastAsia="zh-CN"/>
                    </w:rPr>
                    <w:t>/</w:t>
                  </w:r>
                  <w:r>
                    <w:rPr>
                      <w:rFonts w:hint="eastAsia"/>
                      <w:color w:val="auto"/>
                      <w:highlight w:val="none"/>
                    </w:rPr>
                    <w:t>吨</w:t>
                  </w:r>
                </w:p>
              </w:tc>
              <w:tc>
                <w:tcPr>
                  <w:tcW w:w="933" w:type="dxa"/>
                  <w:vAlign w:val="center"/>
                </w:tcPr>
                <w:p w14:paraId="32CB06C3">
                  <w:pPr>
                    <w:pStyle w:val="70"/>
                    <w:spacing w:line="240" w:lineRule="auto"/>
                    <w:rPr>
                      <w:color w:val="auto"/>
                    </w:rPr>
                  </w:pPr>
                  <w:r>
                    <w:rPr>
                      <w:rFonts w:hint="eastAsia"/>
                      <w:color w:val="auto"/>
                    </w:rPr>
                    <w:t>贮存</w:t>
                  </w:r>
                </w:p>
                <w:p w14:paraId="49DE97B9">
                  <w:pPr>
                    <w:pStyle w:val="70"/>
                    <w:spacing w:line="240" w:lineRule="auto"/>
                    <w:rPr>
                      <w:color w:val="auto"/>
                    </w:rPr>
                  </w:pPr>
                  <w:r>
                    <w:rPr>
                      <w:rFonts w:hint="eastAsia"/>
                      <w:color w:val="auto"/>
                    </w:rPr>
                    <w:t>周期</w:t>
                  </w:r>
                </w:p>
              </w:tc>
            </w:tr>
            <w:tr w14:paraId="2999D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377" w:type="dxa"/>
                  <w:vAlign w:val="center"/>
                </w:tcPr>
                <w:p w14:paraId="3AA96C60">
                  <w:pPr>
                    <w:pStyle w:val="70"/>
                    <w:spacing w:line="240" w:lineRule="auto"/>
                    <w:rPr>
                      <w:color w:val="auto"/>
                    </w:rPr>
                  </w:pPr>
                  <w:r>
                    <w:rPr>
                      <w:color w:val="auto"/>
                    </w:rPr>
                    <w:t>1</w:t>
                  </w:r>
                </w:p>
              </w:tc>
              <w:tc>
                <w:tcPr>
                  <w:tcW w:w="670" w:type="dxa"/>
                  <w:vMerge w:val="restart"/>
                  <w:vAlign w:val="center"/>
                </w:tcPr>
                <w:p w14:paraId="1610DF11">
                  <w:pPr>
                    <w:pStyle w:val="70"/>
                    <w:spacing w:line="240" w:lineRule="auto"/>
                    <w:rPr>
                      <w:color w:val="auto"/>
                    </w:rPr>
                  </w:pPr>
                  <w:r>
                    <w:rPr>
                      <w:color w:val="auto"/>
                    </w:rPr>
                    <w:t>危废仓</w:t>
                  </w:r>
                </w:p>
              </w:tc>
              <w:tc>
                <w:tcPr>
                  <w:tcW w:w="1507" w:type="dxa"/>
                  <w:vAlign w:val="center"/>
                </w:tcPr>
                <w:p w14:paraId="7D653C4C">
                  <w:pPr>
                    <w:widowControl/>
                    <w:adjustRightInd w:val="0"/>
                    <w:snapToGrid w:val="0"/>
                    <w:spacing w:line="240" w:lineRule="auto"/>
                    <w:jc w:val="center"/>
                    <w:rPr>
                      <w:rFonts w:hint="eastAsia" w:eastAsia="宋体"/>
                      <w:color w:val="auto"/>
                      <w:szCs w:val="21"/>
                      <w:lang w:eastAsia="zh-CN"/>
                    </w:rPr>
                  </w:pPr>
                  <w:r>
                    <w:rPr>
                      <w:rFonts w:hint="eastAsia"/>
                      <w:color w:val="auto"/>
                      <w:szCs w:val="21"/>
                      <w:lang w:eastAsia="zh-CN"/>
                    </w:rPr>
                    <w:t>废活性炭</w:t>
                  </w:r>
                </w:p>
              </w:tc>
              <w:tc>
                <w:tcPr>
                  <w:tcW w:w="696" w:type="dxa"/>
                  <w:vAlign w:val="center"/>
                </w:tcPr>
                <w:p w14:paraId="1C05F07E">
                  <w:pPr>
                    <w:widowControl/>
                    <w:adjustRightInd w:val="0"/>
                    <w:snapToGrid w:val="0"/>
                    <w:spacing w:line="240" w:lineRule="auto"/>
                    <w:jc w:val="center"/>
                    <w:rPr>
                      <w:color w:val="auto"/>
                      <w:szCs w:val="21"/>
                    </w:rPr>
                  </w:pPr>
                  <w:r>
                    <w:rPr>
                      <w:color w:val="auto"/>
                      <w:szCs w:val="21"/>
                    </w:rPr>
                    <w:t>HW49</w:t>
                  </w:r>
                  <w:r>
                    <w:rPr>
                      <w:rFonts w:hint="eastAsia"/>
                      <w:color w:val="auto"/>
                      <w:szCs w:val="21"/>
                      <w:lang w:val="en-US" w:eastAsia="zh-CN"/>
                    </w:rPr>
                    <w:t xml:space="preserve"> 其他废物</w:t>
                  </w:r>
                </w:p>
              </w:tc>
              <w:tc>
                <w:tcPr>
                  <w:tcW w:w="902" w:type="dxa"/>
                  <w:vAlign w:val="center"/>
                </w:tcPr>
                <w:p w14:paraId="395AF9D0">
                  <w:pPr>
                    <w:widowControl/>
                    <w:adjustRightInd w:val="0"/>
                    <w:snapToGrid w:val="0"/>
                    <w:spacing w:line="240" w:lineRule="auto"/>
                    <w:jc w:val="center"/>
                    <w:rPr>
                      <w:color w:val="auto"/>
                      <w:szCs w:val="21"/>
                    </w:rPr>
                  </w:pPr>
                  <w:r>
                    <w:rPr>
                      <w:color w:val="auto"/>
                      <w:szCs w:val="21"/>
                    </w:rPr>
                    <w:t>900-039-49</w:t>
                  </w:r>
                </w:p>
              </w:tc>
              <w:tc>
                <w:tcPr>
                  <w:tcW w:w="490" w:type="dxa"/>
                  <w:vMerge w:val="restart"/>
                  <w:vAlign w:val="center"/>
                </w:tcPr>
                <w:p w14:paraId="3BB096D8">
                  <w:pPr>
                    <w:pStyle w:val="70"/>
                    <w:spacing w:line="240" w:lineRule="auto"/>
                    <w:rPr>
                      <w:color w:val="auto"/>
                    </w:rPr>
                  </w:pPr>
                  <w:r>
                    <w:rPr>
                      <w:rFonts w:hint="eastAsia"/>
                      <w:color w:val="auto"/>
                    </w:rPr>
                    <w:t>厂区内</w:t>
                  </w:r>
                </w:p>
              </w:tc>
              <w:tc>
                <w:tcPr>
                  <w:tcW w:w="998" w:type="dxa"/>
                  <w:vAlign w:val="center"/>
                </w:tcPr>
                <w:p w14:paraId="48A5CCA9">
                  <w:pPr>
                    <w:pStyle w:val="70"/>
                    <w:spacing w:line="240" w:lineRule="auto"/>
                    <w:rPr>
                      <w:color w:val="auto"/>
                    </w:rPr>
                  </w:pPr>
                  <w:r>
                    <w:rPr>
                      <w:rFonts w:hint="eastAsia"/>
                      <w:color w:val="auto"/>
                      <w:highlight w:val="none"/>
                      <w:lang w:val="en-US" w:eastAsia="zh-CN"/>
                    </w:rPr>
                    <w:t>1</w:t>
                  </w:r>
                </w:p>
              </w:tc>
              <w:tc>
                <w:tcPr>
                  <w:tcW w:w="998" w:type="dxa"/>
                  <w:vAlign w:val="center"/>
                </w:tcPr>
                <w:p w14:paraId="54FF4643">
                  <w:pPr>
                    <w:pStyle w:val="70"/>
                    <w:spacing w:line="240" w:lineRule="auto"/>
                    <w:rPr>
                      <w:color w:val="auto"/>
                    </w:rPr>
                  </w:pPr>
                  <w:r>
                    <w:rPr>
                      <w:rFonts w:hint="eastAsia"/>
                      <w:color w:val="auto"/>
                      <w:kern w:val="0"/>
                      <w:lang w:val="en-US" w:eastAsia="zh-CN" w:bidi="en-US"/>
                    </w:rPr>
                    <w:t>袋</w:t>
                  </w:r>
                  <w:r>
                    <w:rPr>
                      <w:color w:val="auto"/>
                      <w:kern w:val="0"/>
                      <w:lang w:bidi="en-US"/>
                    </w:rPr>
                    <w:t>装</w:t>
                  </w:r>
                </w:p>
              </w:tc>
              <w:tc>
                <w:tcPr>
                  <w:tcW w:w="797" w:type="dxa"/>
                  <w:vAlign w:val="center"/>
                </w:tcPr>
                <w:p w14:paraId="1B6FC09D">
                  <w:pPr>
                    <w:pStyle w:val="70"/>
                    <w:spacing w:line="240" w:lineRule="auto"/>
                    <w:rPr>
                      <w:rFonts w:hint="default"/>
                      <w:color w:val="auto"/>
                      <w:lang w:val="en-US"/>
                    </w:rPr>
                  </w:pPr>
                  <w:r>
                    <w:rPr>
                      <w:rFonts w:hint="eastAsia"/>
                      <w:color w:val="auto"/>
                      <w:highlight w:val="none"/>
                      <w:lang w:val="en-US" w:eastAsia="zh-CN"/>
                    </w:rPr>
                    <w:t>0.5</w:t>
                  </w:r>
                </w:p>
              </w:tc>
              <w:tc>
                <w:tcPr>
                  <w:tcW w:w="933" w:type="dxa"/>
                  <w:vAlign w:val="center"/>
                </w:tcPr>
                <w:p w14:paraId="4BACDD57">
                  <w:pPr>
                    <w:pStyle w:val="70"/>
                    <w:spacing w:line="240" w:lineRule="auto"/>
                    <w:rPr>
                      <w:rFonts w:hint="eastAsia" w:eastAsia="宋体"/>
                      <w:color w:val="auto"/>
                      <w:lang w:eastAsia="zh-CN"/>
                    </w:rPr>
                  </w:pPr>
                  <w:r>
                    <w:rPr>
                      <w:rFonts w:hint="eastAsia"/>
                      <w:color w:val="auto"/>
                      <w:lang w:val="en-US" w:eastAsia="zh-CN"/>
                    </w:rPr>
                    <w:t>3月</w:t>
                  </w:r>
                </w:p>
              </w:tc>
            </w:tr>
            <w:tr w14:paraId="18422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377" w:type="dxa"/>
                  <w:vAlign w:val="center"/>
                </w:tcPr>
                <w:p w14:paraId="1289B193">
                  <w:pPr>
                    <w:pStyle w:val="70"/>
                    <w:spacing w:line="240" w:lineRule="auto"/>
                    <w:rPr>
                      <w:rFonts w:hint="eastAsia" w:eastAsia="宋体"/>
                      <w:color w:val="auto"/>
                      <w:lang w:eastAsia="zh-CN"/>
                    </w:rPr>
                  </w:pPr>
                  <w:r>
                    <w:rPr>
                      <w:rFonts w:hint="eastAsia"/>
                      <w:color w:val="auto"/>
                      <w:lang w:val="en-US" w:eastAsia="zh-CN"/>
                    </w:rPr>
                    <w:t>2</w:t>
                  </w:r>
                </w:p>
              </w:tc>
              <w:tc>
                <w:tcPr>
                  <w:tcW w:w="670" w:type="dxa"/>
                  <w:vMerge w:val="continue"/>
                  <w:vAlign w:val="center"/>
                </w:tcPr>
                <w:p w14:paraId="4501270A">
                  <w:pPr>
                    <w:pStyle w:val="70"/>
                    <w:spacing w:line="240" w:lineRule="auto"/>
                    <w:rPr>
                      <w:color w:val="auto"/>
                    </w:rPr>
                  </w:pPr>
                </w:p>
              </w:tc>
              <w:tc>
                <w:tcPr>
                  <w:tcW w:w="1507" w:type="dxa"/>
                  <w:vAlign w:val="center"/>
                </w:tcPr>
                <w:p w14:paraId="768032A2">
                  <w:pPr>
                    <w:widowControl/>
                    <w:adjustRightInd w:val="0"/>
                    <w:snapToGrid w:val="0"/>
                    <w:spacing w:line="240" w:lineRule="auto"/>
                    <w:jc w:val="center"/>
                    <w:rPr>
                      <w:color w:val="auto"/>
                      <w:szCs w:val="21"/>
                    </w:rPr>
                  </w:pPr>
                  <w:r>
                    <w:rPr>
                      <w:color w:val="auto"/>
                      <w:szCs w:val="21"/>
                    </w:rPr>
                    <w:t>废</w:t>
                  </w:r>
                  <w:r>
                    <w:rPr>
                      <w:rFonts w:hint="eastAsia"/>
                      <w:color w:val="auto"/>
                      <w:szCs w:val="21"/>
                    </w:rPr>
                    <w:t>润滑油</w:t>
                  </w:r>
                </w:p>
              </w:tc>
              <w:tc>
                <w:tcPr>
                  <w:tcW w:w="696" w:type="dxa"/>
                  <w:vAlign w:val="center"/>
                </w:tcPr>
                <w:p w14:paraId="2325360D">
                  <w:pPr>
                    <w:widowControl/>
                    <w:adjustRightInd w:val="0"/>
                    <w:snapToGrid w:val="0"/>
                    <w:spacing w:line="240" w:lineRule="auto"/>
                    <w:jc w:val="center"/>
                    <w:rPr>
                      <w:color w:val="auto"/>
                      <w:szCs w:val="21"/>
                    </w:rPr>
                  </w:pPr>
                  <w:r>
                    <w:rPr>
                      <w:color w:val="auto"/>
                      <w:szCs w:val="21"/>
                    </w:rPr>
                    <w:t>HW08</w:t>
                  </w:r>
                  <w:r>
                    <w:rPr>
                      <w:rFonts w:hint="eastAsia"/>
                      <w:color w:val="auto"/>
                      <w:szCs w:val="21"/>
                      <w:lang w:val="en-US" w:eastAsia="zh-CN"/>
                    </w:rPr>
                    <w:t xml:space="preserve"> </w:t>
                  </w:r>
                  <w:r>
                    <w:rPr>
                      <w:rFonts w:hint="eastAsia"/>
                      <w:color w:val="auto"/>
                      <w:szCs w:val="21"/>
                    </w:rPr>
                    <w:t>废矿物油与含矿物油废物</w:t>
                  </w:r>
                </w:p>
              </w:tc>
              <w:tc>
                <w:tcPr>
                  <w:tcW w:w="902" w:type="dxa"/>
                  <w:vAlign w:val="center"/>
                </w:tcPr>
                <w:p w14:paraId="7EC8A581">
                  <w:pPr>
                    <w:widowControl/>
                    <w:adjustRightInd w:val="0"/>
                    <w:snapToGrid w:val="0"/>
                    <w:spacing w:line="240" w:lineRule="auto"/>
                    <w:jc w:val="center"/>
                    <w:rPr>
                      <w:color w:val="auto"/>
                      <w:szCs w:val="21"/>
                    </w:rPr>
                  </w:pPr>
                  <w:r>
                    <w:rPr>
                      <w:rFonts w:hint="eastAsia"/>
                      <w:color w:val="auto"/>
                      <w:szCs w:val="21"/>
                    </w:rPr>
                    <w:t>900-2</w:t>
                  </w:r>
                  <w:r>
                    <w:rPr>
                      <w:color w:val="auto"/>
                      <w:szCs w:val="21"/>
                    </w:rPr>
                    <w:t>14</w:t>
                  </w:r>
                  <w:r>
                    <w:rPr>
                      <w:rFonts w:hint="eastAsia"/>
                      <w:color w:val="auto"/>
                      <w:szCs w:val="21"/>
                    </w:rPr>
                    <w:t>-08</w:t>
                  </w:r>
                </w:p>
              </w:tc>
              <w:tc>
                <w:tcPr>
                  <w:tcW w:w="490" w:type="dxa"/>
                  <w:vMerge w:val="continue"/>
                  <w:vAlign w:val="center"/>
                </w:tcPr>
                <w:p w14:paraId="546ABB7A">
                  <w:pPr>
                    <w:pStyle w:val="70"/>
                    <w:spacing w:line="240" w:lineRule="auto"/>
                    <w:rPr>
                      <w:color w:val="auto"/>
                    </w:rPr>
                  </w:pPr>
                </w:p>
              </w:tc>
              <w:tc>
                <w:tcPr>
                  <w:tcW w:w="998" w:type="dxa"/>
                  <w:vAlign w:val="center"/>
                </w:tcPr>
                <w:p w14:paraId="5C5C4FB5">
                  <w:pPr>
                    <w:pStyle w:val="70"/>
                    <w:spacing w:line="240" w:lineRule="auto"/>
                    <w:rPr>
                      <w:rFonts w:hint="default" w:eastAsia="宋体"/>
                      <w:color w:val="auto"/>
                      <w:lang w:val="en-US" w:eastAsia="zh-CN"/>
                    </w:rPr>
                  </w:pPr>
                  <w:r>
                    <w:rPr>
                      <w:rFonts w:hint="eastAsia"/>
                      <w:color w:val="auto"/>
                      <w:lang w:val="en-US" w:eastAsia="zh-CN"/>
                    </w:rPr>
                    <w:t>0.5</w:t>
                  </w:r>
                </w:p>
              </w:tc>
              <w:tc>
                <w:tcPr>
                  <w:tcW w:w="998" w:type="dxa"/>
                  <w:vMerge w:val="restart"/>
                  <w:vAlign w:val="center"/>
                </w:tcPr>
                <w:p w14:paraId="228E1FC6">
                  <w:pPr>
                    <w:pStyle w:val="70"/>
                    <w:spacing w:line="240" w:lineRule="auto"/>
                    <w:rPr>
                      <w:color w:val="auto"/>
                      <w:kern w:val="0"/>
                      <w:lang w:bidi="en-US"/>
                    </w:rPr>
                  </w:pPr>
                  <w:r>
                    <w:rPr>
                      <w:color w:val="auto"/>
                      <w:kern w:val="0"/>
                      <w:lang w:bidi="en-US"/>
                    </w:rPr>
                    <w:t>桶装</w:t>
                  </w:r>
                </w:p>
              </w:tc>
              <w:tc>
                <w:tcPr>
                  <w:tcW w:w="797" w:type="dxa"/>
                  <w:vAlign w:val="center"/>
                </w:tcPr>
                <w:p w14:paraId="68E22604">
                  <w:pPr>
                    <w:pStyle w:val="70"/>
                    <w:spacing w:line="240" w:lineRule="auto"/>
                    <w:rPr>
                      <w:rFonts w:hint="default" w:eastAsia="宋体"/>
                      <w:color w:val="auto"/>
                      <w:lang w:val="en-US" w:eastAsia="zh-CN"/>
                    </w:rPr>
                  </w:pPr>
                  <w:r>
                    <w:rPr>
                      <w:rFonts w:hint="eastAsia"/>
                      <w:color w:val="auto"/>
                      <w:lang w:val="en-US" w:eastAsia="zh-CN"/>
                    </w:rPr>
                    <w:t>0.01</w:t>
                  </w:r>
                </w:p>
              </w:tc>
              <w:tc>
                <w:tcPr>
                  <w:tcW w:w="933" w:type="dxa"/>
                  <w:vAlign w:val="center"/>
                </w:tcPr>
                <w:p w14:paraId="087188CF">
                  <w:pPr>
                    <w:pStyle w:val="70"/>
                    <w:spacing w:line="240" w:lineRule="auto"/>
                    <w:rPr>
                      <w:color w:val="auto"/>
                    </w:rPr>
                  </w:pPr>
                  <w:r>
                    <w:rPr>
                      <w:rFonts w:hint="eastAsia"/>
                      <w:color w:val="auto"/>
                      <w:lang w:val="en-US" w:eastAsia="zh-CN"/>
                    </w:rPr>
                    <w:t>1年</w:t>
                  </w:r>
                </w:p>
              </w:tc>
            </w:tr>
            <w:tr w14:paraId="0BF5A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377" w:type="dxa"/>
                  <w:vAlign w:val="center"/>
                </w:tcPr>
                <w:p w14:paraId="342B1BF0">
                  <w:pPr>
                    <w:pStyle w:val="70"/>
                    <w:spacing w:line="240" w:lineRule="auto"/>
                    <w:rPr>
                      <w:rFonts w:hint="eastAsia" w:eastAsia="宋体"/>
                      <w:color w:val="auto"/>
                      <w:lang w:val="en-US" w:eastAsia="zh-CN"/>
                    </w:rPr>
                  </w:pPr>
                  <w:r>
                    <w:rPr>
                      <w:rFonts w:hint="eastAsia"/>
                      <w:color w:val="auto"/>
                      <w:lang w:val="en-US" w:eastAsia="zh-CN"/>
                    </w:rPr>
                    <w:t>3</w:t>
                  </w:r>
                </w:p>
              </w:tc>
              <w:tc>
                <w:tcPr>
                  <w:tcW w:w="670" w:type="dxa"/>
                  <w:vMerge w:val="continue"/>
                  <w:vAlign w:val="center"/>
                </w:tcPr>
                <w:p w14:paraId="04C3670A">
                  <w:pPr>
                    <w:pStyle w:val="70"/>
                    <w:spacing w:line="240" w:lineRule="auto"/>
                    <w:rPr>
                      <w:color w:val="auto"/>
                    </w:rPr>
                  </w:pPr>
                </w:p>
              </w:tc>
              <w:tc>
                <w:tcPr>
                  <w:tcW w:w="1507" w:type="dxa"/>
                  <w:vAlign w:val="center"/>
                </w:tcPr>
                <w:p w14:paraId="704E3A7E">
                  <w:pPr>
                    <w:widowControl/>
                    <w:adjustRightInd w:val="0"/>
                    <w:snapToGrid w:val="0"/>
                    <w:spacing w:line="240" w:lineRule="auto"/>
                    <w:jc w:val="center"/>
                    <w:rPr>
                      <w:color w:val="auto"/>
                      <w:szCs w:val="21"/>
                    </w:rPr>
                  </w:pPr>
                  <w:r>
                    <w:rPr>
                      <w:color w:val="auto"/>
                      <w:szCs w:val="21"/>
                    </w:rPr>
                    <w:t>废</w:t>
                  </w:r>
                  <w:r>
                    <w:rPr>
                      <w:rFonts w:hint="eastAsia"/>
                      <w:color w:val="auto"/>
                      <w:szCs w:val="21"/>
                    </w:rPr>
                    <w:t>润滑油</w:t>
                  </w:r>
                  <w:r>
                    <w:rPr>
                      <w:color w:val="auto"/>
                      <w:szCs w:val="21"/>
                    </w:rPr>
                    <w:t>包装物</w:t>
                  </w:r>
                </w:p>
              </w:tc>
              <w:tc>
                <w:tcPr>
                  <w:tcW w:w="696" w:type="dxa"/>
                  <w:vAlign w:val="center"/>
                </w:tcPr>
                <w:p w14:paraId="32CAC8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color w:val="auto"/>
                      <w:szCs w:val="21"/>
                    </w:rPr>
                  </w:pPr>
                  <w:r>
                    <w:rPr>
                      <w:rFonts w:hint="eastAsia" w:ascii="Times New Roman" w:hAnsi="Times New Roman" w:eastAsia="宋体" w:cs="Times New Roman"/>
                      <w:color w:val="auto"/>
                      <w:spacing w:val="-2"/>
                      <w:kern w:val="2"/>
                      <w:sz w:val="21"/>
                      <w:szCs w:val="21"/>
                      <w:highlight w:val="none"/>
                      <w:lang w:val="en-US" w:eastAsia="zh-CN" w:bidi="ar-SA"/>
                    </w:rPr>
                    <w:t>HW</w:t>
                  </w:r>
                  <w:r>
                    <w:rPr>
                      <w:rFonts w:hint="eastAsia" w:eastAsia="宋体" w:cs="Times New Roman"/>
                      <w:color w:val="auto"/>
                      <w:spacing w:val="-2"/>
                      <w:kern w:val="2"/>
                      <w:sz w:val="21"/>
                      <w:szCs w:val="21"/>
                      <w:highlight w:val="none"/>
                      <w:lang w:val="en-US" w:eastAsia="zh-CN" w:bidi="ar-SA"/>
                    </w:rPr>
                    <w:t>0</w:t>
                  </w:r>
                  <w:r>
                    <w:rPr>
                      <w:rFonts w:hint="eastAsia" w:ascii="Times New Roman" w:hAnsi="Times New Roman" w:eastAsia="宋体" w:cs="Times New Roman"/>
                      <w:color w:val="auto"/>
                      <w:spacing w:val="-2"/>
                      <w:kern w:val="2"/>
                      <w:sz w:val="21"/>
                      <w:szCs w:val="21"/>
                      <w:highlight w:val="none"/>
                      <w:lang w:val="en-US" w:eastAsia="zh-CN" w:bidi="ar-SA"/>
                    </w:rPr>
                    <w:t>8</w:t>
                  </w:r>
                  <w:r>
                    <w:rPr>
                      <w:rFonts w:hint="eastAsia" w:ascii="Times New Roman" w:hAnsi="Times New Roman" w:eastAsia="宋体" w:cs="宋体"/>
                      <w:color w:val="auto"/>
                      <w:kern w:val="0"/>
                      <w:sz w:val="21"/>
                      <w:szCs w:val="21"/>
                      <w:highlight w:val="none"/>
                      <w:lang w:val="en-US" w:eastAsia="zh-CN" w:bidi="ar"/>
                    </w:rPr>
                    <w:t>废矿物油与含矿物油废物</w:t>
                  </w:r>
                </w:p>
              </w:tc>
              <w:tc>
                <w:tcPr>
                  <w:tcW w:w="902" w:type="dxa"/>
                  <w:vAlign w:val="center"/>
                </w:tcPr>
                <w:p w14:paraId="42C10BCB">
                  <w:pPr>
                    <w:widowControl/>
                    <w:adjustRightInd w:val="0"/>
                    <w:snapToGrid w:val="0"/>
                    <w:spacing w:line="240" w:lineRule="auto"/>
                    <w:jc w:val="center"/>
                    <w:rPr>
                      <w:rFonts w:hint="default"/>
                      <w:color w:val="auto"/>
                      <w:szCs w:val="21"/>
                      <w:lang w:val="en-US"/>
                    </w:rPr>
                  </w:pPr>
                  <w:r>
                    <w:rPr>
                      <w:rFonts w:hint="eastAsia"/>
                      <w:color w:val="auto"/>
                      <w:szCs w:val="21"/>
                    </w:rPr>
                    <w:t>9</w:t>
                  </w:r>
                  <w:r>
                    <w:rPr>
                      <w:color w:val="auto"/>
                      <w:szCs w:val="21"/>
                    </w:rPr>
                    <w:t>00-</w:t>
                  </w:r>
                  <w:r>
                    <w:rPr>
                      <w:rFonts w:hint="eastAsia"/>
                      <w:color w:val="auto"/>
                      <w:szCs w:val="21"/>
                      <w:lang w:val="en-US" w:eastAsia="zh-CN"/>
                    </w:rPr>
                    <w:t>2</w:t>
                  </w:r>
                  <w:r>
                    <w:rPr>
                      <w:color w:val="auto"/>
                      <w:szCs w:val="21"/>
                    </w:rPr>
                    <w:t>4</w:t>
                  </w:r>
                  <w:r>
                    <w:rPr>
                      <w:rFonts w:hint="eastAsia"/>
                      <w:color w:val="auto"/>
                      <w:szCs w:val="21"/>
                      <w:lang w:val="en-US" w:eastAsia="zh-CN"/>
                    </w:rPr>
                    <w:t>9</w:t>
                  </w:r>
                  <w:r>
                    <w:rPr>
                      <w:color w:val="auto"/>
                      <w:szCs w:val="21"/>
                    </w:rPr>
                    <w:t>-</w:t>
                  </w:r>
                  <w:r>
                    <w:rPr>
                      <w:rFonts w:hint="eastAsia"/>
                      <w:color w:val="auto"/>
                      <w:szCs w:val="21"/>
                      <w:lang w:val="en-US" w:eastAsia="zh-CN"/>
                    </w:rPr>
                    <w:t>08</w:t>
                  </w:r>
                </w:p>
              </w:tc>
              <w:tc>
                <w:tcPr>
                  <w:tcW w:w="490" w:type="dxa"/>
                  <w:vMerge w:val="continue"/>
                  <w:vAlign w:val="center"/>
                </w:tcPr>
                <w:p w14:paraId="73B493D3">
                  <w:pPr>
                    <w:pStyle w:val="70"/>
                    <w:spacing w:line="240" w:lineRule="auto"/>
                    <w:rPr>
                      <w:color w:val="auto"/>
                    </w:rPr>
                  </w:pPr>
                </w:p>
              </w:tc>
              <w:tc>
                <w:tcPr>
                  <w:tcW w:w="998" w:type="dxa"/>
                  <w:vAlign w:val="center"/>
                </w:tcPr>
                <w:p w14:paraId="1A1DDDE4">
                  <w:pPr>
                    <w:pStyle w:val="70"/>
                    <w:spacing w:line="240" w:lineRule="auto"/>
                    <w:rPr>
                      <w:rFonts w:hint="default" w:eastAsia="宋体"/>
                      <w:color w:val="auto"/>
                      <w:lang w:val="en-US" w:eastAsia="zh-CN"/>
                    </w:rPr>
                  </w:pPr>
                  <w:r>
                    <w:rPr>
                      <w:rFonts w:hint="eastAsia"/>
                      <w:color w:val="auto"/>
                      <w:lang w:val="en-US" w:eastAsia="zh-CN"/>
                    </w:rPr>
                    <w:t>0.5</w:t>
                  </w:r>
                </w:p>
              </w:tc>
              <w:tc>
                <w:tcPr>
                  <w:tcW w:w="998" w:type="dxa"/>
                  <w:vMerge w:val="continue"/>
                  <w:vAlign w:val="center"/>
                </w:tcPr>
                <w:p w14:paraId="274E6318">
                  <w:pPr>
                    <w:pStyle w:val="70"/>
                    <w:spacing w:line="240" w:lineRule="auto"/>
                    <w:rPr>
                      <w:color w:val="auto"/>
                      <w:kern w:val="0"/>
                      <w:lang w:bidi="en-US"/>
                    </w:rPr>
                  </w:pPr>
                </w:p>
              </w:tc>
              <w:tc>
                <w:tcPr>
                  <w:tcW w:w="797" w:type="dxa"/>
                  <w:vAlign w:val="center"/>
                </w:tcPr>
                <w:p w14:paraId="23419E84">
                  <w:pPr>
                    <w:pStyle w:val="70"/>
                    <w:spacing w:line="240" w:lineRule="auto"/>
                    <w:rPr>
                      <w:rFonts w:hint="default" w:eastAsia="宋体"/>
                      <w:color w:val="auto"/>
                      <w:lang w:val="en-US" w:eastAsia="zh-CN"/>
                    </w:rPr>
                  </w:pPr>
                  <w:r>
                    <w:rPr>
                      <w:rFonts w:hint="eastAsia"/>
                      <w:color w:val="auto"/>
                      <w:lang w:val="en-US" w:eastAsia="zh-CN"/>
                    </w:rPr>
                    <w:t>0.001</w:t>
                  </w:r>
                </w:p>
              </w:tc>
              <w:tc>
                <w:tcPr>
                  <w:tcW w:w="933" w:type="dxa"/>
                  <w:vAlign w:val="center"/>
                </w:tcPr>
                <w:p w14:paraId="4DD44F39">
                  <w:pPr>
                    <w:pStyle w:val="70"/>
                    <w:spacing w:line="240" w:lineRule="auto"/>
                    <w:rPr>
                      <w:color w:val="auto"/>
                    </w:rPr>
                  </w:pPr>
                  <w:r>
                    <w:rPr>
                      <w:rFonts w:hint="eastAsia"/>
                      <w:color w:val="auto"/>
                      <w:lang w:val="en-US" w:eastAsia="zh-CN"/>
                    </w:rPr>
                    <w:t>1年</w:t>
                  </w:r>
                </w:p>
              </w:tc>
            </w:tr>
            <w:tr w14:paraId="29FB2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7" w:hRule="atLeast"/>
              </w:trPr>
              <w:tc>
                <w:tcPr>
                  <w:tcW w:w="377" w:type="dxa"/>
                  <w:vAlign w:val="center"/>
                </w:tcPr>
                <w:p w14:paraId="44FE10E2">
                  <w:pPr>
                    <w:pStyle w:val="70"/>
                    <w:spacing w:line="240" w:lineRule="auto"/>
                    <w:rPr>
                      <w:rFonts w:hint="eastAsia" w:eastAsia="宋体"/>
                      <w:color w:val="auto"/>
                      <w:lang w:eastAsia="zh-CN"/>
                    </w:rPr>
                  </w:pPr>
                  <w:r>
                    <w:rPr>
                      <w:rFonts w:hint="eastAsia"/>
                      <w:color w:val="auto"/>
                      <w:lang w:val="en-US" w:eastAsia="zh-CN"/>
                    </w:rPr>
                    <w:t>4</w:t>
                  </w:r>
                </w:p>
              </w:tc>
              <w:tc>
                <w:tcPr>
                  <w:tcW w:w="670" w:type="dxa"/>
                  <w:vMerge w:val="continue"/>
                  <w:vAlign w:val="center"/>
                </w:tcPr>
                <w:p w14:paraId="3DE2FD7F">
                  <w:pPr>
                    <w:pStyle w:val="70"/>
                    <w:spacing w:line="240" w:lineRule="auto"/>
                    <w:rPr>
                      <w:color w:val="auto"/>
                    </w:rPr>
                  </w:pPr>
                </w:p>
              </w:tc>
              <w:tc>
                <w:tcPr>
                  <w:tcW w:w="1507" w:type="dxa"/>
                  <w:vAlign w:val="center"/>
                </w:tcPr>
                <w:p w14:paraId="6FE003AC">
                  <w:pPr>
                    <w:widowControl/>
                    <w:adjustRightInd w:val="0"/>
                    <w:snapToGrid w:val="0"/>
                    <w:spacing w:line="240" w:lineRule="auto"/>
                    <w:jc w:val="center"/>
                    <w:rPr>
                      <w:color w:val="auto"/>
                      <w:szCs w:val="21"/>
                    </w:rPr>
                  </w:pPr>
                  <w:r>
                    <w:rPr>
                      <w:rFonts w:hint="eastAsia"/>
                      <w:color w:val="auto"/>
                      <w:szCs w:val="21"/>
                    </w:rPr>
                    <w:t>除油废液</w:t>
                  </w:r>
                </w:p>
              </w:tc>
              <w:tc>
                <w:tcPr>
                  <w:tcW w:w="696" w:type="dxa"/>
                  <w:vAlign w:val="center"/>
                </w:tcPr>
                <w:p w14:paraId="43E64291">
                  <w:pPr>
                    <w:widowControl/>
                    <w:adjustRightInd w:val="0"/>
                    <w:snapToGrid w:val="0"/>
                    <w:spacing w:line="240" w:lineRule="auto"/>
                    <w:jc w:val="center"/>
                    <w:rPr>
                      <w:color w:val="auto"/>
                      <w:szCs w:val="21"/>
                    </w:rPr>
                  </w:pPr>
                  <w:r>
                    <w:rPr>
                      <w:color w:val="auto"/>
                      <w:szCs w:val="21"/>
                    </w:rPr>
                    <w:t>HW17</w:t>
                  </w:r>
                  <w:r>
                    <w:rPr>
                      <w:rFonts w:hint="eastAsia"/>
                      <w:color w:val="auto"/>
                      <w:szCs w:val="21"/>
                      <w:lang w:val="en-US" w:eastAsia="zh-CN"/>
                    </w:rPr>
                    <w:t xml:space="preserve"> 表面处理废物</w:t>
                  </w:r>
                </w:p>
              </w:tc>
              <w:tc>
                <w:tcPr>
                  <w:tcW w:w="902" w:type="dxa"/>
                  <w:vAlign w:val="center"/>
                </w:tcPr>
                <w:p w14:paraId="449174EC">
                  <w:pPr>
                    <w:widowControl/>
                    <w:adjustRightInd w:val="0"/>
                    <w:snapToGrid w:val="0"/>
                    <w:spacing w:line="240" w:lineRule="auto"/>
                    <w:jc w:val="center"/>
                    <w:rPr>
                      <w:color w:val="auto"/>
                      <w:szCs w:val="21"/>
                    </w:rPr>
                  </w:pPr>
                  <w:r>
                    <w:rPr>
                      <w:color w:val="auto"/>
                      <w:szCs w:val="21"/>
                    </w:rPr>
                    <w:t>336-064-17</w:t>
                  </w:r>
                </w:p>
              </w:tc>
              <w:tc>
                <w:tcPr>
                  <w:tcW w:w="490" w:type="dxa"/>
                  <w:vMerge w:val="continue"/>
                  <w:vAlign w:val="center"/>
                </w:tcPr>
                <w:p w14:paraId="4AFD64DB">
                  <w:pPr>
                    <w:pStyle w:val="70"/>
                    <w:spacing w:line="240" w:lineRule="auto"/>
                    <w:rPr>
                      <w:color w:val="auto"/>
                    </w:rPr>
                  </w:pPr>
                </w:p>
              </w:tc>
              <w:tc>
                <w:tcPr>
                  <w:tcW w:w="998" w:type="dxa"/>
                  <w:vAlign w:val="center"/>
                </w:tcPr>
                <w:p w14:paraId="1D302143">
                  <w:pPr>
                    <w:pStyle w:val="70"/>
                    <w:spacing w:line="240" w:lineRule="auto"/>
                    <w:rPr>
                      <w:rFonts w:hint="eastAsia" w:eastAsia="宋体"/>
                      <w:color w:val="auto"/>
                      <w:lang w:val="en-US" w:eastAsia="zh-CN"/>
                    </w:rPr>
                  </w:pPr>
                  <w:r>
                    <w:rPr>
                      <w:rFonts w:hint="eastAsia"/>
                      <w:color w:val="auto"/>
                      <w:lang w:val="en-US" w:eastAsia="zh-CN"/>
                    </w:rPr>
                    <w:t>2</w:t>
                  </w:r>
                </w:p>
              </w:tc>
              <w:tc>
                <w:tcPr>
                  <w:tcW w:w="998" w:type="dxa"/>
                  <w:vAlign w:val="center"/>
                </w:tcPr>
                <w:p w14:paraId="536CACF5">
                  <w:pPr>
                    <w:pStyle w:val="70"/>
                    <w:spacing w:line="240" w:lineRule="auto"/>
                    <w:rPr>
                      <w:rFonts w:hint="eastAsia" w:eastAsia="宋体"/>
                      <w:color w:val="auto"/>
                      <w:kern w:val="0"/>
                      <w:lang w:val="en-US" w:eastAsia="zh-CN" w:bidi="en-US"/>
                    </w:rPr>
                  </w:pPr>
                  <w:r>
                    <w:rPr>
                      <w:color w:val="auto"/>
                      <w:kern w:val="0"/>
                      <w:lang w:bidi="en-US"/>
                    </w:rPr>
                    <w:t>桶</w:t>
                  </w:r>
                  <w:r>
                    <w:rPr>
                      <w:rFonts w:hint="eastAsia"/>
                      <w:color w:val="auto"/>
                      <w:kern w:val="0"/>
                      <w:lang w:val="en-US" w:eastAsia="zh-CN" w:bidi="en-US"/>
                    </w:rPr>
                    <w:t>装</w:t>
                  </w:r>
                </w:p>
              </w:tc>
              <w:tc>
                <w:tcPr>
                  <w:tcW w:w="797" w:type="dxa"/>
                  <w:vAlign w:val="center"/>
                </w:tcPr>
                <w:p w14:paraId="55EC861B">
                  <w:pPr>
                    <w:widowControl/>
                    <w:adjustRightInd w:val="0"/>
                    <w:snapToGrid w:val="0"/>
                    <w:spacing w:line="240" w:lineRule="auto"/>
                    <w:jc w:val="center"/>
                    <w:rPr>
                      <w:rFonts w:hint="eastAsia" w:eastAsia="宋体"/>
                      <w:color w:val="auto"/>
                      <w:lang w:eastAsia="zh-CN"/>
                    </w:rPr>
                  </w:pPr>
                  <w:r>
                    <w:rPr>
                      <w:color w:val="auto"/>
                      <w:kern w:val="0"/>
                      <w:szCs w:val="21"/>
                    </w:rPr>
                    <w:t>1</w:t>
                  </w:r>
                </w:p>
              </w:tc>
              <w:tc>
                <w:tcPr>
                  <w:tcW w:w="933" w:type="dxa"/>
                  <w:vAlign w:val="center"/>
                </w:tcPr>
                <w:p w14:paraId="02F82FC0">
                  <w:pPr>
                    <w:pStyle w:val="70"/>
                    <w:spacing w:line="240" w:lineRule="auto"/>
                    <w:rPr>
                      <w:rFonts w:hint="default" w:eastAsia="宋体"/>
                      <w:color w:val="auto"/>
                      <w:lang w:val="en-US" w:eastAsia="zh-CN"/>
                    </w:rPr>
                  </w:pPr>
                  <w:r>
                    <w:rPr>
                      <w:rFonts w:hint="eastAsia"/>
                      <w:color w:val="auto"/>
                      <w:lang w:val="en-US" w:eastAsia="zh-CN"/>
                    </w:rPr>
                    <w:t>1月</w:t>
                  </w:r>
                </w:p>
              </w:tc>
            </w:tr>
            <w:tr w14:paraId="7C8A0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2" w:hRule="atLeast"/>
              </w:trPr>
              <w:tc>
                <w:tcPr>
                  <w:tcW w:w="377" w:type="dxa"/>
                  <w:vAlign w:val="center"/>
                </w:tcPr>
                <w:p w14:paraId="28D78D80">
                  <w:pPr>
                    <w:pStyle w:val="70"/>
                    <w:spacing w:line="240" w:lineRule="auto"/>
                    <w:rPr>
                      <w:rFonts w:hint="eastAsia" w:eastAsia="宋体"/>
                      <w:color w:val="auto"/>
                      <w:lang w:eastAsia="zh-CN"/>
                    </w:rPr>
                  </w:pPr>
                  <w:r>
                    <w:rPr>
                      <w:rFonts w:hint="eastAsia"/>
                      <w:color w:val="auto"/>
                      <w:lang w:val="en-US" w:eastAsia="zh-CN"/>
                    </w:rPr>
                    <w:t>5</w:t>
                  </w:r>
                </w:p>
              </w:tc>
              <w:tc>
                <w:tcPr>
                  <w:tcW w:w="670" w:type="dxa"/>
                  <w:vMerge w:val="continue"/>
                  <w:vAlign w:val="center"/>
                </w:tcPr>
                <w:p w14:paraId="27B01DFD">
                  <w:pPr>
                    <w:pStyle w:val="70"/>
                    <w:spacing w:line="240" w:lineRule="auto"/>
                    <w:rPr>
                      <w:color w:val="auto"/>
                    </w:rPr>
                  </w:pPr>
                </w:p>
              </w:tc>
              <w:tc>
                <w:tcPr>
                  <w:tcW w:w="1507" w:type="dxa"/>
                  <w:vAlign w:val="center"/>
                </w:tcPr>
                <w:p w14:paraId="755E400C">
                  <w:pPr>
                    <w:widowControl/>
                    <w:adjustRightInd w:val="0"/>
                    <w:snapToGrid w:val="0"/>
                    <w:spacing w:line="240" w:lineRule="auto"/>
                    <w:jc w:val="center"/>
                    <w:rPr>
                      <w:color w:val="auto"/>
                      <w:szCs w:val="21"/>
                    </w:rPr>
                  </w:pPr>
                  <w:r>
                    <w:rPr>
                      <w:rFonts w:hint="eastAsia"/>
                      <w:color w:val="auto"/>
                      <w:szCs w:val="21"/>
                    </w:rPr>
                    <w:t>陶化废液</w:t>
                  </w:r>
                </w:p>
              </w:tc>
              <w:tc>
                <w:tcPr>
                  <w:tcW w:w="696" w:type="dxa"/>
                  <w:vAlign w:val="center"/>
                </w:tcPr>
                <w:p w14:paraId="625934DB">
                  <w:pPr>
                    <w:widowControl/>
                    <w:adjustRightInd w:val="0"/>
                    <w:snapToGrid w:val="0"/>
                    <w:spacing w:line="240" w:lineRule="auto"/>
                    <w:jc w:val="center"/>
                    <w:rPr>
                      <w:color w:val="auto"/>
                      <w:szCs w:val="21"/>
                    </w:rPr>
                  </w:pPr>
                  <w:r>
                    <w:rPr>
                      <w:color w:val="auto"/>
                      <w:szCs w:val="21"/>
                    </w:rPr>
                    <w:t>HW17</w:t>
                  </w:r>
                  <w:r>
                    <w:rPr>
                      <w:rFonts w:hint="eastAsia"/>
                      <w:color w:val="auto"/>
                      <w:szCs w:val="21"/>
                      <w:lang w:val="en-US" w:eastAsia="zh-CN"/>
                    </w:rPr>
                    <w:t>表面处理废物</w:t>
                  </w:r>
                </w:p>
              </w:tc>
              <w:tc>
                <w:tcPr>
                  <w:tcW w:w="902" w:type="dxa"/>
                  <w:vAlign w:val="center"/>
                </w:tcPr>
                <w:p w14:paraId="2A4C5029">
                  <w:pPr>
                    <w:widowControl/>
                    <w:adjustRightInd w:val="0"/>
                    <w:snapToGrid w:val="0"/>
                    <w:spacing w:line="240" w:lineRule="auto"/>
                    <w:jc w:val="center"/>
                    <w:rPr>
                      <w:color w:val="auto"/>
                      <w:szCs w:val="21"/>
                    </w:rPr>
                  </w:pPr>
                  <w:r>
                    <w:rPr>
                      <w:color w:val="auto"/>
                      <w:szCs w:val="21"/>
                    </w:rPr>
                    <w:t>336-064-17</w:t>
                  </w:r>
                </w:p>
              </w:tc>
              <w:tc>
                <w:tcPr>
                  <w:tcW w:w="490" w:type="dxa"/>
                  <w:vMerge w:val="continue"/>
                  <w:vAlign w:val="center"/>
                </w:tcPr>
                <w:p w14:paraId="7976C26C">
                  <w:pPr>
                    <w:pStyle w:val="70"/>
                    <w:spacing w:line="240" w:lineRule="auto"/>
                    <w:rPr>
                      <w:color w:val="auto"/>
                    </w:rPr>
                  </w:pPr>
                </w:p>
              </w:tc>
              <w:tc>
                <w:tcPr>
                  <w:tcW w:w="998" w:type="dxa"/>
                  <w:vAlign w:val="center"/>
                </w:tcPr>
                <w:p w14:paraId="11C19852">
                  <w:pPr>
                    <w:pStyle w:val="70"/>
                    <w:spacing w:line="240" w:lineRule="auto"/>
                    <w:rPr>
                      <w:rFonts w:hint="default" w:eastAsia="宋体"/>
                      <w:color w:val="auto"/>
                      <w:lang w:val="en-US" w:eastAsia="zh-CN"/>
                    </w:rPr>
                  </w:pPr>
                  <w:r>
                    <w:rPr>
                      <w:rFonts w:hint="eastAsia"/>
                      <w:color w:val="auto"/>
                      <w:lang w:val="en-US" w:eastAsia="zh-CN"/>
                    </w:rPr>
                    <w:t>0.5</w:t>
                  </w:r>
                </w:p>
              </w:tc>
              <w:tc>
                <w:tcPr>
                  <w:tcW w:w="998" w:type="dxa"/>
                  <w:vAlign w:val="center"/>
                </w:tcPr>
                <w:p w14:paraId="1B5E03DB">
                  <w:pPr>
                    <w:pStyle w:val="70"/>
                    <w:spacing w:line="240" w:lineRule="auto"/>
                    <w:rPr>
                      <w:color w:val="auto"/>
                      <w:kern w:val="0"/>
                      <w:lang w:bidi="en-US"/>
                    </w:rPr>
                  </w:pPr>
                  <w:r>
                    <w:rPr>
                      <w:color w:val="auto"/>
                      <w:kern w:val="0"/>
                      <w:lang w:bidi="en-US"/>
                    </w:rPr>
                    <w:t>桶</w:t>
                  </w:r>
                  <w:r>
                    <w:rPr>
                      <w:rFonts w:hint="eastAsia"/>
                      <w:color w:val="auto"/>
                      <w:kern w:val="0"/>
                      <w:lang w:val="en-US" w:eastAsia="zh-CN" w:bidi="en-US"/>
                    </w:rPr>
                    <w:t>装</w:t>
                  </w:r>
                </w:p>
              </w:tc>
              <w:tc>
                <w:tcPr>
                  <w:tcW w:w="797" w:type="dxa"/>
                  <w:vAlign w:val="center"/>
                </w:tcPr>
                <w:p w14:paraId="6CA86BBE">
                  <w:pPr>
                    <w:widowControl/>
                    <w:adjustRightInd w:val="0"/>
                    <w:snapToGrid w:val="0"/>
                    <w:spacing w:line="240" w:lineRule="auto"/>
                    <w:jc w:val="center"/>
                    <w:rPr>
                      <w:rFonts w:hint="default" w:eastAsia="宋体"/>
                      <w:color w:val="auto"/>
                      <w:lang w:val="en-US" w:eastAsia="zh-CN"/>
                    </w:rPr>
                  </w:pPr>
                  <w:r>
                    <w:rPr>
                      <w:rFonts w:hint="eastAsia"/>
                      <w:color w:val="auto"/>
                      <w:kern w:val="0"/>
                      <w:szCs w:val="21"/>
                      <w:lang w:val="en-US" w:eastAsia="zh-CN"/>
                    </w:rPr>
                    <w:t>0</w:t>
                  </w:r>
                  <w:r>
                    <w:rPr>
                      <w:color w:val="auto"/>
                      <w:kern w:val="0"/>
                      <w:szCs w:val="21"/>
                    </w:rPr>
                    <w:t>.</w:t>
                  </w:r>
                  <w:r>
                    <w:rPr>
                      <w:rFonts w:hint="eastAsia"/>
                      <w:color w:val="auto"/>
                      <w:kern w:val="0"/>
                      <w:szCs w:val="21"/>
                      <w:lang w:val="en-US" w:eastAsia="zh-CN"/>
                    </w:rPr>
                    <w:t>25</w:t>
                  </w:r>
                </w:p>
              </w:tc>
              <w:tc>
                <w:tcPr>
                  <w:tcW w:w="933" w:type="dxa"/>
                  <w:vAlign w:val="center"/>
                </w:tcPr>
                <w:p w14:paraId="0D3798A0">
                  <w:pPr>
                    <w:pStyle w:val="70"/>
                    <w:spacing w:line="240" w:lineRule="auto"/>
                    <w:rPr>
                      <w:rFonts w:hint="default" w:eastAsia="宋体"/>
                      <w:color w:val="auto"/>
                      <w:lang w:val="en-US" w:eastAsia="zh-CN"/>
                    </w:rPr>
                  </w:pPr>
                  <w:r>
                    <w:rPr>
                      <w:rFonts w:hint="eastAsia"/>
                      <w:color w:val="auto"/>
                      <w:lang w:val="en-US" w:eastAsia="zh-CN"/>
                    </w:rPr>
                    <w:t>1月</w:t>
                  </w:r>
                </w:p>
              </w:tc>
            </w:tr>
          </w:tbl>
          <w:p w14:paraId="16542F7C">
            <w:pPr>
              <w:pStyle w:val="34"/>
              <w:spacing w:after="0" w:line="360" w:lineRule="auto"/>
              <w:ind w:left="0" w:leftChars="0" w:firstLine="422"/>
              <w:rPr>
                <w:rFonts w:hint="eastAsia"/>
                <w:color w:val="auto"/>
                <w:sz w:val="21"/>
                <w:szCs w:val="21"/>
                <w:highlight w:val="none"/>
                <w:lang w:val="en-US" w:eastAsia="zh-CN"/>
              </w:rPr>
            </w:pPr>
            <w:r>
              <w:rPr>
                <w:rFonts w:hint="eastAsia"/>
                <w:b/>
                <w:bCs/>
                <w:color w:val="auto"/>
                <w:sz w:val="21"/>
                <w:szCs w:val="21"/>
                <w:highlight w:val="none"/>
                <w:lang w:val="en-US" w:eastAsia="zh-CN"/>
              </w:rPr>
              <w:t>五、环境风险分析</w:t>
            </w:r>
          </w:p>
          <w:p w14:paraId="3CA7861B">
            <w:pPr>
              <w:pStyle w:val="46"/>
              <w:spacing w:line="360" w:lineRule="auto"/>
              <w:ind w:firstLine="420" w:firstLineChars="200"/>
              <w:jc w:val="both"/>
              <w:rPr>
                <w:rFonts w:hint="eastAsia" w:ascii="Times New Roman" w:hAnsi="Times New Roman" w:cs="Times New Roman"/>
                <w:color w:val="auto"/>
                <w:sz w:val="21"/>
                <w:szCs w:val="21"/>
                <w:highlight w:val="none"/>
              </w:rPr>
            </w:pPr>
            <w:bookmarkStart w:id="7" w:name="六、项目对敏感保护目标的影响分析"/>
            <w:bookmarkEnd w:id="7"/>
            <w:r>
              <w:rPr>
                <w:rFonts w:ascii="Times New Roman" w:hAnsi="Times New Roman" w:cs="Times New Roman"/>
                <w:color w:val="auto"/>
                <w:sz w:val="21"/>
                <w:szCs w:val="21"/>
                <w:highlight w:val="none"/>
              </w:rPr>
              <w:t>根据《建设项目环境风险评价技术导则》（HJ169-2018）进行判断，</w:t>
            </w:r>
            <w:r>
              <w:rPr>
                <w:rFonts w:hint="eastAsia" w:ascii="Times New Roman" w:hAnsi="Times New Roman" w:cs="Times New Roman"/>
                <w:color w:val="auto"/>
                <w:sz w:val="21"/>
                <w:szCs w:val="21"/>
                <w:highlight w:val="none"/>
              </w:rPr>
              <w:t>本项目</w:t>
            </w:r>
            <w:r>
              <w:rPr>
                <w:rFonts w:hint="eastAsia" w:ascii="Times New Roman" w:hAnsi="Times New Roman" w:cs="Times New Roman"/>
                <w:color w:val="auto"/>
                <w:sz w:val="21"/>
                <w:szCs w:val="21"/>
                <w:highlight w:val="none"/>
                <w:lang w:val="en-US" w:eastAsia="zh-CN"/>
              </w:rPr>
              <w:t>液化石油气、润滑油、废润滑油</w:t>
            </w:r>
            <w:r>
              <w:rPr>
                <w:rFonts w:hint="eastAsia" w:ascii="Times New Roman" w:cs="Times New Roman"/>
                <w:color w:val="auto"/>
                <w:sz w:val="21"/>
                <w:szCs w:val="21"/>
                <w:highlight w:val="none"/>
                <w:lang w:val="en-US" w:eastAsia="zh-CN"/>
              </w:rPr>
              <w:t>、陶化废液、除油废液</w:t>
            </w:r>
            <w:r>
              <w:rPr>
                <w:rFonts w:hint="eastAsia" w:ascii="Times New Roman" w:hAnsi="Times New Roman" w:cs="Times New Roman"/>
                <w:color w:val="auto"/>
                <w:sz w:val="21"/>
                <w:szCs w:val="21"/>
                <w:highlight w:val="none"/>
              </w:rPr>
              <w:t>属于危险物质。</w:t>
            </w:r>
          </w:p>
          <w:p w14:paraId="524C32D0">
            <w:pPr>
              <w:pStyle w:val="46"/>
              <w:spacing w:line="360" w:lineRule="auto"/>
              <w:ind w:firstLine="420" w:firstLineChars="200"/>
              <w:jc w:val="both"/>
              <w:rPr>
                <w:rFonts w:hint="eastAsia"/>
                <w:color w:val="auto"/>
              </w:rPr>
            </w:pPr>
            <w:r>
              <w:rPr>
                <w:rFonts w:hAnsi="Times New Roman"/>
                <w:color w:val="auto"/>
                <w:sz w:val="21"/>
                <w:szCs w:val="21"/>
                <w:highlight w:val="none"/>
              </w:rPr>
              <w:t>根据</w:t>
            </w:r>
            <w:r>
              <w:rPr>
                <w:rFonts w:ascii="Times New Roman" w:hAnsi="Times New Roman" w:cs="Times New Roman"/>
                <w:color w:val="auto"/>
                <w:sz w:val="21"/>
                <w:szCs w:val="21"/>
                <w:highlight w:val="none"/>
              </w:rPr>
              <w:t>《建设项目环境风险评价技术导则》（HJ169-2018）和《危险化学品重大危险源辨识》（GB18218-2018）</w:t>
            </w:r>
            <w:r>
              <w:rPr>
                <w:rFonts w:hAnsi="Times New Roman"/>
                <w:color w:val="auto"/>
                <w:sz w:val="21"/>
                <w:szCs w:val="21"/>
                <w:highlight w:val="none"/>
              </w:rPr>
              <w:t>，</w:t>
            </w:r>
            <w:r>
              <w:rPr>
                <w:rFonts w:hint="eastAsia" w:hAnsi="Times New Roman"/>
                <w:color w:val="auto"/>
                <w:sz w:val="21"/>
                <w:szCs w:val="21"/>
                <w:highlight w:val="none"/>
              </w:rPr>
              <w:t>危险物质总量与其临界量的比值为Q，按以下公式进行计算。</w:t>
            </w:r>
          </w:p>
          <w:p w14:paraId="5B880DB6">
            <w:pPr>
              <w:pStyle w:val="46"/>
              <w:jc w:val="center"/>
              <w:rPr>
                <w:rFonts w:hint="eastAsia" w:hAnsi="Times New Roman"/>
                <w:color w:val="auto"/>
                <w:sz w:val="21"/>
                <w:szCs w:val="21"/>
                <w:highlight w:val="none"/>
              </w:rPr>
            </w:pPr>
            <w:r>
              <w:rPr>
                <w:rFonts w:hAnsi="Times New Roman"/>
                <w:color w:val="auto"/>
                <w:sz w:val="21"/>
                <w:szCs w:val="21"/>
                <w:highlight w:val="none"/>
              </w:rPr>
              <w:drawing>
                <wp:inline distT="0" distB="0" distL="114300" distR="114300">
                  <wp:extent cx="4852670" cy="1449705"/>
                  <wp:effectExtent l="0" t="0" r="5080" b="1714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9"/>
                          <a:stretch>
                            <a:fillRect/>
                          </a:stretch>
                        </pic:blipFill>
                        <pic:spPr>
                          <a:xfrm>
                            <a:off x="0" y="0"/>
                            <a:ext cx="4852670" cy="1449705"/>
                          </a:xfrm>
                          <a:prstGeom prst="rect">
                            <a:avLst/>
                          </a:prstGeom>
                          <a:noFill/>
                          <a:ln>
                            <a:noFill/>
                          </a:ln>
                        </pic:spPr>
                      </pic:pic>
                    </a:graphicData>
                  </a:graphic>
                </wp:inline>
              </w:drawing>
            </w:r>
          </w:p>
          <w:p w14:paraId="26505BAD">
            <w:pPr>
              <w:pStyle w:val="11"/>
              <w:adjustRightInd w:val="0"/>
              <w:snapToGrid w:val="0"/>
              <w:spacing w:before="0"/>
              <w:ind w:left="0" w:leftChars="0" w:firstLine="0" w:firstLineChars="0"/>
              <w:jc w:val="center"/>
              <w:rPr>
                <w:rFonts w:hint="eastAsia"/>
                <w:color w:val="auto"/>
                <w:highlight w:val="none"/>
                <w:lang w:val="en-US" w:eastAsia="zh-CN"/>
              </w:rPr>
            </w:pPr>
            <w:r>
              <w:rPr>
                <w:rFonts w:hint="eastAsia"/>
                <w:color w:val="auto"/>
                <w:highlight w:val="none"/>
                <w:lang w:val="en-US" w:eastAsia="zh-CN"/>
              </w:rPr>
              <w:t>表49 项目风险物质情况表</w:t>
            </w:r>
          </w:p>
          <w:tbl>
            <w:tblPr>
              <w:tblStyle w:val="36"/>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5"/>
              <w:gridCol w:w="1644"/>
              <w:gridCol w:w="1269"/>
              <w:gridCol w:w="1099"/>
              <w:gridCol w:w="996"/>
              <w:gridCol w:w="695"/>
              <w:gridCol w:w="1336"/>
            </w:tblGrid>
            <w:tr w14:paraId="4572B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noWrap w:val="0"/>
                  <w:vAlign w:val="center"/>
                </w:tcPr>
                <w:p w14:paraId="2076EB92">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b/>
                      <w:bCs/>
                      <w:color w:val="auto"/>
                      <w:highlight w:val="none"/>
                      <w:vertAlign w:val="baseline"/>
                      <w:lang w:val="en-US" w:eastAsia="zh-CN"/>
                    </w:rPr>
                  </w:pPr>
                  <w:r>
                    <w:rPr>
                      <w:rFonts w:hint="eastAsia" w:ascii="Times New Roman" w:hAnsi="Times New Roman" w:eastAsia="宋体" w:cs="Times New Roman"/>
                      <w:b/>
                      <w:bCs/>
                      <w:color w:val="auto"/>
                      <w:highlight w:val="none"/>
                      <w:vertAlign w:val="baseline"/>
                      <w:lang w:val="en-US" w:eastAsia="zh-CN"/>
                    </w:rPr>
                    <w:t>原料</w:t>
                  </w:r>
                  <w:r>
                    <w:rPr>
                      <w:rFonts w:hint="default" w:ascii="Times New Roman" w:hAnsi="Times New Roman" w:eastAsia="宋体" w:cs="Times New Roman"/>
                      <w:b/>
                      <w:bCs/>
                      <w:color w:val="auto"/>
                      <w:highlight w:val="none"/>
                      <w:vertAlign w:val="baseline"/>
                      <w:lang w:val="en-US" w:eastAsia="zh-CN"/>
                    </w:rPr>
                    <w:t>类别</w:t>
                  </w:r>
                </w:p>
              </w:tc>
              <w:tc>
                <w:tcPr>
                  <w:tcW w:w="979" w:type="pct"/>
                  <w:noWrap w:val="0"/>
                  <w:vAlign w:val="center"/>
                </w:tcPr>
                <w:p w14:paraId="5B8E96A4">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b/>
                      <w:bCs/>
                      <w:color w:val="auto"/>
                      <w:highlight w:val="none"/>
                      <w:vertAlign w:val="baseline"/>
                      <w:lang w:val="en-US" w:eastAsia="zh-CN"/>
                    </w:rPr>
                  </w:pPr>
                  <w:r>
                    <w:rPr>
                      <w:rFonts w:hint="eastAsia" w:ascii="Times New Roman" w:hAnsi="Times New Roman" w:eastAsia="宋体" w:cs="Times New Roman"/>
                      <w:b/>
                      <w:bCs/>
                      <w:color w:val="auto"/>
                      <w:highlight w:val="none"/>
                      <w:vertAlign w:val="baseline"/>
                      <w:lang w:val="en-US" w:eastAsia="zh-CN"/>
                    </w:rPr>
                    <w:t>风险物质</w:t>
                  </w:r>
                </w:p>
              </w:tc>
              <w:tc>
                <w:tcPr>
                  <w:tcW w:w="755" w:type="pct"/>
                  <w:noWrap w:val="0"/>
                  <w:vAlign w:val="center"/>
                </w:tcPr>
                <w:p w14:paraId="475B656F">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b/>
                      <w:bCs/>
                      <w:color w:val="auto"/>
                      <w:highlight w:val="none"/>
                      <w:vertAlign w:val="baseline"/>
                      <w:lang w:val="en-US" w:eastAsia="zh-CN"/>
                    </w:rPr>
                  </w:pPr>
                  <w:r>
                    <w:rPr>
                      <w:rFonts w:hint="eastAsia" w:ascii="Times New Roman" w:hAnsi="Times New Roman" w:eastAsia="宋体" w:cs="Times New Roman"/>
                      <w:b/>
                      <w:bCs/>
                      <w:color w:val="auto"/>
                      <w:highlight w:val="none"/>
                      <w:vertAlign w:val="baseline"/>
                      <w:lang w:val="en-US" w:eastAsia="zh-CN"/>
                    </w:rPr>
                    <w:t>风险物质占比</w:t>
                  </w:r>
                </w:p>
              </w:tc>
              <w:tc>
                <w:tcPr>
                  <w:tcW w:w="654" w:type="pct"/>
                  <w:noWrap w:val="0"/>
                  <w:vAlign w:val="center"/>
                </w:tcPr>
                <w:p w14:paraId="4FB810CA">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b/>
                      <w:bCs/>
                      <w:color w:val="auto"/>
                      <w:highlight w:val="none"/>
                      <w:vertAlign w:val="baseline"/>
                      <w:lang w:val="en-US" w:eastAsia="zh-CN"/>
                    </w:rPr>
                  </w:pPr>
                  <w:r>
                    <w:rPr>
                      <w:rFonts w:hint="eastAsia" w:ascii="Times New Roman" w:hAnsi="Times New Roman" w:eastAsia="宋体" w:cs="Times New Roman"/>
                      <w:b/>
                      <w:bCs/>
                      <w:color w:val="auto"/>
                      <w:highlight w:val="none"/>
                      <w:vertAlign w:val="baseline"/>
                      <w:lang w:val="en-US" w:eastAsia="zh-CN"/>
                    </w:rPr>
                    <w:t>原料最大</w:t>
                  </w:r>
                  <w:r>
                    <w:rPr>
                      <w:rFonts w:hint="default" w:ascii="Times New Roman" w:hAnsi="Times New Roman" w:eastAsia="宋体" w:cs="Times New Roman"/>
                      <w:b/>
                      <w:bCs/>
                      <w:color w:val="auto"/>
                      <w:highlight w:val="none"/>
                      <w:vertAlign w:val="baseline"/>
                      <w:lang w:val="en-US" w:eastAsia="zh-CN"/>
                    </w:rPr>
                    <w:t>贮存量/t</w:t>
                  </w:r>
                </w:p>
              </w:tc>
              <w:tc>
                <w:tcPr>
                  <w:tcW w:w="593" w:type="pct"/>
                  <w:noWrap w:val="0"/>
                  <w:vAlign w:val="center"/>
                </w:tcPr>
                <w:p w14:paraId="45D3E896">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b/>
                      <w:bCs/>
                      <w:color w:val="auto"/>
                      <w:highlight w:val="none"/>
                      <w:vertAlign w:val="baseline"/>
                      <w:lang w:val="en-US" w:eastAsia="zh-CN"/>
                    </w:rPr>
                  </w:pPr>
                  <w:r>
                    <w:rPr>
                      <w:rFonts w:hint="eastAsia" w:ascii="Times New Roman" w:hAnsi="Times New Roman" w:eastAsia="宋体" w:cs="Times New Roman"/>
                      <w:b/>
                      <w:bCs/>
                      <w:color w:val="auto"/>
                      <w:highlight w:val="none"/>
                      <w:vertAlign w:val="baseline"/>
                      <w:lang w:val="en-US" w:eastAsia="zh-CN"/>
                    </w:rPr>
                    <w:t>风险物质最大贮存量/t</w:t>
                  </w:r>
                </w:p>
              </w:tc>
              <w:tc>
                <w:tcPr>
                  <w:tcW w:w="413" w:type="pct"/>
                  <w:noWrap w:val="0"/>
                  <w:vAlign w:val="center"/>
                </w:tcPr>
                <w:p w14:paraId="02576CE0">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临界量/t</w:t>
                  </w:r>
                </w:p>
              </w:tc>
              <w:tc>
                <w:tcPr>
                  <w:tcW w:w="795" w:type="pct"/>
                  <w:noWrap w:val="0"/>
                  <w:vAlign w:val="center"/>
                </w:tcPr>
                <w:p w14:paraId="2C397DB0">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b/>
                      <w:bCs/>
                      <w:color w:val="auto"/>
                      <w:highlight w:val="none"/>
                      <w:vertAlign w:val="baseline"/>
                      <w:lang w:val="en-US" w:eastAsia="zh-CN"/>
                    </w:rPr>
                  </w:pPr>
                  <w:r>
                    <w:rPr>
                      <w:rFonts w:hint="default" w:ascii="Times New Roman" w:hAnsi="Times New Roman" w:eastAsia="宋体" w:cs="Times New Roman"/>
                      <w:b/>
                      <w:bCs/>
                      <w:color w:val="auto"/>
                      <w:highlight w:val="none"/>
                      <w:vertAlign w:val="baseline"/>
                      <w:lang w:val="en-US" w:eastAsia="zh-CN"/>
                    </w:rPr>
                    <w:t>Q值</w:t>
                  </w:r>
                </w:p>
              </w:tc>
            </w:tr>
            <w:tr w14:paraId="5E19B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noWrap w:val="0"/>
                  <w:vAlign w:val="center"/>
                </w:tcPr>
                <w:p w14:paraId="3F2ACEB5">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液化石油气</w:t>
                  </w:r>
                </w:p>
              </w:tc>
              <w:tc>
                <w:tcPr>
                  <w:tcW w:w="979" w:type="pct"/>
                  <w:noWrap w:val="0"/>
                  <w:vAlign w:val="center"/>
                </w:tcPr>
                <w:p w14:paraId="0FB39786">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石油气</w:t>
                  </w:r>
                </w:p>
              </w:tc>
              <w:tc>
                <w:tcPr>
                  <w:tcW w:w="755" w:type="pct"/>
                  <w:noWrap w:val="0"/>
                  <w:vAlign w:val="center"/>
                </w:tcPr>
                <w:p w14:paraId="207BB8D6">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100%</w:t>
                  </w:r>
                </w:p>
              </w:tc>
              <w:tc>
                <w:tcPr>
                  <w:tcW w:w="654" w:type="pct"/>
                  <w:noWrap w:val="0"/>
                  <w:vAlign w:val="center"/>
                </w:tcPr>
                <w:p w14:paraId="3C8198A8">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0.5</w:t>
                  </w:r>
                </w:p>
              </w:tc>
              <w:tc>
                <w:tcPr>
                  <w:tcW w:w="593" w:type="pct"/>
                  <w:noWrap w:val="0"/>
                  <w:vAlign w:val="center"/>
                </w:tcPr>
                <w:p w14:paraId="1C40EEAA">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0.5</w:t>
                  </w:r>
                </w:p>
              </w:tc>
              <w:tc>
                <w:tcPr>
                  <w:tcW w:w="413" w:type="pct"/>
                  <w:noWrap w:val="0"/>
                  <w:vAlign w:val="center"/>
                </w:tcPr>
                <w:p w14:paraId="61F15174">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w:t>
                  </w:r>
                </w:p>
              </w:tc>
              <w:tc>
                <w:tcPr>
                  <w:tcW w:w="795" w:type="pct"/>
                  <w:noWrap w:val="0"/>
                  <w:vAlign w:val="center"/>
                </w:tcPr>
                <w:p w14:paraId="36FEA3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05</w:t>
                  </w:r>
                </w:p>
              </w:tc>
            </w:tr>
            <w:tr w14:paraId="6968A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noWrap w:val="0"/>
                  <w:vAlign w:val="center"/>
                </w:tcPr>
                <w:p w14:paraId="0BA6CD31">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润滑油</w:t>
                  </w:r>
                </w:p>
              </w:tc>
              <w:tc>
                <w:tcPr>
                  <w:tcW w:w="979" w:type="pct"/>
                  <w:noWrap w:val="0"/>
                  <w:vAlign w:val="center"/>
                </w:tcPr>
                <w:p w14:paraId="3604E270">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油类物质</w:t>
                  </w:r>
                </w:p>
              </w:tc>
              <w:tc>
                <w:tcPr>
                  <w:tcW w:w="755" w:type="pct"/>
                  <w:noWrap w:val="0"/>
                  <w:vAlign w:val="center"/>
                </w:tcPr>
                <w:p w14:paraId="5328A836">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100%</w:t>
                  </w:r>
                </w:p>
              </w:tc>
              <w:tc>
                <w:tcPr>
                  <w:tcW w:w="654" w:type="pct"/>
                  <w:noWrap w:val="0"/>
                  <w:vAlign w:val="center"/>
                </w:tcPr>
                <w:p w14:paraId="6A4C23BB">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0.1</w:t>
                  </w:r>
                </w:p>
              </w:tc>
              <w:tc>
                <w:tcPr>
                  <w:tcW w:w="593" w:type="pct"/>
                  <w:noWrap w:val="0"/>
                  <w:vAlign w:val="center"/>
                </w:tcPr>
                <w:p w14:paraId="509CFAEA">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0.1</w:t>
                  </w:r>
                </w:p>
              </w:tc>
              <w:tc>
                <w:tcPr>
                  <w:tcW w:w="413" w:type="pct"/>
                  <w:noWrap w:val="0"/>
                  <w:vAlign w:val="center"/>
                </w:tcPr>
                <w:p w14:paraId="6841988F">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2500</w:t>
                  </w:r>
                </w:p>
              </w:tc>
              <w:tc>
                <w:tcPr>
                  <w:tcW w:w="795" w:type="pct"/>
                  <w:noWrap w:val="0"/>
                  <w:vAlign w:val="center"/>
                </w:tcPr>
                <w:p w14:paraId="7C0A4D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0.00004</w:t>
                  </w:r>
                </w:p>
              </w:tc>
            </w:tr>
            <w:tr w14:paraId="3C67C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noWrap w:val="0"/>
                  <w:vAlign w:val="center"/>
                </w:tcPr>
                <w:p w14:paraId="1BE87E5A">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废润滑油</w:t>
                  </w:r>
                </w:p>
              </w:tc>
              <w:tc>
                <w:tcPr>
                  <w:tcW w:w="979" w:type="pct"/>
                  <w:noWrap w:val="0"/>
                  <w:vAlign w:val="center"/>
                </w:tcPr>
                <w:p w14:paraId="40049BEF">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油类物质</w:t>
                  </w:r>
                </w:p>
              </w:tc>
              <w:tc>
                <w:tcPr>
                  <w:tcW w:w="755" w:type="pct"/>
                  <w:noWrap w:val="0"/>
                  <w:vAlign w:val="center"/>
                </w:tcPr>
                <w:p w14:paraId="3BA1D6F7">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100%</w:t>
                  </w:r>
                </w:p>
              </w:tc>
              <w:tc>
                <w:tcPr>
                  <w:tcW w:w="654" w:type="pct"/>
                  <w:noWrap w:val="0"/>
                  <w:vAlign w:val="center"/>
                </w:tcPr>
                <w:p w14:paraId="290E3A87">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0.01</w:t>
                  </w:r>
                </w:p>
              </w:tc>
              <w:tc>
                <w:tcPr>
                  <w:tcW w:w="593" w:type="pct"/>
                  <w:noWrap w:val="0"/>
                  <w:vAlign w:val="center"/>
                </w:tcPr>
                <w:p w14:paraId="2F911E35">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0.01</w:t>
                  </w:r>
                </w:p>
              </w:tc>
              <w:tc>
                <w:tcPr>
                  <w:tcW w:w="413" w:type="pct"/>
                  <w:noWrap w:val="0"/>
                  <w:vAlign w:val="center"/>
                </w:tcPr>
                <w:p w14:paraId="4754B110">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2500</w:t>
                  </w:r>
                </w:p>
              </w:tc>
              <w:tc>
                <w:tcPr>
                  <w:tcW w:w="795" w:type="pct"/>
                  <w:noWrap w:val="0"/>
                  <w:vAlign w:val="center"/>
                </w:tcPr>
                <w:p w14:paraId="44ED5F2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0.000004</w:t>
                  </w:r>
                </w:p>
              </w:tc>
            </w:tr>
            <w:tr w14:paraId="64855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noWrap w:val="0"/>
                  <w:vAlign w:val="center"/>
                </w:tcPr>
                <w:p w14:paraId="6F7B921E">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陶化废液</w:t>
                  </w:r>
                </w:p>
              </w:tc>
              <w:tc>
                <w:tcPr>
                  <w:tcW w:w="979" w:type="pct"/>
                  <w:noWrap w:val="0"/>
                  <w:vAlign w:val="center"/>
                </w:tcPr>
                <w:p w14:paraId="56375EF2">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lang w:val="en-US" w:eastAsia="zh-CN"/>
                    </w:rPr>
                    <w:t>健康危险急性毒性物质</w:t>
                  </w:r>
                </w:p>
              </w:tc>
              <w:tc>
                <w:tcPr>
                  <w:tcW w:w="755" w:type="pct"/>
                  <w:noWrap w:val="0"/>
                  <w:vAlign w:val="center"/>
                </w:tcPr>
                <w:p w14:paraId="75ADAC14">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100%</w:t>
                  </w:r>
                </w:p>
              </w:tc>
              <w:tc>
                <w:tcPr>
                  <w:tcW w:w="654" w:type="pct"/>
                  <w:noWrap w:val="0"/>
                  <w:vAlign w:val="center"/>
                </w:tcPr>
                <w:p w14:paraId="5422DAB7">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c>
                <w:tcPr>
                  <w:tcW w:w="593" w:type="pct"/>
                  <w:noWrap w:val="0"/>
                  <w:vAlign w:val="center"/>
                </w:tcPr>
                <w:p w14:paraId="26825624">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0.233</w:t>
                  </w:r>
                </w:p>
              </w:tc>
              <w:tc>
                <w:tcPr>
                  <w:tcW w:w="413" w:type="pct"/>
                  <w:noWrap w:val="0"/>
                  <w:vAlign w:val="center"/>
                </w:tcPr>
                <w:p w14:paraId="43A066BE">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50</w:t>
                  </w:r>
                </w:p>
              </w:tc>
              <w:tc>
                <w:tcPr>
                  <w:tcW w:w="795" w:type="pct"/>
                  <w:noWrap w:val="0"/>
                  <w:vAlign w:val="center"/>
                </w:tcPr>
                <w:p w14:paraId="7BC565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w:t>
                  </w:r>
                  <w:r>
                    <w:rPr>
                      <w:rFonts w:hint="eastAsia" w:cs="Times New Roman"/>
                      <w:i w:val="0"/>
                      <w:iCs w:val="0"/>
                      <w:color w:val="auto"/>
                      <w:kern w:val="0"/>
                      <w:sz w:val="21"/>
                      <w:szCs w:val="21"/>
                      <w:u w:val="none"/>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66</w:t>
                  </w:r>
                </w:p>
              </w:tc>
            </w:tr>
            <w:tr w14:paraId="77C7C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7" w:type="pct"/>
                  <w:noWrap w:val="0"/>
                  <w:vAlign w:val="center"/>
                </w:tcPr>
                <w:p w14:paraId="044C1E5D">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除油废液</w:t>
                  </w:r>
                </w:p>
              </w:tc>
              <w:tc>
                <w:tcPr>
                  <w:tcW w:w="979" w:type="pct"/>
                  <w:noWrap w:val="0"/>
                  <w:vAlign w:val="center"/>
                </w:tcPr>
                <w:p w14:paraId="7E8F004F">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sz w:val="21"/>
                      <w:szCs w:val="21"/>
                      <w:highlight w:val="none"/>
                      <w:lang w:val="en-US" w:eastAsia="zh-CN"/>
                    </w:rPr>
                    <w:t>健康危险急性毒性物质</w:t>
                  </w:r>
                </w:p>
              </w:tc>
              <w:tc>
                <w:tcPr>
                  <w:tcW w:w="755" w:type="pct"/>
                  <w:noWrap w:val="0"/>
                  <w:vAlign w:val="center"/>
                </w:tcPr>
                <w:p w14:paraId="45A030FA">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100%</w:t>
                  </w:r>
                </w:p>
              </w:tc>
              <w:tc>
                <w:tcPr>
                  <w:tcW w:w="654" w:type="pct"/>
                  <w:noWrap w:val="0"/>
                  <w:vAlign w:val="center"/>
                </w:tcPr>
                <w:p w14:paraId="14329C38">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w:t>
                  </w:r>
                </w:p>
              </w:tc>
              <w:tc>
                <w:tcPr>
                  <w:tcW w:w="593" w:type="pct"/>
                  <w:noWrap w:val="0"/>
                  <w:vAlign w:val="center"/>
                </w:tcPr>
                <w:p w14:paraId="420E637F">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eastAsia"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0.933</w:t>
                  </w:r>
                </w:p>
              </w:tc>
              <w:tc>
                <w:tcPr>
                  <w:tcW w:w="413" w:type="pct"/>
                  <w:noWrap w:val="0"/>
                  <w:vAlign w:val="center"/>
                </w:tcPr>
                <w:p w14:paraId="40CEC1B6">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eastAsia" w:cs="Times New Roman"/>
                      <w:color w:val="auto"/>
                      <w:highlight w:val="none"/>
                      <w:vertAlign w:val="baseline"/>
                      <w:lang w:val="en-US" w:eastAsia="zh-CN"/>
                    </w:rPr>
                    <w:t>50</w:t>
                  </w:r>
                </w:p>
              </w:tc>
              <w:tc>
                <w:tcPr>
                  <w:tcW w:w="795" w:type="pct"/>
                  <w:noWrap w:val="0"/>
                  <w:vAlign w:val="center"/>
                </w:tcPr>
                <w:p w14:paraId="619733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18</w:t>
                  </w:r>
                  <w:r>
                    <w:rPr>
                      <w:rFonts w:hint="default" w:ascii="Times New Roman" w:hAnsi="Times New Roman" w:eastAsia="宋体" w:cs="Times New Roman"/>
                      <w:i w:val="0"/>
                      <w:iCs w:val="0"/>
                      <w:color w:val="auto"/>
                      <w:kern w:val="0"/>
                      <w:sz w:val="21"/>
                      <w:szCs w:val="21"/>
                      <w:u w:val="none"/>
                      <w:lang w:val="en-US" w:eastAsia="zh-CN" w:bidi="ar"/>
                    </w:rPr>
                    <w:t>66</w:t>
                  </w:r>
                </w:p>
              </w:tc>
            </w:tr>
            <w:tr w14:paraId="7D7A7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4" w:type="pct"/>
                  <w:gridSpan w:val="6"/>
                  <w:noWrap w:val="0"/>
                  <w:vAlign w:val="center"/>
                </w:tcPr>
                <w:p w14:paraId="128A9D4F">
                  <w:pPr>
                    <w:pStyle w:val="11"/>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合计</w:t>
                  </w:r>
                </w:p>
              </w:tc>
              <w:tc>
                <w:tcPr>
                  <w:tcW w:w="795" w:type="pct"/>
                  <w:noWrap w:val="0"/>
                  <w:vAlign w:val="center"/>
                </w:tcPr>
                <w:p w14:paraId="03C773D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cs="Times New Roman"/>
                      <w:i w:val="0"/>
                      <w:iCs w:val="0"/>
                      <w:color w:val="auto"/>
                      <w:kern w:val="0"/>
                      <w:sz w:val="21"/>
                      <w:szCs w:val="21"/>
                      <w:u w:val="none"/>
                      <w:lang w:val="en-US" w:eastAsia="zh-CN" w:bidi="ar"/>
                    </w:rPr>
                    <w:t>073</w:t>
                  </w:r>
                  <w:r>
                    <w:rPr>
                      <w:rFonts w:hint="default" w:ascii="Times New Roman" w:hAnsi="Times New Roman" w:eastAsia="宋体" w:cs="Times New Roman"/>
                      <w:i w:val="0"/>
                      <w:iCs w:val="0"/>
                      <w:color w:val="auto"/>
                      <w:kern w:val="0"/>
                      <w:sz w:val="21"/>
                      <w:szCs w:val="21"/>
                      <w:u w:val="none"/>
                      <w:lang w:val="en-US" w:eastAsia="zh-CN" w:bidi="ar"/>
                    </w:rPr>
                    <w:t>3</w:t>
                  </w:r>
                  <w:r>
                    <w:rPr>
                      <w:rFonts w:hint="eastAsia" w:cs="Times New Roman"/>
                      <w:i w:val="0"/>
                      <w:iCs w:val="0"/>
                      <w:color w:val="auto"/>
                      <w:kern w:val="0"/>
                      <w:sz w:val="21"/>
                      <w:szCs w:val="21"/>
                      <w:u w:val="none"/>
                      <w:lang w:val="en-US" w:eastAsia="zh-CN" w:bidi="ar"/>
                    </w:rPr>
                    <w:t>6</w:t>
                  </w:r>
                  <w:r>
                    <w:rPr>
                      <w:rFonts w:hint="default" w:ascii="Times New Roman" w:hAnsi="Times New Roman" w:eastAsia="宋体" w:cs="Times New Roman"/>
                      <w:i w:val="0"/>
                      <w:iCs w:val="0"/>
                      <w:color w:val="auto"/>
                      <w:kern w:val="0"/>
                      <w:sz w:val="21"/>
                      <w:szCs w:val="21"/>
                      <w:u w:val="none"/>
                      <w:lang w:val="en-US" w:eastAsia="zh-CN" w:bidi="ar"/>
                    </w:rPr>
                    <w:t>4</w:t>
                  </w:r>
                  <w:r>
                    <w:rPr>
                      <w:rFonts w:hint="eastAsia" w:ascii="Times New Roman" w:hAnsi="Times New Roman" w:eastAsia="宋体" w:cs="Times New Roman"/>
                      <w:i w:val="0"/>
                      <w:iCs w:val="0"/>
                      <w:color w:val="auto"/>
                      <w:kern w:val="0"/>
                      <w:sz w:val="21"/>
                      <w:szCs w:val="21"/>
                      <w:u w:val="none"/>
                      <w:lang w:val="en-US" w:eastAsia="zh-CN" w:bidi="ar"/>
                    </w:rPr>
                    <w:t>&lt;1</w:t>
                  </w:r>
                </w:p>
              </w:tc>
            </w:tr>
          </w:tbl>
          <w:p w14:paraId="576E0A4B">
            <w:pPr>
              <w:pStyle w:val="95"/>
              <w:ind w:left="0" w:leftChars="0" w:firstLine="0" w:firstLineChars="0"/>
              <w:rPr>
                <w:rFonts w:hint="eastAsia" w:cs="Times New Roman"/>
                <w:color w:val="auto"/>
                <w:sz w:val="21"/>
                <w:szCs w:val="21"/>
                <w:highlight w:val="none"/>
                <w:lang w:val="en-US" w:eastAsia="zh-CN"/>
              </w:rPr>
            </w:pPr>
            <w:r>
              <w:rPr>
                <w:rFonts w:hint="eastAsia"/>
                <w:b w:val="0"/>
                <w:bCs/>
                <w:color w:val="auto"/>
                <w:sz w:val="21"/>
                <w:szCs w:val="21"/>
                <w:highlight w:val="none"/>
                <w:lang w:val="en-US" w:eastAsia="zh-CN"/>
              </w:rPr>
              <w:t>注</w:t>
            </w:r>
            <w:r>
              <w:rPr>
                <w:rFonts w:hint="eastAsia"/>
                <w:b/>
                <w:color w:val="auto"/>
                <w:sz w:val="21"/>
                <w:szCs w:val="21"/>
                <w:highlight w:val="none"/>
                <w:lang w:val="en-US" w:eastAsia="zh-CN"/>
              </w:rPr>
              <w:t>：</w:t>
            </w:r>
            <w:r>
              <w:rPr>
                <w:rFonts w:hint="eastAsia"/>
                <w:b/>
                <w:color w:val="auto"/>
                <w:sz w:val="21"/>
                <w:szCs w:val="21"/>
                <w:highlight w:val="none"/>
                <w:lang w:val="en-US" w:eastAsia="zh-CN"/>
              </w:rPr>
              <w:fldChar w:fldCharType="begin"/>
            </w:r>
            <w:r>
              <w:rPr>
                <w:rFonts w:hint="eastAsia"/>
                <w:b/>
                <w:color w:val="auto"/>
                <w:sz w:val="21"/>
                <w:szCs w:val="21"/>
                <w:highlight w:val="none"/>
                <w:lang w:val="en-US" w:eastAsia="zh-CN"/>
              </w:rPr>
              <w:instrText xml:space="preserve"> = 1 \* GB3 \* MERGEFORMAT </w:instrText>
            </w:r>
            <w:r>
              <w:rPr>
                <w:rFonts w:hint="eastAsia"/>
                <w:b/>
                <w:color w:val="auto"/>
                <w:sz w:val="21"/>
                <w:szCs w:val="21"/>
                <w:highlight w:val="none"/>
                <w:lang w:val="en-US" w:eastAsia="zh-CN"/>
              </w:rPr>
              <w:fldChar w:fldCharType="separate"/>
            </w:r>
            <w:r>
              <w:rPr>
                <w:color w:val="auto"/>
                <w:sz w:val="21"/>
                <w:szCs w:val="21"/>
              </w:rPr>
              <w:t>①</w:t>
            </w:r>
            <w:r>
              <w:rPr>
                <w:rFonts w:hint="eastAsia"/>
                <w:b/>
                <w:color w:val="auto"/>
                <w:sz w:val="21"/>
                <w:szCs w:val="21"/>
                <w:highlight w:val="none"/>
                <w:lang w:val="en-US" w:eastAsia="zh-CN"/>
              </w:rPr>
              <w:fldChar w:fldCharType="end"/>
            </w:r>
            <w:r>
              <w:rPr>
                <w:rFonts w:hint="eastAsia" w:cs="Times New Roman"/>
                <w:color w:val="auto"/>
                <w:sz w:val="21"/>
                <w:szCs w:val="21"/>
                <w:highlight w:val="none"/>
                <w:lang w:val="en-US" w:eastAsia="zh-CN"/>
              </w:rPr>
              <w:t>陶化废液产生量为</w:t>
            </w:r>
            <w:r>
              <w:rPr>
                <w:rFonts w:hint="eastAsia" w:cs="Times New Roman"/>
                <w:color w:val="auto"/>
                <w:sz w:val="21"/>
                <w:szCs w:val="21"/>
                <w:highlight w:val="none"/>
                <w:lang w:val="en-US" w:eastAsia="zh-CN"/>
              </w:rPr>
              <w:t>2.8t/a</w:t>
            </w:r>
            <w:r>
              <w:rPr>
                <w:rFonts w:hint="eastAsia" w:cs="Times New Roman"/>
                <w:color w:val="auto"/>
                <w:sz w:val="21"/>
                <w:szCs w:val="21"/>
                <w:highlight w:val="none"/>
                <w:lang w:val="en-US" w:eastAsia="zh-CN"/>
              </w:rPr>
              <w:t>，每月转移1次，最大暂存量约为0.233t/d，临界量按</w:t>
            </w:r>
            <w:r>
              <w:rPr>
                <w:rFonts w:ascii="Times New Roman" w:hAnsi="Times New Roman" w:cs="Times New Roman"/>
                <w:color w:val="auto"/>
                <w:sz w:val="21"/>
                <w:szCs w:val="21"/>
                <w:highlight w:val="none"/>
              </w:rPr>
              <w:t>《建设项目环境风险评价技术导则》（HJ169-2018）</w:t>
            </w:r>
            <w:r>
              <w:rPr>
                <w:rFonts w:hint="eastAsia" w:cs="Times New Roman"/>
                <w:color w:val="auto"/>
                <w:sz w:val="21"/>
                <w:szCs w:val="21"/>
                <w:highlight w:val="none"/>
                <w:lang w:val="en-US" w:eastAsia="zh-CN"/>
              </w:rPr>
              <w:t>表B.2的健康危险急性毒性物质（类别 2、3）取值；</w:t>
            </w:r>
          </w:p>
          <w:p w14:paraId="222C4526">
            <w:pPr>
              <w:pStyle w:val="95"/>
              <w:ind w:left="0" w:leftChars="0" w:firstLine="0" w:firstLineChars="0"/>
              <w:rPr>
                <w:rFonts w:hint="default" w:eastAsia="宋体"/>
                <w:b/>
                <w:color w:val="auto"/>
                <w:sz w:val="21"/>
                <w:szCs w:val="21"/>
                <w:highlight w:val="none"/>
                <w:lang w:val="en-US" w:eastAsia="zh-CN"/>
              </w:rPr>
            </w:pPr>
            <w:r>
              <w:rPr>
                <w:rFonts w:hint="eastAsia" w:cs="Times New Roman"/>
                <w:color w:val="auto"/>
                <w:sz w:val="21"/>
                <w:szCs w:val="21"/>
                <w:highlight w:val="none"/>
                <w:lang w:val="en-US" w:eastAsia="zh-CN"/>
              </w:rPr>
              <w:fldChar w:fldCharType="begin"/>
            </w:r>
            <w:r>
              <w:rPr>
                <w:rFonts w:hint="eastAsia" w:cs="Times New Roman"/>
                <w:color w:val="auto"/>
                <w:sz w:val="21"/>
                <w:szCs w:val="21"/>
                <w:highlight w:val="none"/>
                <w:lang w:val="en-US" w:eastAsia="zh-CN"/>
              </w:rPr>
              <w:instrText xml:space="preserve"> = 2 \* GB3 \* MERGEFORMAT </w:instrText>
            </w:r>
            <w:r>
              <w:rPr>
                <w:rFonts w:hint="eastAsia" w:cs="Times New Roman"/>
                <w:color w:val="auto"/>
                <w:sz w:val="21"/>
                <w:szCs w:val="21"/>
                <w:highlight w:val="none"/>
                <w:lang w:val="en-US" w:eastAsia="zh-CN"/>
              </w:rPr>
              <w:fldChar w:fldCharType="separate"/>
            </w:r>
            <w:r>
              <w:rPr>
                <w:color w:val="auto"/>
                <w:sz w:val="21"/>
                <w:szCs w:val="21"/>
              </w:rPr>
              <w:t>②</w:t>
            </w:r>
            <w:r>
              <w:rPr>
                <w:rFonts w:hint="eastAsia" w:cs="Times New Roman"/>
                <w:color w:val="auto"/>
                <w:sz w:val="21"/>
                <w:szCs w:val="21"/>
                <w:highlight w:val="none"/>
                <w:lang w:val="en-US" w:eastAsia="zh-CN"/>
              </w:rPr>
              <w:fldChar w:fldCharType="end"/>
            </w:r>
            <w:r>
              <w:rPr>
                <w:rFonts w:hint="eastAsia" w:cs="Times New Roman"/>
                <w:color w:val="auto"/>
                <w:sz w:val="21"/>
                <w:szCs w:val="21"/>
                <w:highlight w:val="none"/>
                <w:lang w:val="en-US" w:eastAsia="zh-CN"/>
              </w:rPr>
              <w:t>除油废液产生量为</w:t>
            </w:r>
            <w:r>
              <w:rPr>
                <w:rFonts w:hint="eastAsia" w:cs="Times New Roman"/>
                <w:color w:val="auto"/>
                <w:sz w:val="21"/>
                <w:szCs w:val="21"/>
                <w:highlight w:val="none"/>
                <w:lang w:val="en-US" w:eastAsia="zh-CN"/>
              </w:rPr>
              <w:t>11.2t/a，</w:t>
            </w:r>
            <w:r>
              <w:rPr>
                <w:rFonts w:hint="eastAsia" w:cs="Times New Roman"/>
                <w:color w:val="auto"/>
                <w:sz w:val="21"/>
                <w:szCs w:val="21"/>
                <w:highlight w:val="none"/>
                <w:lang w:val="en-US" w:eastAsia="zh-CN"/>
              </w:rPr>
              <w:t>每月转移1次，最大暂存量约为0.933t/d，临界量按</w:t>
            </w:r>
            <w:r>
              <w:rPr>
                <w:rFonts w:ascii="Times New Roman" w:hAnsi="Times New Roman" w:cs="Times New Roman"/>
                <w:color w:val="auto"/>
                <w:sz w:val="21"/>
                <w:szCs w:val="21"/>
                <w:highlight w:val="none"/>
              </w:rPr>
              <w:t>《建设项目环境风险评价技术导则》（HJ169-2018）</w:t>
            </w:r>
            <w:r>
              <w:rPr>
                <w:rFonts w:hint="eastAsia" w:cs="Times New Roman"/>
                <w:color w:val="auto"/>
                <w:sz w:val="21"/>
                <w:szCs w:val="21"/>
                <w:highlight w:val="none"/>
                <w:lang w:val="en-US" w:eastAsia="zh-CN"/>
              </w:rPr>
              <w:t>表B.2的健康危险急性毒性物质（类别 2、3）取值；</w:t>
            </w:r>
          </w:p>
          <w:p w14:paraId="2C8A3C27">
            <w:pPr>
              <w:pStyle w:val="95"/>
              <w:ind w:firstLine="482"/>
              <w:rPr>
                <w:b/>
                <w:color w:val="auto"/>
                <w:sz w:val="21"/>
                <w:szCs w:val="21"/>
                <w:highlight w:val="none"/>
              </w:rPr>
            </w:pPr>
            <w:r>
              <w:rPr>
                <w:b/>
                <w:color w:val="auto"/>
                <w:sz w:val="21"/>
                <w:szCs w:val="21"/>
                <w:highlight w:val="none"/>
              </w:rPr>
              <w:t>环境风险识别</w:t>
            </w:r>
          </w:p>
          <w:p w14:paraId="3F1C841D">
            <w:pPr>
              <w:spacing w:line="360" w:lineRule="auto"/>
              <w:ind w:firstLine="480"/>
              <w:rPr>
                <w:rFonts w:hint="eastAsia" w:ascii="宋体" w:hAnsi="宋体" w:cs="宋体"/>
                <w:color w:val="auto"/>
                <w:sz w:val="21"/>
                <w:szCs w:val="21"/>
                <w:highlight w:val="none"/>
              </w:rPr>
            </w:pPr>
            <w:r>
              <w:rPr>
                <w:rFonts w:hint="eastAsia" w:ascii="宋体" w:hAnsi="宋体" w:cs="宋体"/>
                <w:color w:val="auto"/>
                <w:sz w:val="21"/>
                <w:szCs w:val="21"/>
                <w:highlight w:val="none"/>
                <w:lang w:val="en-US" w:eastAsia="zh-CN"/>
              </w:rPr>
              <w:t>项目风险物质</w:t>
            </w:r>
            <w:r>
              <w:rPr>
                <w:rFonts w:hint="eastAsia" w:ascii="宋体" w:hAnsi="宋体" w:cs="宋体"/>
                <w:color w:val="auto"/>
                <w:sz w:val="21"/>
                <w:szCs w:val="21"/>
                <w:highlight w:val="none"/>
              </w:rPr>
              <w:t>储存量均未超过临界量，主要风险源如下：</w:t>
            </w:r>
          </w:p>
          <w:p w14:paraId="0A7EB2A4">
            <w:pPr>
              <w:spacing w:line="360" w:lineRule="auto"/>
              <w:ind w:firstLine="480"/>
              <w:rPr>
                <w:rFonts w:hint="eastAsia" w:ascii="宋体" w:hAnsi="宋体" w:cs="宋体"/>
                <w:color w:val="auto"/>
                <w:sz w:val="21"/>
                <w:szCs w:val="21"/>
                <w:highlight w:val="none"/>
              </w:rPr>
            </w:pPr>
            <w:r>
              <w:rPr>
                <w:rFonts w:hint="eastAsia" w:ascii="宋体" w:hAnsi="宋体" w:cs="宋体"/>
                <w:color w:val="auto"/>
                <w:sz w:val="21"/>
                <w:szCs w:val="21"/>
                <w:highlight w:val="none"/>
              </w:rPr>
              <w:t>a.</w:t>
            </w:r>
            <w:r>
              <w:rPr>
                <w:rFonts w:hint="eastAsia" w:ascii="宋体" w:hAnsi="宋体" w:cs="宋体"/>
                <w:color w:val="auto"/>
                <w:sz w:val="21"/>
                <w:szCs w:val="21"/>
                <w:highlight w:val="none"/>
                <w:lang w:val="en-US" w:eastAsia="zh-CN"/>
              </w:rPr>
              <w:t>液态原辅材料（</w:t>
            </w:r>
            <w:r>
              <w:rPr>
                <w:rFonts w:hint="eastAsia" w:ascii="Times New Roman" w:hAnsi="Times New Roman" w:cs="Times New Roman"/>
                <w:color w:val="auto"/>
                <w:sz w:val="21"/>
                <w:szCs w:val="21"/>
                <w:highlight w:val="none"/>
                <w:lang w:val="en-US" w:eastAsia="zh-CN"/>
              </w:rPr>
              <w:t>润滑油、除油剂、陶化剂</w:t>
            </w:r>
            <w:r>
              <w:rPr>
                <w:rFonts w:hint="eastAsia"/>
                <w:color w:val="auto"/>
                <w:sz w:val="21"/>
                <w:szCs w:val="21"/>
                <w:highlight w:val="none"/>
                <w:lang w:val="en-US" w:eastAsia="zh-CN"/>
              </w:rPr>
              <w:t>等</w:t>
            </w:r>
            <w:r>
              <w:rPr>
                <w:rFonts w:hint="eastAsia" w:ascii="宋体" w:hAnsi="宋体" w:cs="宋体"/>
                <w:color w:val="auto"/>
                <w:sz w:val="21"/>
                <w:szCs w:val="21"/>
                <w:highlight w:val="none"/>
                <w:lang w:val="en-US" w:eastAsia="zh-CN"/>
              </w:rPr>
              <w:t>）泄漏对地下水、土壤造成污染，气体扩散对大气造成影响</w:t>
            </w:r>
            <w:r>
              <w:rPr>
                <w:rFonts w:hint="eastAsia" w:ascii="宋体" w:hAnsi="宋体" w:cs="宋体"/>
                <w:color w:val="auto"/>
                <w:sz w:val="21"/>
                <w:szCs w:val="21"/>
                <w:highlight w:val="none"/>
              </w:rPr>
              <w:t>；</w:t>
            </w:r>
          </w:p>
          <w:p w14:paraId="102C1F3D">
            <w:pPr>
              <w:spacing w:line="360" w:lineRule="auto"/>
              <w:ind w:firstLine="480"/>
              <w:rPr>
                <w:rFonts w:hint="eastAsia" w:ascii="宋体" w:hAnsi="宋体" w:cs="宋体"/>
                <w:color w:val="auto"/>
                <w:sz w:val="21"/>
                <w:szCs w:val="21"/>
                <w:highlight w:val="none"/>
              </w:rPr>
            </w:pPr>
            <w:r>
              <w:rPr>
                <w:rFonts w:hint="eastAsia" w:ascii="宋体" w:hAnsi="宋体" w:cs="宋体"/>
                <w:color w:val="auto"/>
                <w:sz w:val="21"/>
                <w:szCs w:val="21"/>
                <w:highlight w:val="none"/>
              </w:rPr>
              <w:t>b.单位内的危险废物管理不善，出现与一般固体废弃物混装或散落污染区内环境等，造成危险废物对所涉及区域的空气、地表水、土壤及人群健康造成影响；</w:t>
            </w:r>
          </w:p>
          <w:p w14:paraId="01FE5B72">
            <w:pPr>
              <w:spacing w:line="360" w:lineRule="auto"/>
              <w:ind w:firstLine="480"/>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rPr>
              <w:t>c.废气处理设施出现故障或停运，造成废气不达标排放，危害周边区域的空气质量及人群健康的影响；</w:t>
            </w:r>
          </w:p>
          <w:p w14:paraId="4245CB02">
            <w:pPr>
              <w:spacing w:line="360" w:lineRule="auto"/>
              <w:ind w:firstLine="480"/>
              <w:rPr>
                <w:color w:val="auto"/>
                <w:sz w:val="21"/>
                <w:szCs w:val="21"/>
                <w:highlight w:val="none"/>
              </w:rPr>
            </w:pPr>
            <w:r>
              <w:rPr>
                <w:rFonts w:hint="eastAsia" w:ascii="宋体" w:hAnsi="宋体" w:cs="宋体"/>
                <w:color w:val="auto"/>
                <w:sz w:val="21"/>
                <w:szCs w:val="21"/>
                <w:highlight w:val="none"/>
                <w:lang w:val="en-US" w:eastAsia="zh-CN"/>
              </w:rPr>
              <w:t>d</w:t>
            </w:r>
            <w:r>
              <w:rPr>
                <w:rFonts w:hint="eastAsia" w:ascii="宋体" w:hAnsi="宋体" w:cs="宋体"/>
                <w:color w:val="auto"/>
                <w:sz w:val="21"/>
                <w:szCs w:val="21"/>
                <w:highlight w:val="none"/>
              </w:rPr>
              <w:t>.由于管理不善，造成火灾等安全事故。危害工作人员的人身安全，造成巨大的经济损失。</w:t>
            </w:r>
          </w:p>
          <w:p w14:paraId="076D1252">
            <w:pPr>
              <w:pStyle w:val="95"/>
              <w:ind w:firstLine="482"/>
              <w:rPr>
                <w:b/>
                <w:color w:val="auto"/>
                <w:sz w:val="21"/>
                <w:szCs w:val="21"/>
                <w:highlight w:val="none"/>
              </w:rPr>
            </w:pPr>
            <w:bookmarkStart w:id="8" w:name="_Toc65765027"/>
            <w:bookmarkStart w:id="9" w:name="_Toc49437853"/>
            <w:bookmarkStart w:id="10" w:name="_Toc49333909"/>
            <w:bookmarkStart w:id="11" w:name="_Toc16264180"/>
            <w:bookmarkStart w:id="12" w:name="_Toc17984013"/>
            <w:bookmarkStart w:id="13" w:name="_Toc49438053"/>
            <w:r>
              <w:rPr>
                <w:b/>
                <w:color w:val="auto"/>
                <w:sz w:val="21"/>
                <w:szCs w:val="21"/>
                <w:highlight w:val="none"/>
              </w:rPr>
              <w:t>事故防范措施</w:t>
            </w:r>
            <w:bookmarkEnd w:id="8"/>
            <w:bookmarkEnd w:id="9"/>
            <w:bookmarkEnd w:id="10"/>
            <w:bookmarkEnd w:id="11"/>
            <w:bookmarkEnd w:id="12"/>
            <w:bookmarkEnd w:id="13"/>
          </w:p>
          <w:p w14:paraId="6D996174">
            <w:pPr>
              <w:spacing w:line="360" w:lineRule="auto"/>
              <w:ind w:firstLine="420" w:firstLineChars="200"/>
              <w:rPr>
                <w:rFonts w:hint="eastAsia" w:ascii="宋体" w:hAnsi="宋体"/>
                <w:color w:val="auto"/>
                <w:sz w:val="21"/>
                <w:szCs w:val="21"/>
                <w:highlight w:val="none"/>
              </w:rPr>
            </w:pPr>
            <w:r>
              <w:rPr>
                <w:rFonts w:hint="eastAsia" w:ascii="宋体" w:hAnsi="宋体"/>
                <w:color w:val="auto"/>
                <w:sz w:val="21"/>
                <w:szCs w:val="21"/>
                <w:highlight w:val="none"/>
              </w:rPr>
              <w:fldChar w:fldCharType="begin"/>
            </w:r>
            <w:r>
              <w:rPr>
                <w:rFonts w:hint="eastAsia" w:ascii="宋体" w:hAnsi="宋体"/>
                <w:color w:val="auto"/>
                <w:sz w:val="21"/>
                <w:szCs w:val="21"/>
                <w:highlight w:val="none"/>
              </w:rPr>
              <w:instrText xml:space="preserve"> = 1 \* GB3 \* MERGEFORMAT </w:instrText>
            </w:r>
            <w:r>
              <w:rPr>
                <w:rFonts w:hint="eastAsia" w:ascii="宋体" w:hAnsi="宋体"/>
                <w:color w:val="auto"/>
                <w:sz w:val="21"/>
                <w:szCs w:val="21"/>
                <w:highlight w:val="none"/>
              </w:rPr>
              <w:fldChar w:fldCharType="separate"/>
            </w:r>
            <w:r>
              <w:rPr>
                <w:color w:val="auto"/>
                <w:highlight w:val="none"/>
              </w:rPr>
              <w:t>①</w:t>
            </w:r>
            <w:r>
              <w:rPr>
                <w:rFonts w:hint="eastAsia" w:ascii="宋体" w:hAnsi="宋体"/>
                <w:color w:val="auto"/>
                <w:sz w:val="21"/>
                <w:szCs w:val="21"/>
                <w:highlight w:val="none"/>
              </w:rPr>
              <w:fldChar w:fldCharType="end"/>
            </w:r>
            <w:r>
              <w:rPr>
                <w:rFonts w:hint="eastAsia" w:ascii="宋体" w:hAnsi="宋体"/>
                <w:color w:val="auto"/>
                <w:sz w:val="21"/>
                <w:szCs w:val="21"/>
                <w:highlight w:val="none"/>
                <w:lang w:val="en-US" w:eastAsia="zh-CN"/>
              </w:rPr>
              <w:t>在车间及化学品存放仓库</w:t>
            </w:r>
            <w:r>
              <w:rPr>
                <w:rFonts w:hint="eastAsia" w:ascii="宋体" w:hAnsi="宋体"/>
                <w:color w:val="auto"/>
                <w:sz w:val="21"/>
                <w:szCs w:val="21"/>
                <w:highlight w:val="none"/>
              </w:rPr>
              <w:t>设立警告牌(严禁烟火)；</w:t>
            </w:r>
          </w:p>
          <w:p w14:paraId="6DD4AE57">
            <w:pPr>
              <w:spacing w:line="360" w:lineRule="auto"/>
              <w:ind w:firstLine="420" w:firstLineChars="200"/>
              <w:rPr>
                <w:rFonts w:hint="eastAsia" w:ascii="宋体" w:hAnsi="宋体"/>
                <w:color w:val="auto"/>
                <w:sz w:val="21"/>
                <w:szCs w:val="21"/>
                <w:highlight w:val="none"/>
              </w:rPr>
            </w:pPr>
            <w:r>
              <w:rPr>
                <w:rFonts w:hint="eastAsia" w:ascii="宋体" w:hAnsi="宋体"/>
                <w:color w:val="auto"/>
                <w:sz w:val="21"/>
                <w:szCs w:val="21"/>
                <w:highlight w:val="none"/>
              </w:rPr>
              <w:fldChar w:fldCharType="begin"/>
            </w:r>
            <w:r>
              <w:rPr>
                <w:rFonts w:hint="eastAsia" w:ascii="宋体" w:hAnsi="宋体"/>
                <w:color w:val="auto"/>
                <w:sz w:val="21"/>
                <w:szCs w:val="21"/>
                <w:highlight w:val="none"/>
              </w:rPr>
              <w:instrText xml:space="preserve"> = 2 \* GB3 \* MERGEFORMAT </w:instrText>
            </w:r>
            <w:r>
              <w:rPr>
                <w:rFonts w:hint="eastAsia" w:ascii="宋体" w:hAnsi="宋体"/>
                <w:color w:val="auto"/>
                <w:sz w:val="21"/>
                <w:szCs w:val="21"/>
                <w:highlight w:val="none"/>
              </w:rPr>
              <w:fldChar w:fldCharType="separate"/>
            </w:r>
            <w:r>
              <w:rPr>
                <w:color w:val="auto"/>
                <w:highlight w:val="none"/>
              </w:rPr>
              <w:t>②</w:t>
            </w:r>
            <w:r>
              <w:rPr>
                <w:rFonts w:hint="eastAsia" w:ascii="宋体" w:hAnsi="宋体"/>
                <w:color w:val="auto"/>
                <w:sz w:val="21"/>
                <w:szCs w:val="21"/>
                <w:highlight w:val="none"/>
              </w:rPr>
              <w:fldChar w:fldCharType="end"/>
            </w:r>
            <w:r>
              <w:rPr>
                <w:rFonts w:hint="eastAsia" w:ascii="宋体" w:hAnsi="宋体"/>
                <w:color w:val="auto"/>
                <w:sz w:val="21"/>
                <w:szCs w:val="21"/>
                <w:highlight w:val="none"/>
              </w:rPr>
              <w:t>对</w:t>
            </w:r>
            <w:r>
              <w:rPr>
                <w:rFonts w:hint="eastAsia" w:ascii="宋体" w:hAnsi="宋体"/>
                <w:color w:val="auto"/>
                <w:sz w:val="21"/>
                <w:szCs w:val="21"/>
                <w:highlight w:val="none"/>
                <w:lang w:val="en-US" w:eastAsia="zh-CN"/>
              </w:rPr>
              <w:t>化学品存放仓库</w:t>
            </w:r>
            <w:r>
              <w:rPr>
                <w:rFonts w:hint="eastAsia" w:ascii="宋体" w:hAnsi="宋体"/>
                <w:color w:val="auto"/>
                <w:sz w:val="21"/>
                <w:szCs w:val="21"/>
                <w:highlight w:val="none"/>
              </w:rPr>
              <w:t>、</w:t>
            </w:r>
            <w:r>
              <w:rPr>
                <w:rFonts w:hint="eastAsia" w:ascii="宋体" w:hAnsi="宋体"/>
                <w:color w:val="auto"/>
                <w:sz w:val="21"/>
                <w:szCs w:val="21"/>
                <w:highlight w:val="none"/>
                <w:lang w:val="en-US" w:eastAsia="zh-CN"/>
              </w:rPr>
              <w:t>生产车间、</w:t>
            </w:r>
            <w:r>
              <w:rPr>
                <w:rFonts w:hint="eastAsia" w:ascii="宋体" w:hAnsi="宋体"/>
                <w:color w:val="auto"/>
                <w:sz w:val="21"/>
                <w:szCs w:val="21"/>
                <w:highlight w:val="none"/>
              </w:rPr>
              <w:t>危废暂存间实行定期的巡检制度，及时发现问题，尽快解决；</w:t>
            </w:r>
          </w:p>
          <w:p w14:paraId="11166B94">
            <w:pPr>
              <w:spacing w:line="360" w:lineRule="auto"/>
              <w:ind w:firstLine="420" w:firstLineChars="200"/>
              <w:rPr>
                <w:rFonts w:hint="default" w:ascii="宋体" w:hAnsi="宋体" w:eastAsia="宋体"/>
                <w:color w:val="auto"/>
                <w:sz w:val="21"/>
                <w:szCs w:val="21"/>
                <w:highlight w:val="none"/>
                <w:lang w:val="en-US" w:eastAsia="zh-CN"/>
              </w:rPr>
            </w:pPr>
            <w:r>
              <w:rPr>
                <w:rFonts w:hint="eastAsia" w:ascii="宋体" w:hAnsi="宋体"/>
                <w:color w:val="auto"/>
                <w:sz w:val="21"/>
                <w:szCs w:val="21"/>
                <w:highlight w:val="none"/>
              </w:rPr>
              <w:fldChar w:fldCharType="begin"/>
            </w:r>
            <w:r>
              <w:rPr>
                <w:rFonts w:hint="eastAsia" w:ascii="宋体" w:hAnsi="宋体"/>
                <w:color w:val="auto"/>
                <w:sz w:val="21"/>
                <w:szCs w:val="21"/>
                <w:highlight w:val="none"/>
              </w:rPr>
              <w:instrText xml:space="preserve"> = 3 \* GB3 \* MERGEFORMAT </w:instrText>
            </w:r>
            <w:r>
              <w:rPr>
                <w:rFonts w:hint="eastAsia" w:ascii="宋体" w:hAnsi="宋体"/>
                <w:color w:val="auto"/>
                <w:sz w:val="21"/>
                <w:szCs w:val="21"/>
                <w:highlight w:val="none"/>
              </w:rPr>
              <w:fldChar w:fldCharType="separate"/>
            </w:r>
            <w:r>
              <w:rPr>
                <w:color w:val="auto"/>
                <w:highlight w:val="none"/>
              </w:rPr>
              <w:t>③</w:t>
            </w:r>
            <w:r>
              <w:rPr>
                <w:rFonts w:hint="eastAsia" w:ascii="宋体" w:hAnsi="宋体"/>
                <w:color w:val="auto"/>
                <w:sz w:val="21"/>
                <w:szCs w:val="21"/>
                <w:highlight w:val="none"/>
              </w:rPr>
              <w:fldChar w:fldCharType="end"/>
            </w:r>
            <w:r>
              <w:rPr>
                <w:rFonts w:hint="eastAsia" w:ascii="宋体" w:hAnsi="宋体"/>
                <w:color w:val="auto"/>
                <w:sz w:val="21"/>
                <w:szCs w:val="21"/>
                <w:highlight w:val="none"/>
              </w:rPr>
              <w:t>设置独立的危废暂存间。危废暂存间应</w:t>
            </w:r>
            <w:r>
              <w:rPr>
                <w:rFonts w:hint="eastAsia" w:ascii="宋体" w:hAnsi="宋体"/>
                <w:color w:val="auto"/>
                <w:sz w:val="21"/>
                <w:szCs w:val="21"/>
                <w:highlight w:val="none"/>
                <w:lang w:eastAsia="zh-CN"/>
              </w:rPr>
              <w:t>设置</w:t>
            </w:r>
            <w:r>
              <w:rPr>
                <w:rFonts w:hint="eastAsia" w:ascii="宋体" w:hAnsi="宋体"/>
                <w:color w:val="auto"/>
                <w:sz w:val="21"/>
                <w:szCs w:val="21"/>
                <w:highlight w:val="none"/>
              </w:rPr>
              <w:t>防腐措施，并进行分区，并设置危险标志</w:t>
            </w:r>
            <w:r>
              <w:rPr>
                <w:rFonts w:hint="eastAsia" w:ascii="宋体" w:hAnsi="宋体"/>
                <w:color w:val="auto"/>
                <w:sz w:val="21"/>
                <w:szCs w:val="21"/>
                <w:highlight w:val="none"/>
                <w:lang w:eastAsia="zh-CN"/>
              </w:rPr>
              <w:t>，</w:t>
            </w:r>
            <w:r>
              <w:rPr>
                <w:rFonts w:hint="eastAsia" w:ascii="宋体" w:hAnsi="宋体"/>
                <w:color w:val="auto"/>
                <w:sz w:val="21"/>
                <w:szCs w:val="21"/>
                <w:highlight w:val="none"/>
                <w:lang w:val="en-US" w:eastAsia="zh-CN"/>
              </w:rPr>
              <w:t>设置围堰。</w:t>
            </w:r>
          </w:p>
          <w:p w14:paraId="64564A52">
            <w:pPr>
              <w:spacing w:line="360" w:lineRule="auto"/>
              <w:ind w:firstLine="420" w:firstLineChars="200"/>
              <w:rPr>
                <w:rFonts w:hint="eastAsia" w:ascii="宋体" w:hAnsi="宋体"/>
                <w:color w:val="auto"/>
                <w:sz w:val="21"/>
                <w:szCs w:val="21"/>
                <w:highlight w:val="none"/>
              </w:rPr>
            </w:pPr>
            <w:r>
              <w:rPr>
                <w:rFonts w:hint="eastAsia" w:ascii="宋体" w:hAnsi="宋体"/>
                <w:color w:val="auto"/>
                <w:sz w:val="21"/>
                <w:szCs w:val="21"/>
                <w:highlight w:val="none"/>
              </w:rPr>
              <w:fldChar w:fldCharType="begin"/>
            </w:r>
            <w:r>
              <w:rPr>
                <w:rFonts w:hint="eastAsia" w:ascii="宋体" w:hAnsi="宋体"/>
                <w:color w:val="auto"/>
                <w:sz w:val="21"/>
                <w:szCs w:val="21"/>
                <w:highlight w:val="none"/>
              </w:rPr>
              <w:instrText xml:space="preserve"> = 4 \* GB3 \* MERGEFORMAT </w:instrText>
            </w:r>
            <w:r>
              <w:rPr>
                <w:rFonts w:hint="eastAsia" w:ascii="宋体" w:hAnsi="宋体"/>
                <w:color w:val="auto"/>
                <w:sz w:val="21"/>
                <w:szCs w:val="21"/>
                <w:highlight w:val="none"/>
              </w:rPr>
              <w:fldChar w:fldCharType="separate"/>
            </w:r>
            <w:r>
              <w:rPr>
                <w:color w:val="auto"/>
                <w:highlight w:val="none"/>
              </w:rPr>
              <w:t>④</w:t>
            </w:r>
            <w:r>
              <w:rPr>
                <w:rFonts w:hint="eastAsia" w:ascii="宋体" w:hAnsi="宋体"/>
                <w:color w:val="auto"/>
                <w:sz w:val="21"/>
                <w:szCs w:val="21"/>
                <w:highlight w:val="none"/>
              </w:rPr>
              <w:fldChar w:fldCharType="end"/>
            </w:r>
            <w:r>
              <w:rPr>
                <w:rFonts w:hint="eastAsia" w:ascii="宋体" w:hAnsi="宋体"/>
                <w:color w:val="auto"/>
                <w:sz w:val="21"/>
                <w:szCs w:val="21"/>
                <w:highlight w:val="none"/>
              </w:rPr>
              <w:t>针对废气治理设施故障。立即停工，对相关故障设施进行维修，正常运行后才重新生产；</w:t>
            </w:r>
          </w:p>
          <w:p w14:paraId="4C27A4D8">
            <w:pPr>
              <w:spacing w:line="360" w:lineRule="auto"/>
              <w:ind w:firstLine="420" w:firstLineChars="200"/>
              <w:rPr>
                <w:rFonts w:hint="eastAsia" w:ascii="宋体" w:hAnsi="宋体"/>
                <w:color w:val="auto"/>
                <w:sz w:val="21"/>
                <w:szCs w:val="21"/>
                <w:highlight w:val="none"/>
              </w:rPr>
            </w:pPr>
            <w:r>
              <w:rPr>
                <w:rFonts w:hint="eastAsia" w:ascii="宋体" w:hAnsi="宋体"/>
                <w:color w:val="auto"/>
                <w:sz w:val="21"/>
                <w:szCs w:val="21"/>
                <w:highlight w:val="none"/>
              </w:rPr>
              <w:fldChar w:fldCharType="begin"/>
            </w:r>
            <w:r>
              <w:rPr>
                <w:rFonts w:hint="eastAsia" w:ascii="宋体" w:hAnsi="宋体"/>
                <w:color w:val="auto"/>
                <w:sz w:val="21"/>
                <w:szCs w:val="21"/>
                <w:highlight w:val="none"/>
              </w:rPr>
              <w:instrText xml:space="preserve"> = 5 \* GB3 \* MERGEFORMAT </w:instrText>
            </w:r>
            <w:r>
              <w:rPr>
                <w:rFonts w:hint="eastAsia" w:ascii="宋体" w:hAnsi="宋体"/>
                <w:color w:val="auto"/>
                <w:sz w:val="21"/>
                <w:szCs w:val="21"/>
                <w:highlight w:val="none"/>
              </w:rPr>
              <w:fldChar w:fldCharType="separate"/>
            </w:r>
            <w:r>
              <w:rPr>
                <w:color w:val="auto"/>
                <w:highlight w:val="none"/>
              </w:rPr>
              <w:t>⑤</w:t>
            </w:r>
            <w:r>
              <w:rPr>
                <w:rFonts w:hint="eastAsia" w:ascii="宋体" w:hAnsi="宋体"/>
                <w:color w:val="auto"/>
                <w:sz w:val="21"/>
                <w:szCs w:val="21"/>
                <w:highlight w:val="none"/>
              </w:rPr>
              <w:fldChar w:fldCharType="end"/>
            </w:r>
            <w:r>
              <w:rPr>
                <w:rFonts w:hint="eastAsia" w:ascii="宋体" w:hAnsi="宋体"/>
                <w:color w:val="auto"/>
                <w:sz w:val="21"/>
                <w:szCs w:val="21"/>
                <w:highlight w:val="none"/>
              </w:rPr>
              <w:t>对于危险物质的储存，应配备应急的器械和有关用具，如灭火器、沙池、隔板等，并建议在</w:t>
            </w:r>
            <w:r>
              <w:rPr>
                <w:rFonts w:hint="eastAsia" w:ascii="宋体" w:hAnsi="宋体"/>
                <w:color w:val="auto"/>
                <w:sz w:val="21"/>
                <w:szCs w:val="21"/>
                <w:highlight w:val="none"/>
                <w:lang w:val="en-US" w:eastAsia="zh-CN"/>
              </w:rPr>
              <w:t>液态化学品</w:t>
            </w:r>
            <w:r>
              <w:rPr>
                <w:rFonts w:hint="eastAsia" w:ascii="宋体" w:hAnsi="宋体"/>
                <w:color w:val="auto"/>
                <w:sz w:val="21"/>
                <w:szCs w:val="21"/>
                <w:highlight w:val="none"/>
              </w:rPr>
              <w:t>储存处设置缓坡或地面留有导流槽（或池），以备</w:t>
            </w:r>
            <w:r>
              <w:rPr>
                <w:rFonts w:hint="eastAsia" w:ascii="宋体" w:hAnsi="宋体"/>
                <w:color w:val="auto"/>
                <w:sz w:val="21"/>
                <w:szCs w:val="21"/>
                <w:highlight w:val="none"/>
                <w:lang w:val="en-US" w:eastAsia="zh-CN"/>
              </w:rPr>
              <w:t>液态化学品</w:t>
            </w:r>
            <w:r>
              <w:rPr>
                <w:rFonts w:hint="eastAsia" w:ascii="宋体" w:hAnsi="宋体"/>
                <w:color w:val="auto"/>
                <w:sz w:val="21"/>
                <w:szCs w:val="21"/>
                <w:highlight w:val="none"/>
              </w:rPr>
              <w:t>在洒落或泄漏时能临时清理存放，</w:t>
            </w:r>
            <w:r>
              <w:rPr>
                <w:rFonts w:hint="eastAsia" w:ascii="宋体" w:hAnsi="宋体"/>
                <w:color w:val="auto"/>
                <w:sz w:val="21"/>
                <w:szCs w:val="21"/>
                <w:highlight w:val="none"/>
                <w:lang w:val="en-US" w:eastAsia="zh-CN"/>
              </w:rPr>
              <w:t>液态化学品</w:t>
            </w:r>
            <w:r>
              <w:rPr>
                <w:rFonts w:hint="eastAsia" w:ascii="宋体" w:hAnsi="宋体"/>
                <w:color w:val="auto"/>
                <w:sz w:val="21"/>
                <w:szCs w:val="21"/>
                <w:highlight w:val="none"/>
              </w:rPr>
              <w:t>储存应由具有该方面经验的专人进行管理</w:t>
            </w:r>
            <w:r>
              <w:rPr>
                <w:rFonts w:hint="eastAsia" w:ascii="宋体" w:hAnsi="宋体"/>
                <w:color w:val="auto"/>
                <w:sz w:val="21"/>
                <w:szCs w:val="21"/>
                <w:highlight w:val="none"/>
                <w:lang w:eastAsia="zh-CN"/>
              </w:rPr>
              <w:t>，</w:t>
            </w:r>
            <w:r>
              <w:rPr>
                <w:rFonts w:hint="eastAsia" w:ascii="宋体" w:hAnsi="宋体"/>
                <w:color w:val="auto"/>
                <w:sz w:val="21"/>
                <w:szCs w:val="21"/>
                <w:highlight w:val="none"/>
                <w:lang w:val="en-US" w:eastAsia="zh-CN"/>
              </w:rPr>
              <w:t>加强隐患排查</w:t>
            </w:r>
            <w:r>
              <w:rPr>
                <w:rFonts w:hint="eastAsia" w:ascii="宋体" w:hAnsi="宋体"/>
                <w:color w:val="auto"/>
                <w:sz w:val="21"/>
                <w:szCs w:val="21"/>
                <w:highlight w:val="none"/>
              </w:rPr>
              <w:t>。</w:t>
            </w:r>
          </w:p>
          <w:p w14:paraId="46E8A0C6">
            <w:pPr>
              <w:spacing w:line="360" w:lineRule="auto"/>
              <w:ind w:firstLine="420" w:firstLineChars="200"/>
              <w:rPr>
                <w:rFonts w:hint="eastAsia" w:ascii="宋体" w:hAnsi="宋体"/>
                <w:color w:val="auto"/>
                <w:sz w:val="21"/>
                <w:szCs w:val="21"/>
                <w:highlight w:val="none"/>
              </w:rPr>
            </w:pPr>
            <w:r>
              <w:rPr>
                <w:rFonts w:hint="eastAsia" w:ascii="宋体" w:hAnsi="宋体"/>
                <w:color w:val="auto"/>
                <w:sz w:val="21"/>
                <w:szCs w:val="21"/>
                <w:highlight w:val="none"/>
              </w:rPr>
              <w:fldChar w:fldCharType="begin"/>
            </w:r>
            <w:r>
              <w:rPr>
                <w:rFonts w:hint="eastAsia" w:ascii="宋体" w:hAnsi="宋体"/>
                <w:color w:val="auto"/>
                <w:sz w:val="21"/>
                <w:szCs w:val="21"/>
                <w:highlight w:val="none"/>
              </w:rPr>
              <w:instrText xml:space="preserve"> = 6 \* GB3 \* MERGEFORMAT </w:instrText>
            </w:r>
            <w:r>
              <w:rPr>
                <w:rFonts w:hint="eastAsia" w:ascii="宋体" w:hAnsi="宋体"/>
                <w:color w:val="auto"/>
                <w:sz w:val="21"/>
                <w:szCs w:val="21"/>
                <w:highlight w:val="none"/>
              </w:rPr>
              <w:fldChar w:fldCharType="separate"/>
            </w:r>
            <w:r>
              <w:rPr>
                <w:color w:val="auto"/>
                <w:highlight w:val="none"/>
              </w:rPr>
              <w:t>⑥</w:t>
            </w:r>
            <w:r>
              <w:rPr>
                <w:rFonts w:hint="eastAsia" w:ascii="宋体" w:hAnsi="宋体"/>
                <w:color w:val="auto"/>
                <w:sz w:val="21"/>
                <w:szCs w:val="21"/>
                <w:highlight w:val="none"/>
              </w:rPr>
              <w:fldChar w:fldCharType="end"/>
            </w:r>
            <w:r>
              <w:rPr>
                <w:rFonts w:hint="eastAsia" w:ascii="宋体" w:hAnsi="宋体"/>
                <w:color w:val="auto"/>
                <w:sz w:val="21"/>
                <w:szCs w:val="21"/>
                <w:highlight w:val="none"/>
                <w:lang w:val="en-US" w:eastAsia="zh-CN"/>
              </w:rPr>
              <w:t>在化学品仓库周围</w:t>
            </w:r>
            <w:r>
              <w:rPr>
                <w:rFonts w:ascii="宋体" w:hAnsi="宋体"/>
                <w:color w:val="auto"/>
                <w:sz w:val="21"/>
                <w:szCs w:val="21"/>
                <w:highlight w:val="none"/>
              </w:rPr>
              <w:t>设置围堰</w:t>
            </w:r>
            <w:r>
              <w:rPr>
                <w:rFonts w:hint="eastAsia" w:ascii="宋体" w:hAnsi="宋体"/>
                <w:color w:val="auto"/>
                <w:sz w:val="21"/>
                <w:szCs w:val="21"/>
                <w:highlight w:val="none"/>
                <w:lang w:eastAsia="zh-CN"/>
              </w:rPr>
              <w:t>，需要严格检查容器或</w:t>
            </w:r>
            <w:r>
              <w:rPr>
                <w:rFonts w:hint="eastAsia" w:ascii="宋体" w:hAnsi="宋体"/>
                <w:color w:val="auto"/>
                <w:sz w:val="21"/>
                <w:szCs w:val="21"/>
                <w:highlight w:val="none"/>
                <w:lang w:val="en-US" w:eastAsia="zh-CN"/>
              </w:rPr>
              <w:t>转移</w:t>
            </w:r>
            <w:r>
              <w:rPr>
                <w:rFonts w:hint="eastAsia" w:ascii="宋体" w:hAnsi="宋体"/>
                <w:color w:val="auto"/>
                <w:sz w:val="21"/>
                <w:szCs w:val="21"/>
                <w:highlight w:val="none"/>
                <w:lang w:eastAsia="zh-CN"/>
              </w:rPr>
              <w:t>槽车的严密性和质量情况</w:t>
            </w:r>
            <w:r>
              <w:rPr>
                <w:rFonts w:hint="eastAsia" w:ascii="宋体" w:hAnsi="宋体"/>
                <w:color w:val="auto"/>
                <w:sz w:val="21"/>
                <w:szCs w:val="21"/>
                <w:highlight w:val="none"/>
              </w:rPr>
              <w:t>；</w:t>
            </w:r>
          </w:p>
          <w:p w14:paraId="4AE9A303">
            <w:pPr>
              <w:pStyle w:val="34"/>
              <w:keepNext w:val="0"/>
              <w:keepLines w:val="0"/>
              <w:pageBreakBefore w:val="0"/>
              <w:widowControl/>
              <w:kinsoku/>
              <w:wordWrap/>
              <w:overflowPunct/>
              <w:topLinePunct w:val="0"/>
              <w:autoSpaceDE/>
              <w:autoSpaceDN/>
              <w:bidi w:val="0"/>
              <w:adjustRightInd/>
              <w:snapToGrid/>
              <w:spacing w:line="360" w:lineRule="auto"/>
              <w:ind w:left="0" w:leftChars="0" w:firstLine="420" w:firstLineChars="200"/>
              <w:textAlignment w:val="auto"/>
              <w:rPr>
                <w:rFonts w:hint="eastAsia"/>
                <w:color w:val="auto"/>
                <w:highlight w:val="none"/>
              </w:rPr>
            </w:pPr>
            <w:r>
              <w:rPr>
                <w:rFonts w:hint="eastAsia" w:ascii="宋体" w:hAnsi="宋体" w:eastAsia="宋体" w:cs="宋体"/>
                <w:color w:val="auto"/>
                <w:sz w:val="21"/>
                <w:szCs w:val="21"/>
                <w:highlight w:val="none"/>
              </w:rPr>
              <w:t>⑦</w:t>
            </w:r>
            <w:r>
              <w:rPr>
                <w:rFonts w:hint="eastAsia" w:ascii="宋体" w:hAnsi="宋体" w:eastAsia="宋体" w:cs="宋体"/>
                <w:color w:val="auto"/>
                <w:sz w:val="21"/>
                <w:szCs w:val="21"/>
                <w:highlight w:val="none"/>
                <w:lang w:val="en-US" w:eastAsia="zh-CN"/>
              </w:rPr>
              <w:t>厂区设置雨水总排口截止阀，</w:t>
            </w:r>
            <w:r>
              <w:rPr>
                <w:rFonts w:hint="eastAsia" w:ascii="宋体" w:hAnsi="宋体" w:eastAsia="宋体" w:cs="宋体"/>
                <w:color w:val="auto"/>
                <w:sz w:val="21"/>
                <w:szCs w:val="21"/>
                <w:highlight w:val="none"/>
              </w:rPr>
              <w:t>项目厂房进出口均设置缓坡及消防沙袋，项目产生消防事故时，产生的废水均能截留于厂内并设置事故废水收集</w:t>
            </w:r>
            <w:r>
              <w:rPr>
                <w:rFonts w:hint="eastAsia" w:ascii="宋体" w:hAnsi="宋体" w:eastAsia="宋体" w:cs="宋体"/>
                <w:color w:val="auto"/>
                <w:sz w:val="21"/>
                <w:szCs w:val="21"/>
                <w:highlight w:val="none"/>
                <w:lang w:val="en-US" w:eastAsia="zh-CN"/>
              </w:rPr>
              <w:t>和储存</w:t>
            </w:r>
            <w:r>
              <w:rPr>
                <w:rFonts w:hint="eastAsia" w:ascii="宋体" w:hAnsi="宋体" w:eastAsia="宋体" w:cs="宋体"/>
                <w:color w:val="auto"/>
                <w:sz w:val="21"/>
                <w:szCs w:val="21"/>
                <w:highlight w:val="none"/>
              </w:rPr>
              <w:t>设备。</w:t>
            </w:r>
          </w:p>
          <w:p w14:paraId="00C36201">
            <w:pPr>
              <w:spacing w:line="360" w:lineRule="auto"/>
              <w:ind w:firstLine="422" w:firstLineChars="200"/>
              <w:rPr>
                <w:b/>
                <w:bCs/>
                <w:color w:val="auto"/>
                <w:kern w:val="0"/>
                <w:sz w:val="21"/>
                <w:szCs w:val="21"/>
                <w:highlight w:val="none"/>
              </w:rPr>
            </w:pPr>
            <w:r>
              <w:rPr>
                <w:rFonts w:ascii="宋体" w:hAnsi="宋体"/>
                <w:b/>
                <w:bCs/>
                <w:color w:val="auto"/>
                <w:kern w:val="0"/>
                <w:sz w:val="21"/>
                <w:szCs w:val="21"/>
                <w:highlight w:val="none"/>
              </w:rPr>
              <w:t>小结</w:t>
            </w:r>
          </w:p>
          <w:p w14:paraId="49555A61">
            <w:pPr>
              <w:spacing w:line="360" w:lineRule="auto"/>
              <w:ind w:firstLine="420" w:firstLineChars="200"/>
              <w:rPr>
                <w:rFonts w:hint="eastAsia" w:ascii="宋体" w:hAnsi="宋体" w:eastAsia="宋体"/>
                <w:color w:val="auto"/>
                <w:kern w:val="0"/>
                <w:sz w:val="21"/>
                <w:szCs w:val="21"/>
                <w:highlight w:val="none"/>
                <w:lang w:eastAsia="zh-CN"/>
              </w:rPr>
            </w:pPr>
            <w:r>
              <w:rPr>
                <w:rFonts w:ascii="宋体" w:hAnsi="宋体"/>
                <w:color w:val="auto"/>
                <w:kern w:val="0"/>
                <w:sz w:val="21"/>
                <w:szCs w:val="21"/>
                <w:highlight w:val="none"/>
              </w:rPr>
              <w:t>综上所述，根据项目风险分析，本项目潜在的风险</w:t>
            </w:r>
            <w:r>
              <w:rPr>
                <w:rFonts w:hint="eastAsia" w:ascii="宋体" w:hAnsi="宋体"/>
                <w:color w:val="auto"/>
                <w:kern w:val="0"/>
                <w:sz w:val="21"/>
                <w:szCs w:val="21"/>
                <w:highlight w:val="none"/>
                <w:lang w:val="en-US" w:eastAsia="zh-CN"/>
              </w:rPr>
              <w:t>主要为</w:t>
            </w:r>
            <w:r>
              <w:rPr>
                <w:rFonts w:hint="eastAsia" w:ascii="宋体" w:hAnsi="宋体"/>
                <w:color w:val="auto"/>
                <w:kern w:val="0"/>
                <w:sz w:val="21"/>
                <w:szCs w:val="21"/>
                <w:highlight w:val="none"/>
              </w:rPr>
              <w:t>可燃物质遇明火引发火灾甚至爆炸导致大气、地表水污染</w:t>
            </w:r>
            <w:r>
              <w:rPr>
                <w:rFonts w:hint="eastAsia" w:ascii="宋体" w:hAnsi="宋体"/>
                <w:color w:val="auto"/>
                <w:kern w:val="0"/>
                <w:sz w:val="21"/>
                <w:szCs w:val="21"/>
                <w:highlight w:val="none"/>
                <w:lang w:eastAsia="zh-CN"/>
              </w:rPr>
              <w:t>，</w:t>
            </w:r>
            <w:r>
              <w:rPr>
                <w:rFonts w:hint="eastAsia" w:ascii="宋体" w:hAnsi="宋体"/>
                <w:color w:val="auto"/>
                <w:kern w:val="0"/>
                <w:sz w:val="21"/>
                <w:szCs w:val="21"/>
                <w:highlight w:val="none"/>
                <w:lang w:val="en-US" w:eastAsia="zh-CN"/>
              </w:rPr>
              <w:t>化学品</w:t>
            </w:r>
            <w:r>
              <w:rPr>
                <w:rFonts w:hint="eastAsia" w:ascii="宋体" w:hAnsi="宋体"/>
                <w:color w:val="auto"/>
                <w:kern w:val="0"/>
                <w:sz w:val="21"/>
                <w:szCs w:val="21"/>
                <w:highlight w:val="none"/>
              </w:rPr>
              <w:t>、废水和危险废物</w:t>
            </w:r>
            <w:r>
              <w:rPr>
                <w:rFonts w:hint="eastAsia" w:ascii="宋体" w:hAnsi="宋体"/>
                <w:color w:val="auto"/>
                <w:kern w:val="0"/>
                <w:sz w:val="21"/>
                <w:szCs w:val="21"/>
                <w:highlight w:val="none"/>
                <w:lang w:eastAsia="zh-CN"/>
              </w:rPr>
              <w:t>泄漏</w:t>
            </w:r>
            <w:r>
              <w:rPr>
                <w:rFonts w:hint="eastAsia" w:ascii="宋体" w:hAnsi="宋体"/>
                <w:color w:val="auto"/>
                <w:kern w:val="0"/>
                <w:sz w:val="21"/>
                <w:szCs w:val="21"/>
                <w:highlight w:val="none"/>
              </w:rPr>
              <w:t>导致地下水、土壤</w:t>
            </w:r>
            <w:r>
              <w:rPr>
                <w:rFonts w:hint="eastAsia" w:ascii="宋体" w:hAnsi="宋体"/>
                <w:color w:val="auto"/>
                <w:kern w:val="0"/>
                <w:sz w:val="21"/>
                <w:szCs w:val="21"/>
                <w:highlight w:val="none"/>
                <w:lang w:eastAsia="zh-CN"/>
              </w:rPr>
              <w:t>、</w:t>
            </w:r>
            <w:r>
              <w:rPr>
                <w:rFonts w:hint="eastAsia" w:ascii="宋体" w:hAnsi="宋体"/>
                <w:color w:val="auto"/>
                <w:kern w:val="0"/>
                <w:sz w:val="21"/>
                <w:szCs w:val="21"/>
                <w:highlight w:val="none"/>
                <w:lang w:val="en-US" w:eastAsia="zh-CN"/>
              </w:rPr>
              <w:t>大气</w:t>
            </w:r>
            <w:r>
              <w:rPr>
                <w:rFonts w:hint="eastAsia" w:ascii="宋体" w:hAnsi="宋体"/>
                <w:color w:val="auto"/>
                <w:kern w:val="0"/>
                <w:sz w:val="21"/>
                <w:szCs w:val="21"/>
                <w:highlight w:val="none"/>
              </w:rPr>
              <w:t>污染</w:t>
            </w:r>
            <w:r>
              <w:rPr>
                <w:rFonts w:hint="eastAsia" w:ascii="宋体" w:hAnsi="宋体"/>
                <w:color w:val="auto"/>
                <w:kern w:val="0"/>
                <w:sz w:val="21"/>
                <w:szCs w:val="21"/>
                <w:highlight w:val="none"/>
                <w:lang w:eastAsia="zh-CN"/>
              </w:rPr>
              <w:t>；</w:t>
            </w:r>
          </w:p>
          <w:p w14:paraId="1445ECDA">
            <w:pPr>
              <w:spacing w:line="360" w:lineRule="auto"/>
              <w:ind w:firstLine="420" w:firstLineChars="200"/>
              <w:rPr>
                <w:rFonts w:ascii="宋体" w:hAnsi="宋体"/>
                <w:color w:val="auto"/>
                <w:kern w:val="0"/>
                <w:sz w:val="21"/>
                <w:szCs w:val="21"/>
                <w:highlight w:val="none"/>
              </w:rPr>
            </w:pPr>
            <w:r>
              <w:rPr>
                <w:rFonts w:ascii="宋体" w:hAnsi="宋体"/>
                <w:color w:val="auto"/>
                <w:kern w:val="0"/>
                <w:sz w:val="21"/>
                <w:szCs w:val="21"/>
                <w:highlight w:val="none"/>
              </w:rPr>
              <w:t>建设单位应按照本报告表，做好各项风险的预防和应急措施，可将环境风险水平控制在较小范围内。</w:t>
            </w:r>
          </w:p>
          <w:p w14:paraId="216E3598">
            <w:pPr>
              <w:pStyle w:val="46"/>
              <w:spacing w:line="360" w:lineRule="auto"/>
              <w:ind w:firstLine="420" w:firstLineChars="200"/>
              <w:jc w:val="left"/>
              <w:rPr>
                <w:rFonts w:hint="eastAsia" w:hAnsi="宋体"/>
                <w:bCs/>
                <w:color w:val="auto"/>
                <w:sz w:val="21"/>
                <w:szCs w:val="21"/>
                <w:highlight w:val="none"/>
              </w:rPr>
            </w:pPr>
            <w:r>
              <w:rPr>
                <w:rFonts w:hint="eastAsia" w:hAnsi="宋体"/>
                <w:color w:val="auto"/>
                <w:sz w:val="21"/>
                <w:szCs w:val="21"/>
                <w:highlight w:val="none"/>
              </w:rPr>
              <w:t>项目存在的环境风险通过采取加强管理、配备应急器械、设置缓坡或导流槽、定期检查、建立预警信息系统等风险防范措施，</w:t>
            </w:r>
            <w:r>
              <w:rPr>
                <w:rFonts w:hint="eastAsia" w:hAnsi="宋体"/>
                <w:bCs/>
                <w:color w:val="auto"/>
                <w:sz w:val="21"/>
                <w:szCs w:val="21"/>
                <w:highlight w:val="none"/>
              </w:rPr>
              <w:t>可以有效预防和控制环境风险。</w:t>
            </w:r>
          </w:p>
          <w:p w14:paraId="33B09245">
            <w:pPr>
              <w:spacing w:line="360" w:lineRule="auto"/>
              <w:ind w:firstLine="420" w:firstLineChars="200"/>
              <w:rPr>
                <w:rFonts w:hAnsi="宋体"/>
                <w:color w:val="auto"/>
                <w:kern w:val="2"/>
                <w:sz w:val="21"/>
                <w:szCs w:val="21"/>
                <w:highlight w:val="none"/>
              </w:rPr>
            </w:pPr>
            <w:r>
              <w:rPr>
                <w:rFonts w:ascii="宋体" w:hAnsi="宋体"/>
                <w:color w:val="auto"/>
                <w:kern w:val="0"/>
                <w:sz w:val="21"/>
                <w:szCs w:val="21"/>
                <w:highlight w:val="none"/>
              </w:rPr>
              <w:t>项目在严格落实环评提出各项措施和要求的前提下，项目风险</w:t>
            </w:r>
            <w:r>
              <w:rPr>
                <w:rFonts w:hint="eastAsia" w:ascii="宋体" w:hAnsi="宋体"/>
                <w:color w:val="auto"/>
                <w:kern w:val="0"/>
                <w:sz w:val="21"/>
                <w:szCs w:val="21"/>
                <w:highlight w:val="none"/>
                <w:lang w:val="en-US" w:eastAsia="zh-CN"/>
              </w:rPr>
              <w:t>可控</w:t>
            </w:r>
            <w:r>
              <w:rPr>
                <w:rFonts w:ascii="宋体" w:hAnsi="宋体"/>
                <w:color w:val="auto"/>
                <w:kern w:val="0"/>
                <w:sz w:val="21"/>
                <w:szCs w:val="21"/>
                <w:highlight w:val="none"/>
              </w:rPr>
              <w:t>，对环境影响不大。</w:t>
            </w:r>
          </w:p>
          <w:p w14:paraId="75EA23D4">
            <w:pPr>
              <w:pStyle w:val="48"/>
              <w:keepNext w:val="0"/>
              <w:keepLines w:val="0"/>
              <w:pageBreakBefore w:val="0"/>
              <w:widowControl w:val="0"/>
              <w:kinsoku/>
              <w:wordWrap/>
              <w:overflowPunct/>
              <w:topLinePunct w:val="0"/>
              <w:autoSpaceDE/>
              <w:autoSpaceDN/>
              <w:bidi w:val="0"/>
              <w:adjustRightInd w:val="0"/>
              <w:snapToGrid/>
              <w:ind w:firstLine="442" w:firstLineChars="200"/>
              <w:textAlignment w:val="baseline"/>
              <w:rPr>
                <w:rFonts w:hint="default" w:eastAsia="宋体" w:cs="宋体"/>
                <w:b/>
                <w:bCs w:val="0"/>
                <w:color w:val="auto"/>
                <w:spacing w:val="-10"/>
                <w:szCs w:val="21"/>
                <w:highlight w:val="none"/>
                <w:lang w:val="en-US" w:eastAsia="zh-CN"/>
              </w:rPr>
            </w:pPr>
            <w:r>
              <w:rPr>
                <w:rFonts w:hint="eastAsia" w:cs="宋体"/>
                <w:b/>
                <w:bCs w:val="0"/>
                <w:color w:val="auto"/>
                <w:spacing w:val="-10"/>
                <w:szCs w:val="21"/>
                <w:highlight w:val="none"/>
                <w:lang w:val="en-US" w:eastAsia="zh-CN"/>
              </w:rPr>
              <w:t>六、地下水及土壤环境影响分析</w:t>
            </w:r>
          </w:p>
          <w:p w14:paraId="091B65CB">
            <w:pPr>
              <w:keepNext w:val="0"/>
              <w:keepLines w:val="0"/>
              <w:pageBreakBefore w:val="0"/>
              <w:widowControl w:val="0"/>
              <w:kinsoku/>
              <w:bidi w:val="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根据《环境影响评价技术导则 地下水环境》（HJ610-2016）和研究表明，最常见的潜水污染是通过包气带渗入而污染，深层潜水及承压水的污染是通过各类井孔、坑洞和断层等发生的，他们作为一种通道把其所揭露的含水层同地面污染源或已污染的含水层联系起来，造成深层地下水的污染。随着地下水的运动，形成地下水污染扩散带。</w:t>
            </w:r>
          </w:p>
          <w:p w14:paraId="7DCF2CA7">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20" w:firstLineChars="200"/>
              <w:textAlignment w:val="auto"/>
              <w:rPr>
                <w:rFonts w:hint="default" w:ascii="Times New Roman" w:hAnsi="Times New Roman" w:cs="Times New Roman"/>
                <w:color w:val="auto"/>
                <w:sz w:val="21"/>
                <w:szCs w:val="21"/>
                <w:highlight w:val="none"/>
              </w:rPr>
            </w:pPr>
            <w:r>
              <w:rPr>
                <w:rStyle w:val="45"/>
                <w:rFonts w:hint="eastAsia"/>
                <w:color w:val="auto"/>
                <w:sz w:val="21"/>
                <w:szCs w:val="21"/>
                <w:highlight w:val="none"/>
                <w:lang w:val="zh-CN"/>
              </w:rPr>
              <w:t>项目</w:t>
            </w:r>
            <w:r>
              <w:rPr>
                <w:rStyle w:val="45"/>
                <w:rFonts w:hint="eastAsia"/>
                <w:color w:val="auto"/>
                <w:sz w:val="21"/>
                <w:szCs w:val="21"/>
                <w:highlight w:val="none"/>
                <w:lang w:val="en-US" w:eastAsia="zh-CN"/>
              </w:rPr>
              <w:t>厂区</w:t>
            </w:r>
            <w:r>
              <w:rPr>
                <w:rStyle w:val="45"/>
                <w:rFonts w:hint="eastAsia"/>
                <w:color w:val="auto"/>
                <w:sz w:val="21"/>
                <w:szCs w:val="21"/>
                <w:highlight w:val="none"/>
                <w:lang w:val="zh-CN"/>
              </w:rPr>
              <w:t>内地面不存在裸露土壤地面，地面均设置了混凝土地面以及基础防渗措施，</w:t>
            </w:r>
            <w:r>
              <w:rPr>
                <w:rStyle w:val="45"/>
                <w:rFonts w:hint="eastAsia"/>
                <w:color w:val="auto"/>
                <w:sz w:val="21"/>
                <w:szCs w:val="21"/>
                <w:highlight w:val="none"/>
                <w:lang w:val="en-US" w:eastAsia="zh-CN"/>
              </w:rPr>
              <w:t>液态化学品储存场所</w:t>
            </w:r>
            <w:r>
              <w:rPr>
                <w:rStyle w:val="45"/>
                <w:rFonts w:hint="eastAsia"/>
                <w:color w:val="auto"/>
                <w:sz w:val="21"/>
                <w:szCs w:val="21"/>
                <w:highlight w:val="none"/>
                <w:lang w:val="zh-CN"/>
              </w:rPr>
              <w:t>进行防腐防渗处理；危险废物暂存区设置防风防雨、地面进行基础防渗处理，大气沉降影响主要为</w:t>
            </w:r>
            <w:r>
              <w:rPr>
                <w:rFonts w:hint="default" w:ascii="Times New Roman" w:hAnsi="Times New Roman" w:eastAsia="宋体" w:cs="Times New Roman"/>
                <w:color w:val="auto"/>
                <w:sz w:val="21"/>
                <w:szCs w:val="21"/>
                <w:highlight w:val="none"/>
                <w:lang w:val="en-US" w:eastAsia="zh-CN"/>
              </w:rPr>
              <w:t>生产废气（</w:t>
            </w:r>
            <w:r>
              <w:rPr>
                <w:rFonts w:hint="eastAsia" w:ascii="Times New Roman" w:hAnsi="Times New Roman" w:eastAsia="宋体" w:cs="Times New Roman"/>
                <w:color w:val="auto"/>
                <w:sz w:val="21"/>
                <w:szCs w:val="21"/>
                <w:highlight w:val="none"/>
                <w:lang w:val="en-US" w:eastAsia="zh-CN"/>
              </w:rPr>
              <w:t>自动线喷粉</w:t>
            </w:r>
            <w:r>
              <w:rPr>
                <w:rFonts w:hint="default" w:ascii="Times New Roman" w:hAnsi="Times New Roman" w:eastAsia="宋体" w:cs="Times New Roman"/>
                <w:color w:val="auto"/>
                <w:sz w:val="21"/>
                <w:szCs w:val="21"/>
                <w:highlight w:val="none"/>
                <w:lang w:val="en-US" w:eastAsia="zh-CN"/>
              </w:rPr>
              <w:t>废气、</w:t>
            </w:r>
            <w:r>
              <w:rPr>
                <w:rFonts w:hint="eastAsia" w:ascii="Times New Roman" w:hAnsi="Times New Roman" w:eastAsia="宋体" w:cs="Times New Roman"/>
                <w:color w:val="auto"/>
                <w:sz w:val="21"/>
                <w:szCs w:val="21"/>
                <w:highlight w:val="none"/>
                <w:lang w:val="en-US" w:eastAsia="zh-CN"/>
              </w:rPr>
              <w:t>手动线喷粉废气</w:t>
            </w:r>
            <w:r>
              <w:rPr>
                <w:rFonts w:hint="default" w:ascii="Times New Roman" w:hAnsi="Times New Roman" w:eastAsia="宋体" w:cs="Times New Roman"/>
                <w:color w:val="auto"/>
                <w:sz w:val="21"/>
                <w:szCs w:val="21"/>
                <w:highlight w:val="none"/>
                <w:lang w:val="en-US" w:eastAsia="zh-CN"/>
              </w:rPr>
              <w:t>、自动线固化工序废气和液化石油气燃烧废气、手动线面包炉固化工序废气</w:t>
            </w:r>
            <w:r>
              <w:rPr>
                <w:rFonts w:hint="eastAsia" w:ascii="Times New Roman" w:hAnsi="Times New Roman" w:eastAsia="宋体" w:cs="Times New Roman"/>
                <w:color w:val="auto"/>
                <w:sz w:val="21"/>
                <w:szCs w:val="21"/>
                <w:highlight w:val="none"/>
                <w:lang w:val="en-US" w:eastAsia="zh-CN"/>
              </w:rPr>
              <w:t>）。</w:t>
            </w:r>
            <w:r>
              <w:rPr>
                <w:rStyle w:val="45"/>
                <w:rFonts w:hint="eastAsia"/>
                <w:color w:val="auto"/>
                <w:sz w:val="21"/>
                <w:szCs w:val="21"/>
                <w:highlight w:val="none"/>
                <w:lang w:val="en-US" w:eastAsia="zh-CN"/>
              </w:rPr>
              <w:t>各种废气经</w:t>
            </w:r>
            <w:r>
              <w:rPr>
                <w:rStyle w:val="45"/>
                <w:rFonts w:hint="eastAsia"/>
                <w:color w:val="auto"/>
                <w:sz w:val="21"/>
                <w:szCs w:val="21"/>
                <w:highlight w:val="none"/>
                <w:lang w:val="zh-CN"/>
              </w:rPr>
              <w:t>处理后</w:t>
            </w:r>
            <w:r>
              <w:rPr>
                <w:rStyle w:val="45"/>
                <w:rFonts w:hint="eastAsia"/>
                <w:color w:val="auto"/>
                <w:sz w:val="21"/>
                <w:szCs w:val="21"/>
                <w:highlight w:val="none"/>
                <w:lang w:val="en-US" w:eastAsia="zh-CN"/>
              </w:rPr>
              <w:t>达标</w:t>
            </w:r>
            <w:r>
              <w:rPr>
                <w:rStyle w:val="45"/>
                <w:rFonts w:hint="eastAsia"/>
                <w:color w:val="auto"/>
                <w:sz w:val="21"/>
                <w:szCs w:val="21"/>
                <w:highlight w:val="none"/>
                <w:lang w:val="zh-CN"/>
              </w:rPr>
              <w:t>排放，不会对周边环境产生明显影响。</w:t>
            </w:r>
          </w:p>
          <w:p w14:paraId="7F297509">
            <w:pPr>
              <w:pStyle w:val="193"/>
              <w:keepNext w:val="0"/>
              <w:keepLines w:val="0"/>
              <w:pageBreakBefore w:val="0"/>
              <w:widowControl w:val="0"/>
              <w:kinsoku/>
              <w:bidi w:val="0"/>
              <w:spacing w:before="0" w:beforeLines="0" w:line="360" w:lineRule="auto"/>
              <w:ind w:firstLine="422"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地下水污染途径分析</w:t>
            </w:r>
          </w:p>
          <w:p w14:paraId="7CFCB8B0">
            <w:pPr>
              <w:pStyle w:val="60"/>
              <w:keepNext w:val="0"/>
              <w:keepLines w:val="0"/>
              <w:pageBreakBefore w:val="0"/>
              <w:widowControl w:val="0"/>
              <w:kinsoku/>
              <w:bidi w:val="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本项目营运期对地下水环境可能造成影响的污染源主要为</w:t>
            </w:r>
            <w:r>
              <w:rPr>
                <w:rFonts w:hint="default" w:ascii="Times New Roman" w:hAnsi="Times New Roman" w:cs="Times New Roman"/>
                <w:color w:val="auto"/>
                <w:sz w:val="21"/>
                <w:szCs w:val="21"/>
                <w:highlight w:val="none"/>
                <w:lang w:val="en-US" w:eastAsia="zh-CN"/>
              </w:rPr>
              <w:t>固体</w:t>
            </w:r>
            <w:r>
              <w:rPr>
                <w:rFonts w:hint="default" w:ascii="Times New Roman" w:hAnsi="Times New Roman" w:cs="Times New Roman"/>
                <w:color w:val="auto"/>
                <w:sz w:val="21"/>
                <w:szCs w:val="21"/>
                <w:highlight w:val="none"/>
              </w:rPr>
              <w:t>废物、液态化学品</w:t>
            </w:r>
            <w:r>
              <w:rPr>
                <w:rFonts w:hint="eastAsia" w:ascii="Times New Roman" w:hAnsi="Times New Roman" w:cs="Times New Roman"/>
                <w:color w:val="auto"/>
                <w:sz w:val="21"/>
                <w:szCs w:val="21"/>
                <w:highlight w:val="none"/>
                <w:lang w:eastAsia="zh-CN"/>
              </w:rPr>
              <w:t>泄漏</w:t>
            </w:r>
            <w:r>
              <w:rPr>
                <w:rFonts w:hint="default" w:ascii="Times New Roman" w:hAnsi="Times New Roman" w:cs="Times New Roman"/>
                <w:color w:val="auto"/>
                <w:sz w:val="21"/>
                <w:szCs w:val="21"/>
                <w:highlight w:val="none"/>
              </w:rPr>
              <w:t>，主要污染物为废水与固体废物。对地下水产生污染的途径主要是渗透污染。具体的污染途径如下：</w:t>
            </w:r>
          </w:p>
          <w:p w14:paraId="622B82E6">
            <w:pPr>
              <w:pStyle w:val="60"/>
              <w:keepNext w:val="0"/>
              <w:keepLines w:val="0"/>
              <w:pageBreakBefore w:val="0"/>
              <w:widowControl w:val="0"/>
              <w:kinsoku/>
              <w:bidi w:val="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1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lang w:val="en-US" w:eastAsia="zh-CN"/>
              </w:rPr>
              <w:t>一般固体暂存地及</w:t>
            </w:r>
            <w:r>
              <w:rPr>
                <w:rFonts w:hint="default" w:ascii="Times New Roman" w:hAnsi="Times New Roman" w:cs="Times New Roman"/>
                <w:color w:val="auto"/>
                <w:sz w:val="21"/>
                <w:szCs w:val="21"/>
                <w:highlight w:val="none"/>
              </w:rPr>
              <w:t>危险废物暂存地未做好</w:t>
            </w:r>
            <w:r>
              <w:rPr>
                <w:rFonts w:hint="eastAsia"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，导致</w:t>
            </w:r>
            <w:r>
              <w:rPr>
                <w:rFonts w:hint="eastAsia" w:ascii="Times New Roman" w:hAnsi="Times New Roman" w:cs="Times New Roman"/>
                <w:color w:val="auto"/>
                <w:sz w:val="21"/>
                <w:szCs w:val="21"/>
                <w:highlight w:val="none"/>
                <w:lang w:val="en-US" w:eastAsia="zh-CN"/>
              </w:rPr>
              <w:t>固废</w:t>
            </w:r>
            <w:r>
              <w:rPr>
                <w:rFonts w:hint="default" w:ascii="Times New Roman" w:hAnsi="Times New Roman" w:cs="Times New Roman"/>
                <w:color w:val="auto"/>
                <w:sz w:val="21"/>
                <w:szCs w:val="21"/>
                <w:highlight w:val="none"/>
                <w:lang w:val="en-US" w:eastAsia="zh-CN"/>
              </w:rPr>
              <w:t>渗滤液</w:t>
            </w:r>
            <w:r>
              <w:rPr>
                <w:rFonts w:hint="eastAsia" w:ascii="Times New Roman" w:hAnsi="Times New Roman" w:cs="Times New Roman"/>
                <w:color w:val="auto"/>
                <w:sz w:val="21"/>
                <w:szCs w:val="21"/>
                <w:highlight w:val="none"/>
                <w:lang w:val="en-US" w:eastAsia="zh-CN"/>
              </w:rPr>
              <w:t>进入</w:t>
            </w:r>
            <w:r>
              <w:rPr>
                <w:rFonts w:hint="default" w:ascii="Times New Roman" w:hAnsi="Times New Roman" w:cs="Times New Roman"/>
                <w:color w:val="auto"/>
                <w:sz w:val="21"/>
                <w:szCs w:val="21"/>
                <w:highlight w:val="none"/>
              </w:rPr>
              <w:t>地下，污染地下水；</w:t>
            </w:r>
          </w:p>
          <w:p w14:paraId="48A7A3CE">
            <w:pPr>
              <w:pStyle w:val="60"/>
              <w:keepNext w:val="0"/>
              <w:keepLines w:val="0"/>
              <w:pageBreakBefore w:val="0"/>
              <w:widowControl w:val="0"/>
              <w:kinsoku/>
              <w:bidi w:val="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2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②</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生活垃圾暂存地未做好防渗措施同时生活垃圾未及时清理走，导致生活垃圾渗滤液进入地下，污染地下水；</w:t>
            </w:r>
          </w:p>
          <w:p w14:paraId="78E83ACA">
            <w:pPr>
              <w:keepNext w:val="0"/>
              <w:keepLines w:val="0"/>
              <w:pageBreakBefore w:val="0"/>
              <w:widowControl w:val="0"/>
              <w:kinsoku/>
              <w:bidi w:val="0"/>
              <w:spacing w:line="360" w:lineRule="auto"/>
              <w:ind w:firstLine="420" w:firstLineChars="20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3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③</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lang w:val="en-US" w:eastAsia="zh-CN"/>
              </w:rPr>
              <w:t>液态化学品</w:t>
            </w:r>
            <w:r>
              <w:rPr>
                <w:rFonts w:hint="eastAsia" w:ascii="Times New Roman" w:hAnsi="Times New Roman" w:cs="Times New Roman"/>
                <w:color w:val="auto"/>
                <w:sz w:val="21"/>
                <w:szCs w:val="21"/>
                <w:highlight w:val="none"/>
                <w:lang w:val="en-US" w:eastAsia="zh-CN"/>
              </w:rPr>
              <w:t>（润滑油、除油剂、陶化剂液</w:t>
            </w:r>
            <w:r>
              <w:rPr>
                <w:rFonts w:hint="eastAsia"/>
                <w:color w:val="auto"/>
                <w:sz w:val="21"/>
                <w:szCs w:val="21"/>
                <w:highlight w:val="none"/>
                <w:lang w:val="en-US" w:eastAsia="zh-CN"/>
              </w:rPr>
              <w:t>等</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使用或者运输使用过程滴落，导致化学品</w:t>
            </w:r>
            <w:r>
              <w:rPr>
                <w:rFonts w:hint="eastAsia" w:ascii="Times New Roman" w:hAnsi="Times New Roman" w:cs="Times New Roman"/>
                <w:color w:val="auto"/>
                <w:sz w:val="21"/>
                <w:szCs w:val="21"/>
                <w:highlight w:val="none"/>
                <w:lang w:val="en-US" w:eastAsia="zh-CN"/>
              </w:rPr>
              <w:t>进入</w:t>
            </w:r>
            <w:r>
              <w:rPr>
                <w:rFonts w:hint="default" w:ascii="Times New Roman" w:hAnsi="Times New Roman" w:cs="Times New Roman"/>
                <w:color w:val="auto"/>
                <w:sz w:val="21"/>
                <w:szCs w:val="21"/>
                <w:highlight w:val="none"/>
                <w:lang w:val="en-US" w:eastAsia="zh-CN"/>
              </w:rPr>
              <w:t>地下，污染地下水；</w:t>
            </w:r>
          </w:p>
          <w:p w14:paraId="6FB826F2">
            <w:pPr>
              <w:pStyle w:val="193"/>
              <w:keepNext w:val="0"/>
              <w:keepLines w:val="0"/>
              <w:pageBreakBefore w:val="0"/>
              <w:widowControl w:val="0"/>
              <w:kinsoku/>
              <w:bidi w:val="0"/>
              <w:spacing w:before="0" w:beforeLines="0" w:line="360" w:lineRule="auto"/>
              <w:ind w:firstLine="422"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土壤</w:t>
            </w:r>
            <w:r>
              <w:rPr>
                <w:rFonts w:hint="default" w:ascii="Times New Roman" w:hAnsi="Times New Roman" w:cs="Times New Roman"/>
                <w:color w:val="auto"/>
                <w:sz w:val="21"/>
                <w:szCs w:val="21"/>
                <w:highlight w:val="none"/>
              </w:rPr>
              <w:t>污染</w:t>
            </w:r>
            <w:r>
              <w:rPr>
                <w:rFonts w:hint="eastAsia" w:ascii="Times New Roman" w:hAnsi="Times New Roman" w:cs="Times New Roman"/>
                <w:color w:val="auto"/>
                <w:sz w:val="21"/>
                <w:szCs w:val="21"/>
                <w:highlight w:val="none"/>
                <w:lang w:val="en-US" w:eastAsia="zh-CN"/>
              </w:rPr>
              <w:t>源及污染</w:t>
            </w:r>
            <w:r>
              <w:rPr>
                <w:rFonts w:hint="default" w:ascii="Times New Roman" w:hAnsi="Times New Roman" w:cs="Times New Roman"/>
                <w:color w:val="auto"/>
                <w:sz w:val="21"/>
                <w:szCs w:val="21"/>
                <w:highlight w:val="none"/>
              </w:rPr>
              <w:t>途径分析</w:t>
            </w:r>
          </w:p>
          <w:p w14:paraId="1A61C537">
            <w:pPr>
              <w:pStyle w:val="46"/>
              <w:keepNext w:val="0"/>
              <w:keepLines w:val="0"/>
              <w:pageBreakBefore w:val="0"/>
              <w:widowControl w:val="0"/>
              <w:kinsoku/>
              <w:bidi w:val="0"/>
              <w:spacing w:line="360" w:lineRule="auto"/>
              <w:ind w:firstLine="420" w:firstLineChars="200"/>
              <w:jc w:val="left"/>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rPr>
              <w:t>对</w:t>
            </w:r>
            <w:r>
              <w:rPr>
                <w:rFonts w:hint="eastAsia" w:ascii="Times New Roman" w:hAnsi="Times New Roman" w:cs="Times New Roman"/>
                <w:color w:val="auto"/>
                <w:sz w:val="21"/>
                <w:szCs w:val="21"/>
                <w:highlight w:val="none"/>
                <w:lang w:val="en-US" w:eastAsia="zh-CN"/>
              </w:rPr>
              <w:t>土壤</w:t>
            </w:r>
            <w:r>
              <w:rPr>
                <w:rFonts w:hint="default" w:ascii="Times New Roman" w:hAnsi="Times New Roman" w:cs="Times New Roman"/>
                <w:color w:val="auto"/>
                <w:sz w:val="21"/>
                <w:szCs w:val="21"/>
                <w:highlight w:val="none"/>
              </w:rPr>
              <w:t>环境可能造成影响的污染源</w:t>
            </w:r>
            <w:r>
              <w:rPr>
                <w:rFonts w:hint="eastAsia" w:ascii="Times New Roman" w:hAnsi="Times New Roman" w:cs="Times New Roman"/>
                <w:color w:val="auto"/>
                <w:sz w:val="21"/>
                <w:szCs w:val="21"/>
                <w:highlight w:val="none"/>
                <w:lang w:val="en-US" w:eastAsia="zh-CN"/>
              </w:rPr>
              <w:t>有以下几种，</w:t>
            </w:r>
            <w:r>
              <w:rPr>
                <w:rFonts w:hint="default" w:ascii="Times New Roman" w:hAnsi="Times New Roman" w:cs="Times New Roman"/>
                <w:color w:val="auto"/>
                <w:sz w:val="21"/>
                <w:szCs w:val="21"/>
                <w:highlight w:val="none"/>
              </w:rPr>
              <w:t>主要</w:t>
            </w:r>
            <w:r>
              <w:rPr>
                <w:rFonts w:hint="eastAsia" w:ascii="Times New Roman" w:hAnsi="Times New Roman" w:cs="Times New Roman"/>
                <w:color w:val="auto"/>
                <w:sz w:val="21"/>
                <w:szCs w:val="21"/>
                <w:highlight w:val="none"/>
                <w:lang w:val="en-US" w:eastAsia="zh-CN"/>
              </w:rPr>
              <w:t>污染途径</w:t>
            </w:r>
            <w:r>
              <w:rPr>
                <w:rFonts w:hint="default" w:ascii="Times New Roman" w:hAnsi="Times New Roman" w:cs="Times New Roman"/>
                <w:color w:val="auto"/>
                <w:sz w:val="21"/>
                <w:szCs w:val="21"/>
                <w:highlight w:val="none"/>
              </w:rPr>
              <w:t>为大气沉降和垂直入渗</w:t>
            </w:r>
            <w:r>
              <w:rPr>
                <w:rFonts w:hint="eastAsia" w:ascii="Times New Roman" w:hAnsi="Times New Roman" w:cs="Times New Roman"/>
                <w:color w:val="auto"/>
                <w:sz w:val="21"/>
                <w:szCs w:val="21"/>
                <w:highlight w:val="none"/>
                <w:lang w:eastAsia="zh-CN"/>
              </w:rPr>
              <w:t>；</w:t>
            </w:r>
          </w:p>
          <w:p w14:paraId="01EE5193">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fldChar w:fldCharType="begin"/>
            </w:r>
            <w:r>
              <w:rPr>
                <w:rFonts w:hint="eastAsia"/>
                <w:color w:val="auto"/>
                <w:sz w:val="21"/>
                <w:szCs w:val="21"/>
                <w:highlight w:val="none"/>
                <w:lang w:val="en-US" w:eastAsia="zh-CN"/>
              </w:rPr>
              <w:instrText xml:space="preserve"> = 1 \* GB3 \* MERGEFORMAT </w:instrText>
            </w:r>
            <w:r>
              <w:rPr>
                <w:rFonts w:hint="eastAsia"/>
                <w:color w:val="auto"/>
                <w:sz w:val="21"/>
                <w:szCs w:val="21"/>
                <w:highlight w:val="none"/>
                <w:lang w:val="en-US" w:eastAsia="zh-CN"/>
              </w:rPr>
              <w:fldChar w:fldCharType="separate"/>
            </w:r>
            <w:r>
              <w:rPr>
                <w:color w:val="auto"/>
                <w:sz w:val="21"/>
                <w:szCs w:val="21"/>
                <w:highlight w:val="none"/>
              </w:rPr>
              <w:t>①</w:t>
            </w:r>
            <w:r>
              <w:rPr>
                <w:rFonts w:hint="eastAsia"/>
                <w:color w:val="auto"/>
                <w:sz w:val="21"/>
                <w:szCs w:val="21"/>
                <w:highlight w:val="none"/>
                <w:lang w:val="en-US" w:eastAsia="zh-CN"/>
              </w:rPr>
              <w:fldChar w:fldCharType="end"/>
            </w:r>
            <w:r>
              <w:rPr>
                <w:rFonts w:hint="eastAsia"/>
                <w:color w:val="auto"/>
                <w:sz w:val="21"/>
                <w:szCs w:val="21"/>
                <w:highlight w:val="none"/>
                <w:lang w:val="en-US" w:eastAsia="zh-CN"/>
              </w:rPr>
              <w:t>生活污水、生产废水的泄漏，导致生活污水、生产废水进入土壤；</w:t>
            </w:r>
          </w:p>
          <w:p w14:paraId="3EEFFD5D">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fldChar w:fldCharType="begin"/>
            </w:r>
            <w:r>
              <w:rPr>
                <w:rFonts w:hint="eastAsia"/>
                <w:color w:val="auto"/>
                <w:sz w:val="21"/>
                <w:szCs w:val="21"/>
                <w:highlight w:val="none"/>
                <w:lang w:val="en-US" w:eastAsia="zh-CN"/>
              </w:rPr>
              <w:instrText xml:space="preserve"> = 2 \* GB3 \* MERGEFORMAT </w:instrText>
            </w:r>
            <w:r>
              <w:rPr>
                <w:rFonts w:hint="eastAsia"/>
                <w:color w:val="auto"/>
                <w:sz w:val="21"/>
                <w:szCs w:val="21"/>
                <w:highlight w:val="none"/>
                <w:lang w:val="en-US" w:eastAsia="zh-CN"/>
              </w:rPr>
              <w:fldChar w:fldCharType="separate"/>
            </w:r>
            <w:r>
              <w:rPr>
                <w:color w:val="auto"/>
                <w:sz w:val="21"/>
                <w:szCs w:val="21"/>
                <w:highlight w:val="none"/>
              </w:rPr>
              <w:t>②</w:t>
            </w:r>
            <w:r>
              <w:rPr>
                <w:rFonts w:hint="eastAsia"/>
                <w:color w:val="auto"/>
                <w:sz w:val="21"/>
                <w:szCs w:val="21"/>
                <w:highlight w:val="none"/>
                <w:lang w:val="en-US" w:eastAsia="zh-CN"/>
              </w:rPr>
              <w:fldChar w:fldCharType="end"/>
            </w:r>
            <w:r>
              <w:rPr>
                <w:rFonts w:hint="eastAsia"/>
                <w:color w:val="auto"/>
                <w:sz w:val="21"/>
                <w:szCs w:val="21"/>
                <w:highlight w:val="none"/>
                <w:lang w:val="en-US" w:eastAsia="zh-CN"/>
              </w:rPr>
              <w:t>液态化学品（</w:t>
            </w:r>
            <w:r>
              <w:rPr>
                <w:rFonts w:hint="eastAsia" w:ascii="Times New Roman" w:hAnsi="Times New Roman" w:cs="Times New Roman"/>
                <w:color w:val="auto"/>
                <w:sz w:val="21"/>
                <w:szCs w:val="21"/>
                <w:highlight w:val="none"/>
                <w:lang w:val="en-US" w:eastAsia="zh-CN"/>
              </w:rPr>
              <w:t>润滑油、除油剂、陶化剂</w:t>
            </w:r>
            <w:r>
              <w:rPr>
                <w:rFonts w:hint="eastAsia"/>
                <w:color w:val="auto"/>
                <w:sz w:val="21"/>
                <w:szCs w:val="21"/>
                <w:highlight w:val="none"/>
                <w:lang w:val="en-US" w:eastAsia="zh-CN"/>
              </w:rPr>
              <w:t>等）运输及使用过程的泄漏，导致化学品入渗到土壤；</w:t>
            </w:r>
          </w:p>
          <w:p w14:paraId="0C0F1A85">
            <w:pPr>
              <w:pStyle w:val="95"/>
              <w:keepNext w:val="0"/>
              <w:keepLines w:val="0"/>
              <w:pageBreakBefore w:val="0"/>
              <w:kinsoku/>
              <w:wordWrap/>
              <w:overflowPunct/>
              <w:topLinePunct w:val="0"/>
              <w:autoSpaceDE/>
              <w:autoSpaceDN/>
              <w:bidi w:val="0"/>
              <w:adjustRightInd/>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fldChar w:fldCharType="begin"/>
            </w:r>
            <w:r>
              <w:rPr>
                <w:rFonts w:hint="eastAsia"/>
                <w:color w:val="auto"/>
                <w:sz w:val="21"/>
                <w:szCs w:val="21"/>
                <w:highlight w:val="none"/>
                <w:lang w:val="en-US" w:eastAsia="zh-CN"/>
              </w:rPr>
              <w:instrText xml:space="preserve"> = 3 \* GB3 \* MERGEFORMAT </w:instrText>
            </w:r>
            <w:r>
              <w:rPr>
                <w:rFonts w:hint="eastAsia"/>
                <w:color w:val="auto"/>
                <w:sz w:val="21"/>
                <w:szCs w:val="21"/>
                <w:highlight w:val="none"/>
                <w:lang w:val="en-US" w:eastAsia="zh-CN"/>
              </w:rPr>
              <w:fldChar w:fldCharType="separate"/>
            </w:r>
            <w:r>
              <w:rPr>
                <w:color w:val="auto"/>
                <w:sz w:val="21"/>
                <w:szCs w:val="21"/>
                <w:highlight w:val="none"/>
              </w:rPr>
              <w:t>③</w:t>
            </w:r>
            <w:r>
              <w:rPr>
                <w:rFonts w:hint="eastAsia"/>
                <w:color w:val="auto"/>
                <w:sz w:val="21"/>
                <w:szCs w:val="21"/>
                <w:highlight w:val="none"/>
                <w:lang w:val="en-US" w:eastAsia="zh-CN"/>
              </w:rPr>
              <w:fldChar w:fldCharType="end"/>
            </w:r>
            <w:r>
              <w:rPr>
                <w:rFonts w:hint="eastAsia"/>
                <w:color w:val="auto"/>
                <w:sz w:val="21"/>
                <w:szCs w:val="21"/>
                <w:highlight w:val="none"/>
                <w:lang w:val="en-US" w:eastAsia="zh-CN"/>
              </w:rPr>
              <w:t>一般固体废物暂存间或危废暂存间的渗滤液下渗，导致土壤的污染；</w:t>
            </w:r>
          </w:p>
          <w:p w14:paraId="226D12A7">
            <w:pPr>
              <w:pStyle w:val="15"/>
              <w:keepNext w:val="0"/>
              <w:keepLines w:val="0"/>
              <w:pageBreakBefore w:val="0"/>
              <w:widowControl/>
              <w:kinsoku/>
              <w:wordWrap/>
              <w:overflowPunct/>
              <w:topLinePunct w:val="0"/>
              <w:autoSpaceDE/>
              <w:autoSpaceDN/>
              <w:bidi w:val="0"/>
              <w:adjustRightInd/>
              <w:snapToGrid w:val="0"/>
              <w:spacing w:before="0" w:after="0" w:line="360" w:lineRule="auto"/>
              <w:ind w:right="0" w:firstLine="420" w:firstLineChars="200"/>
              <w:textAlignment w:val="auto"/>
              <w:rPr>
                <w:rFonts w:hint="default"/>
                <w:color w:val="auto"/>
                <w:sz w:val="21"/>
                <w:szCs w:val="21"/>
                <w:highlight w:val="none"/>
                <w:lang w:val="en-US" w:eastAsia="zh-CN"/>
              </w:rPr>
            </w:pPr>
            <w:r>
              <w:rPr>
                <w:rFonts w:hint="eastAsia"/>
                <w:color w:val="auto"/>
                <w:sz w:val="21"/>
                <w:szCs w:val="21"/>
                <w:highlight w:val="none"/>
                <w:lang w:val="en-US" w:eastAsia="zh-CN"/>
              </w:rPr>
              <w:fldChar w:fldCharType="begin"/>
            </w:r>
            <w:r>
              <w:rPr>
                <w:rFonts w:hint="eastAsia"/>
                <w:color w:val="auto"/>
                <w:sz w:val="21"/>
                <w:szCs w:val="21"/>
                <w:highlight w:val="none"/>
                <w:lang w:val="en-US" w:eastAsia="zh-CN"/>
              </w:rPr>
              <w:instrText xml:space="preserve"> = 4 \* GB3 \* MERGEFORMAT </w:instrText>
            </w:r>
            <w:r>
              <w:rPr>
                <w:rFonts w:hint="eastAsia"/>
                <w:color w:val="auto"/>
                <w:sz w:val="21"/>
                <w:szCs w:val="21"/>
                <w:highlight w:val="none"/>
                <w:lang w:val="en-US" w:eastAsia="zh-CN"/>
              </w:rPr>
              <w:fldChar w:fldCharType="separate"/>
            </w:r>
            <w:r>
              <w:rPr>
                <w:color w:val="auto"/>
                <w:sz w:val="21"/>
                <w:szCs w:val="21"/>
                <w:highlight w:val="none"/>
              </w:rPr>
              <w:t>④</w:t>
            </w:r>
            <w:r>
              <w:rPr>
                <w:rFonts w:hint="eastAsia"/>
                <w:color w:val="auto"/>
                <w:sz w:val="21"/>
                <w:szCs w:val="21"/>
                <w:highlight w:val="none"/>
                <w:lang w:val="en-US" w:eastAsia="zh-CN"/>
              </w:rPr>
              <w:fldChar w:fldCharType="end"/>
            </w:r>
            <w:r>
              <w:rPr>
                <w:rFonts w:hint="eastAsia"/>
                <w:color w:val="auto"/>
                <w:sz w:val="21"/>
                <w:szCs w:val="21"/>
                <w:highlight w:val="none"/>
                <w:lang w:val="en-US" w:eastAsia="zh-CN"/>
              </w:rPr>
              <w:t>生产过程产生的废气大气沉降，导致土壤的污染；</w:t>
            </w:r>
          </w:p>
          <w:p w14:paraId="7A539012">
            <w:pPr>
              <w:keepNext w:val="0"/>
              <w:keepLines w:val="0"/>
              <w:pageBreakBefore w:val="0"/>
              <w:widowControl w:val="0"/>
              <w:kinsoku/>
              <w:bidi w:val="0"/>
              <w:spacing w:line="360" w:lineRule="auto"/>
              <w:ind w:firstLine="422" w:firstLineChars="200"/>
              <w:jc w:val="left"/>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w:t>
            </w:r>
            <w:r>
              <w:rPr>
                <w:rFonts w:hint="eastAsia"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）防渗原则</w:t>
            </w:r>
          </w:p>
          <w:p w14:paraId="2918A1D6">
            <w:pPr>
              <w:keepNext w:val="0"/>
              <w:keepLines w:val="0"/>
              <w:pageBreakBefore w:val="0"/>
              <w:widowControl w:val="0"/>
              <w:kinsoku/>
              <w:bidi w:val="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的地下水污染防治措施，按照“源头控制、末端防治、污染监控、应急响应”相结合的原则，从污染物的产生、入渗、扩散、应急响应全阶段进行控制。源头控制措施：主要包括在工艺、管道、设备、污水处理构筑物采取相应措施，防止和降低污染物跑、冒、滴、漏，将污染物泄漏的环境风险事故降到最低程度；管线敷设尽量采用“可视化”原则，即管道尽可能地上或架空敷设，做到污染物“早发现、早处理”，减少由于埋地管道泄漏而造成的地下水污染。末端控制措施：主要包括厂内易污染区地面的防渗措施和泄漏、渗漏污染物收集措施，即在污染区地面进行防渗处理，防止洒落地面的污染物渗入地下；末端控制采取分区防渗，重点污染防治区、一般污染防治区和非污染防治区防渗措施有区别的防渗原则。</w:t>
            </w:r>
          </w:p>
          <w:p w14:paraId="10583DA6">
            <w:pPr>
              <w:keepNext w:val="0"/>
              <w:keepLines w:val="0"/>
              <w:pageBreakBefore w:val="0"/>
              <w:widowControl w:val="0"/>
              <w:kinsoku/>
              <w:bidi w:val="0"/>
              <w:spacing w:line="360" w:lineRule="auto"/>
              <w:ind w:firstLine="422" w:firstLineChars="200"/>
              <w:jc w:val="left"/>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w:t>
            </w:r>
            <w:r>
              <w:rPr>
                <w:rFonts w:hint="eastAsia" w:ascii="Times New Roman" w:hAnsi="Times New Roman"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）防渗方案</w:t>
            </w:r>
          </w:p>
          <w:p w14:paraId="714E7B46">
            <w:pPr>
              <w:keepNext w:val="0"/>
              <w:keepLines w:val="0"/>
              <w:pageBreakBefore w:val="0"/>
              <w:widowControl w:val="0"/>
              <w:kinsoku/>
              <w:bidi w:val="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根据本项目各区可能泄漏至地面区域污染物的性质和生产单元的构筑方式，将车间划分为重点污染</w:t>
            </w:r>
            <w:r>
              <w:rPr>
                <w:rFonts w:hint="eastAsia"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区、一般污染</w:t>
            </w:r>
            <w:r>
              <w:rPr>
                <w:rFonts w:hint="eastAsia"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区和非污染防治区。重点污染</w:t>
            </w:r>
            <w:r>
              <w:rPr>
                <w:rFonts w:hint="eastAsia"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区：污染地下水环境的物料长期贮存或泄漏不容易及时发现和处理的区域。一般污染</w:t>
            </w:r>
            <w:r>
              <w:rPr>
                <w:rFonts w:hint="eastAsia" w:ascii="Times New Roman" w:hAnsi="Times New Roman" w:cs="Times New Roman"/>
                <w:color w:val="auto"/>
                <w:sz w:val="21"/>
                <w:szCs w:val="21"/>
                <w:highlight w:val="none"/>
                <w:lang w:val="en-US" w:eastAsia="zh-CN"/>
              </w:rPr>
              <w:t>防渗</w:t>
            </w:r>
            <w:r>
              <w:rPr>
                <w:rFonts w:hint="default" w:ascii="Times New Roman" w:hAnsi="Times New Roman" w:cs="Times New Roman"/>
                <w:color w:val="auto"/>
                <w:sz w:val="21"/>
                <w:szCs w:val="21"/>
                <w:highlight w:val="none"/>
              </w:rPr>
              <w:t>区：污染地下水环境的物料泄漏容易及时发现和处理的区域。非污染防治区：指不会对地下水环境造成污染的区域。参照</w:t>
            </w:r>
            <w:r>
              <w:rPr>
                <w:rFonts w:hint="eastAsia"/>
                <w:bCs/>
                <w:color w:val="auto"/>
                <w:sz w:val="21"/>
                <w:szCs w:val="21"/>
                <w:highlight w:val="none"/>
                <w:lang w:val="en-US" w:eastAsia="zh-CN"/>
              </w:rPr>
              <w:t>《危险废物贮存污染控制标准 》（GB 18597—2023）</w:t>
            </w:r>
            <w:r>
              <w:rPr>
                <w:rFonts w:hint="default" w:ascii="Times New Roman" w:hAnsi="Times New Roman" w:cs="Times New Roman"/>
                <w:color w:val="auto"/>
                <w:sz w:val="21"/>
                <w:szCs w:val="21"/>
                <w:highlight w:val="none"/>
              </w:rPr>
              <w:t>，本项目厂内主要防渗分区及防渗要求如下表：</w:t>
            </w:r>
          </w:p>
          <w:p w14:paraId="326EFB9D">
            <w:pPr>
              <w:pStyle w:val="9"/>
              <w:numPr>
                <w:ilvl w:val="0"/>
                <w:numId w:val="0"/>
              </w:numPr>
              <w:autoSpaceDE/>
              <w:autoSpaceDN/>
              <w:adjustRightInd/>
              <w:spacing w:before="0" w:after="0" w:line="240" w:lineRule="auto"/>
              <w:ind w:left="420"/>
              <w:jc w:val="center"/>
              <w:textAlignment w:val="auto"/>
              <w:rPr>
                <w:rFonts w:ascii="Times New Roman" w:hAnsi="Times New Roman" w:eastAsia="宋体"/>
                <w:b/>
                <w:color w:val="auto"/>
                <w:sz w:val="21"/>
                <w:szCs w:val="21"/>
                <w:highlight w:val="none"/>
                <w:lang w:val="zh-CN" w:eastAsia="zh-CN"/>
              </w:rPr>
            </w:pPr>
            <w:r>
              <w:rPr>
                <w:rFonts w:ascii="Times New Roman" w:hAnsi="宋体" w:eastAsia="宋体"/>
                <w:b/>
                <w:color w:val="auto"/>
                <w:sz w:val="21"/>
                <w:szCs w:val="21"/>
                <w:highlight w:val="none"/>
                <w:lang w:val="zh-CN" w:eastAsia="zh-CN"/>
              </w:rPr>
              <w:t>表</w:t>
            </w:r>
            <w:r>
              <w:rPr>
                <w:rFonts w:hint="eastAsia" w:ascii="Times New Roman" w:hAnsi="Times New Roman" w:eastAsia="宋体"/>
                <w:b/>
                <w:color w:val="auto"/>
                <w:sz w:val="21"/>
                <w:szCs w:val="21"/>
                <w:highlight w:val="none"/>
                <w:lang w:val="en-US" w:eastAsia="zh-CN"/>
              </w:rPr>
              <w:t xml:space="preserve">50 </w:t>
            </w:r>
            <w:r>
              <w:rPr>
                <w:rFonts w:ascii="Times New Roman" w:hAnsi="宋体" w:eastAsia="宋体"/>
                <w:b/>
                <w:color w:val="auto"/>
                <w:sz w:val="21"/>
                <w:szCs w:val="21"/>
                <w:highlight w:val="none"/>
                <w:lang w:val="zh-CN" w:eastAsia="zh-CN"/>
              </w:rPr>
              <w:t>项目分区防渗情况一览表</w:t>
            </w:r>
          </w:p>
          <w:tbl>
            <w:tblPr>
              <w:tblStyle w:val="3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2045"/>
              <w:gridCol w:w="1550"/>
              <w:gridCol w:w="1461"/>
              <w:gridCol w:w="2615"/>
            </w:tblGrid>
            <w:tr w14:paraId="488A3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34" w:type="pct"/>
                  <w:shd w:val="clear" w:color="auto" w:fill="D9D9D9"/>
                  <w:noWrap w:val="0"/>
                  <w:vAlign w:val="center"/>
                </w:tcPr>
                <w:p w14:paraId="317D393B">
                  <w:pPr>
                    <w:pStyle w:val="170"/>
                    <w:spacing w:line="240" w:lineRule="auto"/>
                    <w:ind w:firstLine="0" w:firstLineChars="0"/>
                    <w:jc w:val="center"/>
                    <w:rPr>
                      <w:bCs/>
                      <w:color w:val="auto"/>
                      <w:sz w:val="21"/>
                      <w:szCs w:val="21"/>
                      <w:highlight w:val="none"/>
                      <w:lang w:eastAsia="zh-CN"/>
                    </w:rPr>
                  </w:pPr>
                  <w:r>
                    <w:rPr>
                      <w:bCs/>
                      <w:color w:val="auto"/>
                      <w:sz w:val="21"/>
                      <w:szCs w:val="21"/>
                      <w:highlight w:val="none"/>
                      <w:lang w:eastAsia="zh-CN"/>
                    </w:rPr>
                    <w:t>序号</w:t>
                  </w:r>
                </w:p>
              </w:tc>
              <w:tc>
                <w:tcPr>
                  <w:tcW w:w="1216" w:type="pct"/>
                  <w:shd w:val="clear" w:color="auto" w:fill="D9D9D9"/>
                  <w:noWrap w:val="0"/>
                  <w:vAlign w:val="center"/>
                </w:tcPr>
                <w:p w14:paraId="251C4EE1">
                  <w:pPr>
                    <w:pStyle w:val="170"/>
                    <w:spacing w:line="240" w:lineRule="auto"/>
                    <w:ind w:firstLine="0" w:firstLineChars="0"/>
                    <w:jc w:val="center"/>
                    <w:rPr>
                      <w:bCs/>
                      <w:color w:val="auto"/>
                      <w:sz w:val="21"/>
                      <w:szCs w:val="21"/>
                      <w:highlight w:val="none"/>
                      <w:lang w:eastAsia="zh-CN"/>
                    </w:rPr>
                  </w:pPr>
                  <w:r>
                    <w:rPr>
                      <w:bCs/>
                      <w:color w:val="auto"/>
                      <w:sz w:val="21"/>
                      <w:szCs w:val="21"/>
                      <w:highlight w:val="none"/>
                      <w:lang w:eastAsia="zh-CN"/>
                    </w:rPr>
                    <w:t>单元</w:t>
                  </w:r>
                </w:p>
              </w:tc>
              <w:tc>
                <w:tcPr>
                  <w:tcW w:w="922" w:type="pct"/>
                  <w:shd w:val="clear" w:color="auto" w:fill="D9D9D9"/>
                  <w:noWrap w:val="0"/>
                  <w:vAlign w:val="center"/>
                </w:tcPr>
                <w:p w14:paraId="1CEB7A0E">
                  <w:pPr>
                    <w:pStyle w:val="170"/>
                    <w:spacing w:line="240" w:lineRule="auto"/>
                    <w:ind w:firstLine="0" w:firstLineChars="0"/>
                    <w:jc w:val="center"/>
                    <w:rPr>
                      <w:bCs/>
                      <w:color w:val="auto"/>
                      <w:sz w:val="21"/>
                      <w:szCs w:val="21"/>
                      <w:highlight w:val="none"/>
                      <w:lang w:eastAsia="zh-CN"/>
                    </w:rPr>
                  </w:pPr>
                  <w:r>
                    <w:rPr>
                      <w:bCs/>
                      <w:color w:val="auto"/>
                      <w:sz w:val="21"/>
                      <w:szCs w:val="21"/>
                      <w:highlight w:val="none"/>
                      <w:lang w:eastAsia="zh-CN"/>
                    </w:rPr>
                    <w:t>防渗分区</w:t>
                  </w:r>
                </w:p>
              </w:tc>
              <w:tc>
                <w:tcPr>
                  <w:tcW w:w="869" w:type="pct"/>
                  <w:shd w:val="clear" w:color="auto" w:fill="D9D9D9"/>
                  <w:noWrap w:val="0"/>
                  <w:vAlign w:val="center"/>
                </w:tcPr>
                <w:p w14:paraId="68F5ACAB">
                  <w:pPr>
                    <w:pStyle w:val="170"/>
                    <w:spacing w:line="240" w:lineRule="auto"/>
                    <w:ind w:firstLine="0" w:firstLineChars="0"/>
                    <w:jc w:val="center"/>
                    <w:rPr>
                      <w:bCs/>
                      <w:color w:val="auto"/>
                      <w:sz w:val="21"/>
                      <w:szCs w:val="21"/>
                      <w:highlight w:val="none"/>
                      <w:lang w:eastAsia="zh-CN"/>
                    </w:rPr>
                  </w:pPr>
                  <w:r>
                    <w:rPr>
                      <w:bCs/>
                      <w:color w:val="auto"/>
                      <w:sz w:val="21"/>
                      <w:szCs w:val="21"/>
                      <w:highlight w:val="none"/>
                      <w:lang w:eastAsia="zh-CN"/>
                    </w:rPr>
                    <w:t>防渗结构形式</w:t>
                  </w:r>
                </w:p>
              </w:tc>
              <w:tc>
                <w:tcPr>
                  <w:tcW w:w="1556" w:type="pct"/>
                  <w:shd w:val="clear" w:color="auto" w:fill="D9D9D9"/>
                  <w:noWrap w:val="0"/>
                  <w:vAlign w:val="center"/>
                </w:tcPr>
                <w:p w14:paraId="59CAE86A">
                  <w:pPr>
                    <w:pStyle w:val="170"/>
                    <w:spacing w:line="240" w:lineRule="auto"/>
                    <w:ind w:firstLine="0" w:firstLineChars="0"/>
                    <w:jc w:val="center"/>
                    <w:rPr>
                      <w:bCs/>
                      <w:color w:val="auto"/>
                      <w:sz w:val="21"/>
                      <w:szCs w:val="21"/>
                      <w:highlight w:val="none"/>
                      <w:lang w:eastAsia="zh-CN"/>
                    </w:rPr>
                  </w:pPr>
                  <w:r>
                    <w:rPr>
                      <w:bCs/>
                      <w:color w:val="auto"/>
                      <w:sz w:val="21"/>
                      <w:szCs w:val="21"/>
                      <w:highlight w:val="none"/>
                      <w:lang w:eastAsia="zh-CN"/>
                    </w:rPr>
                    <w:t>具体结构、防渗系数</w:t>
                  </w:r>
                </w:p>
              </w:tc>
            </w:tr>
            <w:tr w14:paraId="47512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434" w:type="pct"/>
                  <w:noWrap w:val="0"/>
                  <w:vAlign w:val="center"/>
                </w:tcPr>
                <w:p w14:paraId="00DE2FAF">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1</w:t>
                  </w:r>
                </w:p>
              </w:tc>
              <w:tc>
                <w:tcPr>
                  <w:tcW w:w="1216" w:type="pct"/>
                  <w:noWrap w:val="0"/>
                  <w:vAlign w:val="center"/>
                </w:tcPr>
                <w:p w14:paraId="7A5AA809">
                  <w:pPr>
                    <w:pStyle w:val="170"/>
                    <w:spacing w:line="240" w:lineRule="auto"/>
                    <w:ind w:firstLine="0" w:firstLineChars="0"/>
                    <w:jc w:val="center"/>
                    <w:rPr>
                      <w:rFonts w:hint="default" w:eastAsia="宋体"/>
                      <w:b w:val="0"/>
                      <w:color w:val="auto"/>
                      <w:sz w:val="21"/>
                      <w:szCs w:val="21"/>
                      <w:highlight w:val="none"/>
                      <w:lang w:val="en-US" w:eastAsia="zh-CN"/>
                    </w:rPr>
                  </w:pPr>
                  <w:r>
                    <w:rPr>
                      <w:b w:val="0"/>
                      <w:color w:val="auto"/>
                      <w:sz w:val="21"/>
                      <w:szCs w:val="21"/>
                      <w:highlight w:val="none"/>
                      <w:lang w:eastAsia="zh-CN"/>
                    </w:rPr>
                    <w:t>危废暂存区</w:t>
                  </w:r>
                  <w:r>
                    <w:rPr>
                      <w:rFonts w:hint="eastAsia"/>
                      <w:b w:val="0"/>
                      <w:color w:val="auto"/>
                      <w:sz w:val="21"/>
                      <w:szCs w:val="21"/>
                      <w:highlight w:val="none"/>
                      <w:lang w:eastAsia="zh-CN"/>
                    </w:rPr>
                    <w:t>、</w:t>
                  </w:r>
                  <w:r>
                    <w:rPr>
                      <w:rFonts w:hint="eastAsia"/>
                      <w:b w:val="0"/>
                      <w:color w:val="auto"/>
                      <w:sz w:val="21"/>
                      <w:szCs w:val="21"/>
                      <w:highlight w:val="none"/>
                      <w:lang w:val="en-US" w:eastAsia="zh-CN"/>
                    </w:rPr>
                    <w:t>化学品储存场所、生产车间</w:t>
                  </w:r>
                </w:p>
              </w:tc>
              <w:tc>
                <w:tcPr>
                  <w:tcW w:w="922" w:type="pct"/>
                  <w:noWrap w:val="0"/>
                  <w:vAlign w:val="center"/>
                </w:tcPr>
                <w:p w14:paraId="12220689">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重点污染</w:t>
                  </w:r>
                  <w:r>
                    <w:rPr>
                      <w:rFonts w:hint="eastAsia"/>
                      <w:b w:val="0"/>
                      <w:color w:val="auto"/>
                      <w:sz w:val="21"/>
                      <w:szCs w:val="21"/>
                      <w:highlight w:val="none"/>
                      <w:lang w:val="en-US" w:eastAsia="zh-CN"/>
                    </w:rPr>
                    <w:t>防渗</w:t>
                  </w:r>
                  <w:r>
                    <w:rPr>
                      <w:b w:val="0"/>
                      <w:color w:val="auto"/>
                      <w:sz w:val="21"/>
                      <w:szCs w:val="21"/>
                      <w:highlight w:val="none"/>
                      <w:lang w:eastAsia="zh-CN"/>
                    </w:rPr>
                    <w:t>区</w:t>
                  </w:r>
                </w:p>
              </w:tc>
              <w:tc>
                <w:tcPr>
                  <w:tcW w:w="869" w:type="pct"/>
                  <w:noWrap w:val="0"/>
                  <w:vAlign w:val="center"/>
                </w:tcPr>
                <w:p w14:paraId="74BBF80D">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刚性防渗结构</w:t>
                  </w:r>
                </w:p>
              </w:tc>
              <w:tc>
                <w:tcPr>
                  <w:tcW w:w="1556" w:type="pct"/>
                  <w:noWrap w:val="0"/>
                  <w:vAlign w:val="center"/>
                </w:tcPr>
                <w:p w14:paraId="5744F386">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采用</w:t>
                  </w:r>
                  <w:r>
                    <w:rPr>
                      <w:rFonts w:hint="eastAsia"/>
                      <w:b w:val="0"/>
                      <w:color w:val="auto"/>
                      <w:sz w:val="21"/>
                      <w:szCs w:val="21"/>
                      <w:highlight w:val="none"/>
                      <w:lang w:val="en-US" w:eastAsia="zh-CN"/>
                    </w:rPr>
                    <w:t>至少2mm厚</w:t>
                  </w:r>
                  <w:r>
                    <w:rPr>
                      <w:b w:val="0"/>
                      <w:color w:val="auto"/>
                      <w:sz w:val="21"/>
                      <w:szCs w:val="21"/>
                      <w:highlight w:val="none"/>
                      <w:lang w:eastAsia="zh-CN"/>
                    </w:rPr>
                    <w:t>水泥基渗透抗渗混凝土，渗透参数≤1.0×10</w:t>
                  </w:r>
                  <w:r>
                    <w:rPr>
                      <w:b w:val="0"/>
                      <w:color w:val="auto"/>
                      <w:sz w:val="21"/>
                      <w:szCs w:val="21"/>
                      <w:highlight w:val="none"/>
                      <w:vertAlign w:val="superscript"/>
                      <w:lang w:eastAsia="zh-CN"/>
                    </w:rPr>
                    <w:t>-10</w:t>
                  </w:r>
                  <w:r>
                    <w:rPr>
                      <w:b w:val="0"/>
                      <w:color w:val="auto"/>
                      <w:sz w:val="21"/>
                      <w:szCs w:val="21"/>
                      <w:highlight w:val="none"/>
                      <w:lang w:eastAsia="zh-CN"/>
                    </w:rPr>
                    <w:t>cm/s</w:t>
                  </w:r>
                </w:p>
              </w:tc>
            </w:tr>
            <w:tr w14:paraId="2B9EB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8" w:hRule="atLeast"/>
                <w:jc w:val="center"/>
              </w:trPr>
              <w:tc>
                <w:tcPr>
                  <w:tcW w:w="434" w:type="pct"/>
                  <w:noWrap w:val="0"/>
                  <w:vAlign w:val="center"/>
                </w:tcPr>
                <w:p w14:paraId="75E40E51">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2</w:t>
                  </w:r>
                </w:p>
              </w:tc>
              <w:tc>
                <w:tcPr>
                  <w:tcW w:w="1216" w:type="pct"/>
                  <w:noWrap w:val="0"/>
                  <w:vAlign w:val="center"/>
                </w:tcPr>
                <w:p w14:paraId="5B48F1E2">
                  <w:pPr>
                    <w:pStyle w:val="170"/>
                    <w:spacing w:line="240" w:lineRule="auto"/>
                    <w:ind w:firstLine="0" w:firstLineChars="0"/>
                    <w:jc w:val="center"/>
                    <w:rPr>
                      <w:b w:val="0"/>
                      <w:color w:val="auto"/>
                      <w:sz w:val="21"/>
                      <w:szCs w:val="21"/>
                      <w:highlight w:val="none"/>
                      <w:lang w:eastAsia="zh-CN"/>
                    </w:rPr>
                  </w:pPr>
                  <w:r>
                    <w:rPr>
                      <w:rFonts w:hint="eastAsia"/>
                      <w:b w:val="0"/>
                      <w:color w:val="auto"/>
                      <w:sz w:val="21"/>
                      <w:szCs w:val="21"/>
                      <w:highlight w:val="none"/>
                      <w:lang w:eastAsia="zh-CN"/>
                    </w:rPr>
                    <w:t>除</w:t>
                  </w:r>
                  <w:r>
                    <w:rPr>
                      <w:b w:val="0"/>
                      <w:color w:val="auto"/>
                      <w:sz w:val="21"/>
                      <w:szCs w:val="21"/>
                      <w:highlight w:val="none"/>
                      <w:lang w:eastAsia="zh-CN"/>
                    </w:rPr>
                    <w:t>危废暂存区</w:t>
                  </w:r>
                  <w:r>
                    <w:rPr>
                      <w:rFonts w:hint="eastAsia"/>
                      <w:b w:val="0"/>
                      <w:color w:val="auto"/>
                      <w:sz w:val="21"/>
                      <w:szCs w:val="21"/>
                      <w:highlight w:val="none"/>
                      <w:lang w:eastAsia="zh-CN"/>
                    </w:rPr>
                    <w:t>、</w:t>
                  </w:r>
                  <w:r>
                    <w:rPr>
                      <w:rFonts w:hint="eastAsia"/>
                      <w:b w:val="0"/>
                      <w:color w:val="auto"/>
                      <w:sz w:val="21"/>
                      <w:szCs w:val="21"/>
                      <w:highlight w:val="none"/>
                      <w:lang w:val="en-US" w:eastAsia="zh-CN"/>
                    </w:rPr>
                    <w:t>化学品储存场所、生产车间</w:t>
                  </w:r>
                  <w:r>
                    <w:rPr>
                      <w:b w:val="0"/>
                      <w:color w:val="auto"/>
                      <w:sz w:val="21"/>
                      <w:szCs w:val="21"/>
                      <w:highlight w:val="none"/>
                      <w:lang w:eastAsia="zh-CN"/>
                    </w:rPr>
                    <w:t>和办公</w:t>
                  </w:r>
                  <w:r>
                    <w:rPr>
                      <w:rFonts w:hint="eastAsia"/>
                      <w:b w:val="0"/>
                      <w:color w:val="auto"/>
                      <w:sz w:val="21"/>
                      <w:szCs w:val="21"/>
                      <w:highlight w:val="none"/>
                      <w:lang w:val="en-US" w:eastAsia="zh-CN"/>
                    </w:rPr>
                    <w:t>区</w:t>
                  </w:r>
                  <w:r>
                    <w:rPr>
                      <w:b w:val="0"/>
                      <w:color w:val="auto"/>
                      <w:sz w:val="21"/>
                      <w:szCs w:val="21"/>
                      <w:highlight w:val="none"/>
                      <w:lang w:eastAsia="zh-CN"/>
                    </w:rPr>
                    <w:t>以外的区域</w:t>
                  </w:r>
                </w:p>
              </w:tc>
              <w:tc>
                <w:tcPr>
                  <w:tcW w:w="922" w:type="pct"/>
                  <w:noWrap w:val="0"/>
                  <w:vAlign w:val="center"/>
                </w:tcPr>
                <w:p w14:paraId="770B81F0">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一般污染</w:t>
                  </w:r>
                  <w:r>
                    <w:rPr>
                      <w:rFonts w:hint="eastAsia"/>
                      <w:b w:val="0"/>
                      <w:color w:val="auto"/>
                      <w:sz w:val="21"/>
                      <w:szCs w:val="21"/>
                      <w:highlight w:val="none"/>
                      <w:lang w:val="en-US" w:eastAsia="zh-CN"/>
                    </w:rPr>
                    <w:t>防渗</w:t>
                  </w:r>
                  <w:r>
                    <w:rPr>
                      <w:b w:val="0"/>
                      <w:color w:val="auto"/>
                      <w:sz w:val="21"/>
                      <w:szCs w:val="21"/>
                      <w:highlight w:val="none"/>
                      <w:lang w:eastAsia="zh-CN"/>
                    </w:rPr>
                    <w:t>区</w:t>
                  </w:r>
                </w:p>
              </w:tc>
              <w:tc>
                <w:tcPr>
                  <w:tcW w:w="869" w:type="pct"/>
                  <w:noWrap w:val="0"/>
                  <w:vAlign w:val="center"/>
                </w:tcPr>
                <w:p w14:paraId="2F41F67B">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刚性防渗结构</w:t>
                  </w:r>
                </w:p>
              </w:tc>
              <w:tc>
                <w:tcPr>
                  <w:tcW w:w="1556" w:type="pct"/>
                  <w:noWrap w:val="0"/>
                  <w:vAlign w:val="center"/>
                </w:tcPr>
                <w:p w14:paraId="05A388CB">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抗渗混凝土渗透系数≤1.0×10</w:t>
                  </w:r>
                  <w:r>
                    <w:rPr>
                      <w:b w:val="0"/>
                      <w:color w:val="auto"/>
                      <w:sz w:val="21"/>
                      <w:szCs w:val="21"/>
                      <w:highlight w:val="none"/>
                      <w:vertAlign w:val="superscript"/>
                      <w:lang w:eastAsia="zh-CN"/>
                    </w:rPr>
                    <w:t>-</w:t>
                  </w:r>
                  <w:r>
                    <w:rPr>
                      <w:rFonts w:hint="eastAsia"/>
                      <w:b w:val="0"/>
                      <w:color w:val="auto"/>
                      <w:sz w:val="21"/>
                      <w:szCs w:val="21"/>
                      <w:highlight w:val="none"/>
                      <w:vertAlign w:val="superscript"/>
                      <w:lang w:val="en-US" w:eastAsia="zh-CN"/>
                    </w:rPr>
                    <w:t>7</w:t>
                  </w:r>
                  <w:r>
                    <w:rPr>
                      <w:b w:val="0"/>
                      <w:color w:val="auto"/>
                      <w:sz w:val="21"/>
                      <w:szCs w:val="21"/>
                      <w:highlight w:val="none"/>
                      <w:lang w:eastAsia="zh-CN"/>
                    </w:rPr>
                    <w:t>cm/s</w:t>
                  </w:r>
                </w:p>
              </w:tc>
            </w:tr>
            <w:tr w14:paraId="19395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34" w:type="pct"/>
                  <w:noWrap w:val="0"/>
                  <w:vAlign w:val="center"/>
                </w:tcPr>
                <w:p w14:paraId="09A5D6E2">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3</w:t>
                  </w:r>
                </w:p>
              </w:tc>
              <w:tc>
                <w:tcPr>
                  <w:tcW w:w="1216" w:type="pct"/>
                  <w:noWrap w:val="0"/>
                  <w:vAlign w:val="center"/>
                </w:tcPr>
                <w:p w14:paraId="0AE7829A">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办公</w:t>
                  </w:r>
                  <w:r>
                    <w:rPr>
                      <w:rFonts w:hint="eastAsia"/>
                      <w:b w:val="0"/>
                      <w:color w:val="auto"/>
                      <w:sz w:val="21"/>
                      <w:szCs w:val="21"/>
                      <w:highlight w:val="none"/>
                      <w:lang w:val="en-US" w:eastAsia="zh-CN"/>
                    </w:rPr>
                    <w:t>区</w:t>
                  </w:r>
                </w:p>
              </w:tc>
              <w:tc>
                <w:tcPr>
                  <w:tcW w:w="922" w:type="pct"/>
                  <w:noWrap w:val="0"/>
                  <w:vAlign w:val="center"/>
                </w:tcPr>
                <w:p w14:paraId="199CB947">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非污染</w:t>
                  </w:r>
                  <w:r>
                    <w:rPr>
                      <w:rFonts w:hint="eastAsia"/>
                      <w:b w:val="0"/>
                      <w:color w:val="auto"/>
                      <w:sz w:val="21"/>
                      <w:szCs w:val="21"/>
                      <w:highlight w:val="none"/>
                      <w:lang w:val="en-US" w:eastAsia="zh-CN"/>
                    </w:rPr>
                    <w:t>防治</w:t>
                  </w:r>
                  <w:r>
                    <w:rPr>
                      <w:b w:val="0"/>
                      <w:color w:val="auto"/>
                      <w:sz w:val="21"/>
                      <w:szCs w:val="21"/>
                      <w:highlight w:val="none"/>
                      <w:lang w:eastAsia="zh-CN"/>
                    </w:rPr>
                    <w:t>区</w:t>
                  </w:r>
                </w:p>
              </w:tc>
              <w:tc>
                <w:tcPr>
                  <w:tcW w:w="869" w:type="pct"/>
                  <w:noWrap w:val="0"/>
                  <w:vAlign w:val="center"/>
                </w:tcPr>
                <w:p w14:paraId="1F60D8E3">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w:t>
                  </w:r>
                </w:p>
              </w:tc>
              <w:tc>
                <w:tcPr>
                  <w:tcW w:w="1556" w:type="pct"/>
                  <w:noWrap w:val="0"/>
                  <w:vAlign w:val="center"/>
                </w:tcPr>
                <w:p w14:paraId="7DE046B0">
                  <w:pPr>
                    <w:pStyle w:val="170"/>
                    <w:spacing w:line="240" w:lineRule="auto"/>
                    <w:ind w:firstLine="0" w:firstLineChars="0"/>
                    <w:jc w:val="center"/>
                    <w:rPr>
                      <w:b w:val="0"/>
                      <w:color w:val="auto"/>
                      <w:sz w:val="21"/>
                      <w:szCs w:val="21"/>
                      <w:highlight w:val="none"/>
                      <w:lang w:eastAsia="zh-CN"/>
                    </w:rPr>
                  </w:pPr>
                  <w:r>
                    <w:rPr>
                      <w:b w:val="0"/>
                      <w:color w:val="auto"/>
                      <w:sz w:val="21"/>
                      <w:szCs w:val="21"/>
                      <w:highlight w:val="none"/>
                      <w:lang w:eastAsia="zh-CN"/>
                    </w:rPr>
                    <w:t>不需设置专门的防渗层</w:t>
                  </w:r>
                </w:p>
              </w:tc>
            </w:tr>
          </w:tbl>
          <w:p w14:paraId="4A20C30B">
            <w:pPr>
              <w:keepNext w:val="0"/>
              <w:keepLines w:val="0"/>
              <w:pageBreakBefore w:val="0"/>
              <w:widowControl w:val="0"/>
              <w:kinsoku/>
              <w:bidi w:val="0"/>
              <w:spacing w:line="360" w:lineRule="auto"/>
              <w:ind w:firstLine="422" w:firstLineChars="200"/>
              <w:jc w:val="left"/>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w:t>
            </w:r>
            <w:r>
              <w:rPr>
                <w:rFonts w:hint="eastAsia" w:ascii="Times New Roman" w:hAnsi="Times New Roman"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）防渗措施</w:t>
            </w:r>
          </w:p>
          <w:p w14:paraId="201D73B8">
            <w:pPr>
              <w:keepNext w:val="0"/>
              <w:keepLines w:val="0"/>
              <w:pageBreakBefore w:val="0"/>
              <w:widowControl w:val="0"/>
              <w:kinsoku/>
              <w:bidi w:val="0"/>
              <w:spacing w:line="360" w:lineRule="auto"/>
              <w:ind w:firstLine="420" w:firstLineChars="200"/>
              <w:jc w:val="left"/>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①对车间内排水系统及</w:t>
            </w:r>
            <w:r>
              <w:rPr>
                <w:rFonts w:hint="eastAsia" w:ascii="Times New Roman" w:hAnsi="Times New Roman" w:cs="Times New Roman"/>
                <w:color w:val="auto"/>
                <w:sz w:val="21"/>
                <w:szCs w:val="21"/>
                <w:highlight w:val="none"/>
                <w:lang w:eastAsia="zh-CN"/>
              </w:rPr>
              <w:t>排水管道</w:t>
            </w:r>
            <w:r>
              <w:rPr>
                <w:rFonts w:hint="default" w:ascii="Times New Roman" w:hAnsi="Times New Roman" w:cs="Times New Roman"/>
                <w:color w:val="auto"/>
                <w:sz w:val="21"/>
                <w:szCs w:val="21"/>
                <w:highlight w:val="none"/>
              </w:rPr>
              <w:t>均做防渗处理</w:t>
            </w:r>
            <w:r>
              <w:rPr>
                <w:rFonts w:hint="default" w:ascii="Times New Roman" w:hAnsi="Times New Roman" w:cs="Times New Roman"/>
                <w:color w:val="auto"/>
                <w:sz w:val="21"/>
                <w:szCs w:val="21"/>
                <w:highlight w:val="none"/>
                <w:lang w:eastAsia="zh-CN"/>
              </w:rPr>
              <w:t>，需要严格检查容器或</w:t>
            </w:r>
            <w:r>
              <w:rPr>
                <w:rFonts w:hint="default" w:ascii="Times New Roman" w:hAnsi="Times New Roman" w:cs="Times New Roman"/>
                <w:color w:val="auto"/>
                <w:sz w:val="21"/>
                <w:szCs w:val="21"/>
                <w:highlight w:val="none"/>
                <w:lang w:val="en-US" w:eastAsia="zh-CN"/>
              </w:rPr>
              <w:t>转移</w:t>
            </w:r>
            <w:r>
              <w:rPr>
                <w:rFonts w:hint="default" w:ascii="Times New Roman" w:hAnsi="Times New Roman" w:cs="Times New Roman"/>
                <w:color w:val="auto"/>
                <w:sz w:val="21"/>
                <w:szCs w:val="21"/>
                <w:highlight w:val="none"/>
                <w:lang w:eastAsia="zh-CN"/>
              </w:rPr>
              <w:t>槽车的严密性和质量情况</w:t>
            </w:r>
            <w:r>
              <w:rPr>
                <w:rFonts w:hint="eastAsia" w:ascii="Times New Roman" w:hAnsi="Times New Roman" w:cs="Times New Roman"/>
                <w:color w:val="auto"/>
                <w:sz w:val="21"/>
                <w:szCs w:val="21"/>
                <w:highlight w:val="none"/>
                <w:lang w:eastAsia="zh-CN"/>
              </w:rPr>
              <w:t>。</w:t>
            </w:r>
          </w:p>
          <w:p w14:paraId="03A10FB7">
            <w:pPr>
              <w:keepNext w:val="0"/>
              <w:keepLines w:val="0"/>
              <w:pageBreakBefore w:val="0"/>
              <w:widowControl w:val="0"/>
              <w:kinsoku/>
              <w:bidi w:val="0"/>
              <w:spacing w:line="360" w:lineRule="auto"/>
              <w:ind w:firstLine="420" w:firstLineChars="200"/>
              <w:jc w:val="left"/>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②项目应设置专门的危废暂存间，严格按照</w:t>
            </w:r>
            <w:r>
              <w:rPr>
                <w:rFonts w:hint="eastAsia"/>
                <w:bCs/>
                <w:color w:val="auto"/>
                <w:sz w:val="21"/>
                <w:szCs w:val="21"/>
                <w:highlight w:val="none"/>
                <w:lang w:val="en-US" w:eastAsia="zh-CN"/>
              </w:rPr>
              <w:t>《危险废物贮存污染控制标准 》（GB 18597—2023）</w:t>
            </w:r>
            <w:r>
              <w:rPr>
                <w:rFonts w:hint="default" w:ascii="Times New Roman" w:hAnsi="Times New Roman" w:cs="Times New Roman"/>
                <w:color w:val="auto"/>
                <w:sz w:val="21"/>
                <w:szCs w:val="21"/>
                <w:highlight w:val="none"/>
              </w:rPr>
              <w:t>中规定的要求，采取“防渗、防雨、防流失”等措施，设置明显的标识牌</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并按照《危险废物转移联单管理办法》的有关要求规定填写</w:t>
            </w:r>
            <w:r>
              <w:rPr>
                <w:rFonts w:hint="eastAsia" w:ascii="Times New Roman" w:hAnsi="Times New Roman" w:cs="Times New Roman"/>
                <w:color w:val="auto"/>
                <w:sz w:val="21"/>
                <w:szCs w:val="21"/>
                <w:highlight w:val="none"/>
                <w:lang w:val="en-US" w:eastAsia="zh-CN"/>
              </w:rPr>
              <w:t>转移</w:t>
            </w:r>
            <w:r>
              <w:rPr>
                <w:rFonts w:hint="default" w:ascii="Times New Roman" w:hAnsi="Times New Roman" w:cs="Times New Roman"/>
                <w:color w:val="auto"/>
                <w:sz w:val="21"/>
                <w:szCs w:val="21"/>
                <w:highlight w:val="none"/>
              </w:rPr>
              <w:t>联单。加强</w:t>
            </w:r>
            <w:r>
              <w:rPr>
                <w:rFonts w:hint="default" w:ascii="Times New Roman" w:hAnsi="Times New Roman" w:cs="Times New Roman"/>
                <w:color w:val="auto"/>
                <w:sz w:val="21"/>
                <w:szCs w:val="21"/>
                <w:highlight w:val="none"/>
                <w:lang w:val="en-US" w:eastAsia="zh-CN"/>
              </w:rPr>
              <w:t>危废</w:t>
            </w:r>
            <w:r>
              <w:rPr>
                <w:rFonts w:hint="default" w:ascii="Times New Roman" w:hAnsi="Times New Roman" w:cs="Times New Roman"/>
                <w:color w:val="auto"/>
                <w:sz w:val="21"/>
                <w:szCs w:val="21"/>
                <w:highlight w:val="none"/>
              </w:rPr>
              <w:t>管理，并做好存放场所的防渗透和泄漏措施，严禁随意倾倒和混入生活垃圾中，避免污染周边环境</w:t>
            </w:r>
            <w:r>
              <w:rPr>
                <w:rFonts w:hint="eastAsia" w:ascii="Times New Roman" w:hAnsi="Times New Roman" w:cs="Times New Roman"/>
                <w:color w:val="auto"/>
                <w:sz w:val="21"/>
                <w:szCs w:val="21"/>
                <w:highlight w:val="none"/>
                <w:lang w:eastAsia="zh-CN"/>
              </w:rPr>
              <w:t>。</w:t>
            </w:r>
          </w:p>
          <w:p w14:paraId="028B11ED">
            <w:pPr>
              <w:pStyle w:val="46"/>
              <w:keepNext w:val="0"/>
              <w:keepLines w:val="0"/>
              <w:pageBreakBefore w:val="0"/>
              <w:widowControl w:val="0"/>
              <w:kinsoku/>
              <w:bidi w:val="0"/>
              <w:spacing w:line="360" w:lineRule="auto"/>
              <w:ind w:firstLine="420" w:firstLineChars="200"/>
              <w:jc w:val="left"/>
              <w:rPr>
                <w:rFonts w:hint="eastAsia"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3 \* GB3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③</w:t>
            </w:r>
            <w:r>
              <w:rPr>
                <w:rFonts w:hint="default" w:ascii="Times New Roman" w:hAnsi="Times New Roman" w:cs="Times New Roman"/>
                <w:color w:val="auto"/>
                <w:sz w:val="21"/>
                <w:szCs w:val="21"/>
                <w:highlight w:val="none"/>
              </w:rPr>
              <w:fldChar w:fldCharType="end"/>
            </w:r>
            <w:r>
              <w:rPr>
                <w:rFonts w:hint="eastAsia" w:ascii="Times New Roman" w:hAnsi="Times New Roman" w:cs="Times New Roman"/>
                <w:color w:val="auto"/>
                <w:sz w:val="21"/>
                <w:szCs w:val="21"/>
                <w:highlight w:val="none"/>
                <w:lang w:val="en-US" w:eastAsia="zh-CN"/>
              </w:rPr>
              <w:t>化学品储存场所</w:t>
            </w:r>
            <w:r>
              <w:rPr>
                <w:rFonts w:hint="default" w:ascii="Times New Roman" w:hAnsi="Times New Roman" w:cs="Times New Roman"/>
                <w:color w:val="auto"/>
                <w:sz w:val="21"/>
                <w:szCs w:val="21"/>
                <w:highlight w:val="none"/>
              </w:rPr>
              <w:t>采取严格的分区防腐防渗措施，防止因事故消防废水漫流通过下渗污染项目区周围地下水环境，避免对地下水造成环境污染</w:t>
            </w:r>
            <w:r>
              <w:rPr>
                <w:rFonts w:hint="eastAsia" w:ascii="Times New Roman" w:hAnsi="Times New Roman" w:cs="Times New Roman"/>
                <w:color w:val="auto"/>
                <w:sz w:val="21"/>
                <w:szCs w:val="21"/>
                <w:highlight w:val="none"/>
                <w:lang w:eastAsia="zh-CN"/>
              </w:rPr>
              <w:t>。</w:t>
            </w:r>
          </w:p>
          <w:p w14:paraId="5657EC9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lang w:eastAsia="zh-CN"/>
              </w:rPr>
            </w:pPr>
            <w:r>
              <w:rPr>
                <w:rFonts w:hint="default" w:ascii="Times New Roman" w:hAnsi="Times New Roman" w:cs="Times New Roman"/>
                <w:color w:val="auto"/>
                <w:sz w:val="21"/>
                <w:szCs w:val="21"/>
                <w:highlight w:val="none"/>
                <w:lang w:eastAsia="zh-CN"/>
              </w:rPr>
              <w:fldChar w:fldCharType="begin"/>
            </w:r>
            <w:r>
              <w:rPr>
                <w:rFonts w:hint="default" w:ascii="Times New Roman" w:hAnsi="Times New Roman" w:cs="Times New Roman"/>
                <w:color w:val="auto"/>
                <w:sz w:val="21"/>
                <w:szCs w:val="21"/>
                <w:highlight w:val="none"/>
                <w:lang w:eastAsia="zh-CN"/>
              </w:rPr>
              <w:instrText xml:space="preserve"> = 4 \* GB3 \* MERGEFORMAT </w:instrText>
            </w:r>
            <w:r>
              <w:rPr>
                <w:rFonts w:hint="default" w:ascii="Times New Roman" w:hAnsi="Times New Roman" w:cs="Times New Roman"/>
                <w:color w:val="auto"/>
                <w:sz w:val="21"/>
                <w:szCs w:val="21"/>
                <w:highlight w:val="none"/>
                <w:lang w:eastAsia="zh-CN"/>
              </w:rPr>
              <w:fldChar w:fldCharType="separate"/>
            </w:r>
            <w:r>
              <w:rPr>
                <w:rFonts w:hint="default" w:ascii="Times New Roman" w:hAnsi="Times New Roman" w:cs="Times New Roman"/>
                <w:color w:val="auto"/>
                <w:sz w:val="21"/>
                <w:szCs w:val="21"/>
                <w:highlight w:val="none"/>
              </w:rPr>
              <w:t>④</w:t>
            </w:r>
            <w:r>
              <w:rPr>
                <w:rFonts w:hint="default" w:ascii="Times New Roman" w:hAnsi="Times New Roman" w:cs="Times New Roman"/>
                <w:color w:val="auto"/>
                <w:sz w:val="21"/>
                <w:szCs w:val="21"/>
                <w:highlight w:val="none"/>
                <w:lang w:eastAsia="zh-CN"/>
              </w:rPr>
              <w:fldChar w:fldCharType="end"/>
            </w:r>
            <w:r>
              <w:rPr>
                <w:rFonts w:hint="default" w:ascii="Times New Roman" w:hAnsi="Times New Roman" w:eastAsia="宋体" w:cs="Times New Roman"/>
                <w:color w:val="auto"/>
                <w:sz w:val="21"/>
                <w:szCs w:val="21"/>
                <w:highlight w:val="none"/>
                <w:lang w:eastAsia="zh-CN"/>
              </w:rPr>
              <w:t>针对大气沉降：项目生产过程主要产生</w:t>
            </w:r>
            <w:r>
              <w:rPr>
                <w:rFonts w:hint="eastAsia" w:ascii="Times New Roman" w:hAnsi="Times New Roman" w:eastAsia="宋体" w:cs="Times New Roman"/>
                <w:color w:val="auto"/>
                <w:sz w:val="21"/>
                <w:szCs w:val="21"/>
                <w:highlight w:val="none"/>
                <w:lang w:val="en-US" w:eastAsia="zh-CN"/>
              </w:rPr>
              <w:t>生产废气（自动线喷粉</w:t>
            </w:r>
            <w:r>
              <w:rPr>
                <w:rFonts w:hint="default" w:ascii="Times New Roman" w:hAnsi="Times New Roman" w:eastAsia="宋体" w:cs="Times New Roman"/>
                <w:color w:val="auto"/>
                <w:sz w:val="21"/>
                <w:szCs w:val="21"/>
                <w:highlight w:val="none"/>
                <w:lang w:val="en-US" w:eastAsia="zh-CN"/>
              </w:rPr>
              <w:t>废气、</w:t>
            </w:r>
            <w:r>
              <w:rPr>
                <w:rFonts w:hint="eastAsia" w:ascii="Times New Roman" w:hAnsi="Times New Roman" w:eastAsia="宋体" w:cs="Times New Roman"/>
                <w:color w:val="auto"/>
                <w:sz w:val="21"/>
                <w:szCs w:val="21"/>
                <w:highlight w:val="none"/>
                <w:lang w:val="en-US" w:eastAsia="zh-CN"/>
              </w:rPr>
              <w:t>手动线喷粉废气、</w:t>
            </w:r>
            <w:r>
              <w:rPr>
                <w:rFonts w:hint="default" w:ascii="Times New Roman" w:hAnsi="Times New Roman" w:eastAsia="宋体" w:cs="Times New Roman"/>
                <w:color w:val="auto"/>
                <w:sz w:val="21"/>
                <w:szCs w:val="21"/>
                <w:highlight w:val="none"/>
                <w:lang w:val="en-US" w:eastAsia="zh-CN"/>
              </w:rPr>
              <w:t>自动线固化工序废气和液化石油气燃烧废气、手动线面包炉固化工序废气</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主要污染物为</w:t>
            </w:r>
            <w:r>
              <w:rPr>
                <w:rFonts w:hint="eastAsia" w:cs="Times New Roman"/>
                <w:color w:val="auto"/>
                <w:sz w:val="21"/>
                <w:szCs w:val="21"/>
                <w:highlight w:val="none"/>
                <w:lang w:val="en-US" w:eastAsia="zh-CN"/>
              </w:rPr>
              <w:t>TVOC</w:t>
            </w:r>
            <w:r>
              <w:rPr>
                <w:rFonts w:hint="eastAsia" w:cs="Times New Roman"/>
                <w:color w:val="auto"/>
                <w:sz w:val="21"/>
                <w:szCs w:val="21"/>
                <w:highlight w:val="none"/>
                <w:lang w:val="en-US" w:eastAsia="zh-CN"/>
              </w:rPr>
              <w:t>、</w:t>
            </w:r>
            <w:r>
              <w:rPr>
                <w:rFonts w:hint="eastAsia" w:ascii="Times New Roman" w:hAnsi="Times New Roman"/>
                <w:color w:val="auto"/>
                <w:szCs w:val="21"/>
                <w:highlight w:val="none"/>
              </w:rPr>
              <w:t>非甲烷总烃</w:t>
            </w:r>
            <w:r>
              <w:rPr>
                <w:rFonts w:hint="eastAsia" w:ascii="Times New Roman" w:hAnsi="Times New Roman"/>
                <w:color w:val="auto"/>
                <w:szCs w:val="21"/>
                <w:highlight w:val="none"/>
                <w:lang w:eastAsia="zh-CN"/>
              </w:rPr>
              <w:t>、</w:t>
            </w:r>
            <w:r>
              <w:rPr>
                <w:rFonts w:hint="eastAsia" w:ascii="Times New Roman" w:hAnsi="Times New Roman"/>
                <w:color w:val="auto"/>
                <w:szCs w:val="21"/>
                <w:highlight w:val="none"/>
                <w:lang w:val="en-US" w:eastAsia="zh-CN"/>
              </w:rPr>
              <w:t>颗粒物、氮氧化物、二氧化硫、林格曼黑度、</w:t>
            </w:r>
            <w:r>
              <w:rPr>
                <w:rFonts w:hint="default" w:ascii="Times New Roman" w:hAnsi="Times New Roman" w:eastAsia="宋体" w:cs="Times New Roman"/>
                <w:color w:val="auto"/>
                <w:sz w:val="21"/>
                <w:szCs w:val="21"/>
                <w:highlight w:val="none"/>
                <w:lang w:eastAsia="zh-CN"/>
              </w:rPr>
              <w:t>臭气浓度，不产生有毒有害污染物、二噁英、苯并[a]芘、氰化物、氯气。</w:t>
            </w:r>
            <w:r>
              <w:rPr>
                <w:rFonts w:hint="eastAsia" w:ascii="Times New Roman" w:hAnsi="Times New Roman" w:eastAsia="宋体" w:cs="Times New Roman"/>
                <w:color w:val="auto"/>
                <w:sz w:val="21"/>
                <w:szCs w:val="21"/>
                <w:highlight w:val="none"/>
                <w:lang w:val="en-US" w:eastAsia="zh-CN"/>
              </w:rPr>
              <w:t>生产废气中，自动线喷粉</w:t>
            </w:r>
            <w:r>
              <w:rPr>
                <w:rFonts w:hint="default" w:ascii="Times New Roman" w:hAnsi="Times New Roman" w:eastAsia="宋体" w:cs="Times New Roman"/>
                <w:color w:val="auto"/>
                <w:sz w:val="21"/>
                <w:szCs w:val="21"/>
                <w:highlight w:val="none"/>
                <w:lang w:val="en-US" w:eastAsia="zh-CN"/>
              </w:rPr>
              <w:t>废气</w:t>
            </w:r>
            <w:r>
              <w:rPr>
                <w:rFonts w:hint="eastAsia" w:ascii="宋体" w:hAnsi="宋体" w:cs="宋体"/>
                <w:color w:val="auto"/>
                <w:szCs w:val="21"/>
                <w:highlight w:val="none"/>
                <w:lang w:val="en-US" w:eastAsia="zh-CN"/>
              </w:rPr>
              <w:t>、手动线喷粉废气</w:t>
            </w:r>
            <w:r>
              <w:rPr>
                <w:rFonts w:hint="eastAsia" w:ascii="宋体" w:hAnsi="宋体" w:cs="宋体"/>
                <w:color w:val="auto"/>
                <w:szCs w:val="21"/>
                <w:highlight w:val="none"/>
                <w:lang w:val="en-US" w:eastAsia="zh-CN"/>
              </w:rPr>
              <w:t>半密闭罩</w:t>
            </w:r>
            <w:r>
              <w:rPr>
                <w:rFonts w:hint="eastAsia" w:ascii="宋体" w:hAnsi="宋体" w:cs="宋体"/>
                <w:color w:val="auto"/>
                <w:szCs w:val="21"/>
                <w:highlight w:val="none"/>
                <w:lang w:val="en-US" w:eastAsia="zh-CN"/>
              </w:rPr>
              <w:t>收集后</w:t>
            </w:r>
            <w:r>
              <w:rPr>
                <w:rFonts w:hint="eastAsia"/>
                <w:color w:val="auto"/>
                <w:szCs w:val="21"/>
                <w:highlight w:val="none"/>
              </w:rPr>
              <w:t>经</w:t>
            </w:r>
            <w:r>
              <w:rPr>
                <w:rFonts w:hint="eastAsia"/>
                <w:b/>
                <w:bCs/>
                <w:color w:val="auto"/>
                <w:spacing w:val="4"/>
                <w:sz w:val="21"/>
                <w:szCs w:val="24"/>
                <w:lang w:val="en-US" w:eastAsia="zh-CN"/>
              </w:rPr>
              <w:t>二级滤芯回收装置</w:t>
            </w:r>
            <w:r>
              <w:rPr>
                <w:rFonts w:hint="eastAsia"/>
                <w:color w:val="auto"/>
                <w:szCs w:val="21"/>
                <w:highlight w:val="none"/>
              </w:rPr>
              <w:t>处理后</w:t>
            </w:r>
            <w:r>
              <w:rPr>
                <w:rFonts w:hint="eastAsia"/>
                <w:color w:val="auto"/>
                <w:szCs w:val="21"/>
                <w:highlight w:val="none"/>
                <w:lang w:val="en-US" w:eastAsia="zh-CN"/>
              </w:rPr>
              <w:t>经排气筒（G1）</w:t>
            </w:r>
            <w:r>
              <w:rPr>
                <w:rFonts w:hint="eastAsia"/>
                <w:color w:val="auto"/>
                <w:szCs w:val="21"/>
                <w:highlight w:val="none"/>
              </w:rPr>
              <w:t>排放</w:t>
            </w:r>
            <w:r>
              <w:rPr>
                <w:rFonts w:hint="eastAsia" w:ascii="宋体" w:hAnsi="宋体" w:cs="宋体"/>
                <w:color w:val="auto"/>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自动线固化工序废气和液化石油气燃烧废气</w:t>
            </w:r>
            <w:r>
              <w:rPr>
                <w:rFonts w:hint="eastAsia"/>
                <w:b/>
                <w:bCs/>
                <w:color w:val="auto"/>
                <w:spacing w:val="4"/>
                <w:sz w:val="21"/>
                <w:szCs w:val="24"/>
                <w:lang w:val="en-US" w:eastAsia="zh-CN"/>
              </w:rPr>
              <w:t>设备管道直连</w:t>
            </w:r>
            <w:r>
              <w:rPr>
                <w:rFonts w:hint="eastAsia" w:ascii="Times New Roman" w:hAnsi="Times New Roman" w:eastAsia="宋体"/>
                <w:color w:val="auto"/>
                <w:spacing w:val="4"/>
                <w:sz w:val="21"/>
                <w:szCs w:val="24"/>
                <w:lang w:val="en-US" w:eastAsia="zh-CN"/>
              </w:rPr>
              <w:t>收集</w:t>
            </w:r>
            <w:r>
              <w:rPr>
                <w:rFonts w:hint="eastAsia"/>
                <w:color w:val="auto"/>
                <w:spacing w:val="4"/>
                <w:sz w:val="21"/>
                <w:szCs w:val="24"/>
                <w:lang w:val="en-US" w:eastAsia="zh-CN"/>
              </w:rPr>
              <w:t>，</w:t>
            </w:r>
            <w:r>
              <w:rPr>
                <w:rFonts w:hint="default" w:ascii="Times New Roman" w:hAnsi="Times New Roman" w:eastAsia="宋体" w:cs="Times New Roman"/>
                <w:strike w:val="0"/>
                <w:dstrike w:val="0"/>
                <w:color w:val="auto"/>
                <w:sz w:val="21"/>
                <w:szCs w:val="21"/>
                <w:highlight w:val="none"/>
                <w:lang w:val="en-US" w:eastAsia="zh-CN"/>
              </w:rPr>
              <w:t>手动线面包炉固化工序废气</w:t>
            </w:r>
            <w:r>
              <w:rPr>
                <w:rFonts w:hint="eastAsia" w:ascii="宋体" w:hAnsi="宋体" w:cs="宋体"/>
                <w:strike w:val="0"/>
                <w:dstrike w:val="0"/>
                <w:color w:val="auto"/>
                <w:szCs w:val="21"/>
                <w:highlight w:val="none"/>
                <w:lang w:val="en-US" w:eastAsia="zh-CN"/>
              </w:rPr>
              <w:t>密闭管道收集</w:t>
            </w:r>
            <w:r>
              <w:rPr>
                <w:rFonts w:hint="eastAsia" w:ascii="宋体" w:hAnsi="宋体" w:cs="宋体"/>
                <w:color w:val="auto"/>
                <w:szCs w:val="21"/>
                <w:highlight w:val="none"/>
                <w:lang w:val="en-US" w:eastAsia="zh-CN"/>
              </w:rPr>
              <w:t>，二者合并后</w:t>
            </w:r>
            <w:r>
              <w:rPr>
                <w:rFonts w:hint="eastAsia" w:ascii="Times New Roman" w:hAnsi="Times New Roman" w:eastAsia="宋体"/>
                <w:color w:val="auto"/>
                <w:spacing w:val="4"/>
                <w:sz w:val="21"/>
                <w:szCs w:val="24"/>
                <w:lang w:val="en-US" w:eastAsia="zh-CN"/>
              </w:rPr>
              <w:t>经</w:t>
            </w:r>
            <w:r>
              <w:rPr>
                <w:rFonts w:hint="eastAsia"/>
                <w:color w:val="auto"/>
                <w:szCs w:val="21"/>
              </w:rPr>
              <w:t>活性炭吸附处理后</w:t>
            </w:r>
            <w:r>
              <w:rPr>
                <w:rFonts w:hint="eastAsia"/>
                <w:color w:val="auto"/>
                <w:szCs w:val="21"/>
                <w:lang w:val="en-US" w:eastAsia="zh-CN"/>
              </w:rPr>
              <w:t>经排气筒</w:t>
            </w:r>
            <w:r>
              <w:rPr>
                <w:rFonts w:hint="eastAsia"/>
                <w:color w:val="auto"/>
                <w:szCs w:val="21"/>
              </w:rPr>
              <w:t>（G</w:t>
            </w:r>
            <w:r>
              <w:rPr>
                <w:rFonts w:hint="eastAsia"/>
                <w:color w:val="auto"/>
                <w:szCs w:val="21"/>
                <w:lang w:val="en-US" w:eastAsia="zh-CN"/>
              </w:rPr>
              <w:t>2</w:t>
            </w:r>
            <w:r>
              <w:rPr>
                <w:rFonts w:hint="eastAsia"/>
                <w:color w:val="auto"/>
                <w:szCs w:val="21"/>
              </w:rPr>
              <w:t>）</w:t>
            </w:r>
            <w:r>
              <w:rPr>
                <w:rFonts w:hint="eastAsia"/>
                <w:color w:val="auto"/>
                <w:szCs w:val="21"/>
                <w:lang w:val="en-US" w:eastAsia="zh-CN"/>
              </w:rPr>
              <w:t>排放</w:t>
            </w:r>
            <w:r>
              <w:rPr>
                <w:rFonts w:hint="eastAsia" w:ascii="宋体" w:hAnsi="宋体" w:cs="宋体"/>
                <w:color w:val="auto"/>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项目尽可能在源头上减少污染物产生，严格按照国家相关规范要求，加强大气污染控制措施，定期对废气治理设施进行维护和巡查，确保对污染物进行有效治理达标排放。</w:t>
            </w:r>
          </w:p>
          <w:p w14:paraId="43DFB25E">
            <w:pPr>
              <w:pStyle w:val="46"/>
              <w:spacing w:line="360" w:lineRule="auto"/>
              <w:jc w:val="both"/>
              <w:rPr>
                <w:color w:val="auto"/>
              </w:rPr>
            </w:pPr>
            <w:r>
              <w:rPr>
                <w:rFonts w:hint="default" w:ascii="Times New Roman" w:hAnsi="Times New Roman" w:cs="Times New Roman"/>
                <w:color w:val="auto"/>
                <w:sz w:val="21"/>
                <w:szCs w:val="21"/>
                <w:highlight w:val="none"/>
              </w:rPr>
              <w:t>综上，项目拟将采取有效措施对可能产生地下水</w:t>
            </w:r>
            <w:r>
              <w:rPr>
                <w:rFonts w:hint="eastAsia" w:ascii="Times New Roman" w:hAnsi="Times New Roman" w:cs="Times New Roman"/>
                <w:color w:val="auto"/>
                <w:sz w:val="21"/>
                <w:szCs w:val="21"/>
                <w:highlight w:val="none"/>
                <w:lang w:val="en-US" w:eastAsia="zh-CN"/>
              </w:rPr>
              <w:t>及土壤</w:t>
            </w:r>
            <w:r>
              <w:rPr>
                <w:rFonts w:hint="default" w:ascii="Times New Roman" w:hAnsi="Times New Roman" w:cs="Times New Roman"/>
                <w:color w:val="auto"/>
                <w:sz w:val="21"/>
                <w:szCs w:val="21"/>
                <w:highlight w:val="none"/>
              </w:rPr>
              <w:t>影响的各项途径均进行有效预防，在确保各项防渗措施得以落实，并加强维护和环境管理的前提下，可有效控制项目内的污染物下渗现象，避免污染地下水</w:t>
            </w:r>
            <w:r>
              <w:rPr>
                <w:rFonts w:hint="eastAsia" w:ascii="Times New Roman" w:hAnsi="Times New Roman" w:cs="Times New Roman"/>
                <w:color w:val="auto"/>
                <w:sz w:val="21"/>
                <w:szCs w:val="21"/>
                <w:highlight w:val="none"/>
                <w:lang w:val="en-US" w:eastAsia="zh-CN"/>
              </w:rPr>
              <w:t>及土壤</w:t>
            </w:r>
            <w:r>
              <w:rPr>
                <w:rFonts w:hint="default" w:ascii="Times New Roman" w:hAnsi="Times New Roman" w:cs="Times New Roman"/>
                <w:color w:val="auto"/>
                <w:sz w:val="21"/>
                <w:szCs w:val="21"/>
                <w:highlight w:val="none"/>
              </w:rPr>
              <w:t>，因此项目不会对区域地下水</w:t>
            </w:r>
            <w:r>
              <w:rPr>
                <w:rFonts w:hint="eastAsia" w:ascii="Times New Roman" w:hAnsi="Times New Roman" w:cs="Times New Roman"/>
                <w:color w:val="auto"/>
                <w:sz w:val="21"/>
                <w:szCs w:val="21"/>
                <w:highlight w:val="none"/>
                <w:lang w:val="en-US" w:eastAsia="zh-CN"/>
              </w:rPr>
              <w:t>及土壤</w:t>
            </w:r>
            <w:r>
              <w:rPr>
                <w:rFonts w:hint="default" w:ascii="Times New Roman" w:hAnsi="Times New Roman" w:cs="Times New Roman"/>
                <w:color w:val="auto"/>
                <w:sz w:val="21"/>
                <w:szCs w:val="21"/>
                <w:highlight w:val="none"/>
              </w:rPr>
              <w:t>环境产生明显影响。故不设置相关自行监测要求。</w:t>
            </w:r>
          </w:p>
        </w:tc>
      </w:tr>
    </w:tbl>
    <w:p w14:paraId="2F3E2F0D">
      <w:pPr>
        <w:adjustRightInd w:val="0"/>
        <w:snapToGrid w:val="0"/>
        <w:spacing w:line="360" w:lineRule="auto"/>
        <w:rPr>
          <w:rFonts w:ascii="宋体" w:cs="宋体"/>
          <w:b/>
          <w:color w:val="auto"/>
          <w:kern w:val="0"/>
          <w:szCs w:val="21"/>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7A7A8596">
      <w:pPr>
        <w:pStyle w:val="31"/>
        <w:rPr>
          <w:color w:val="auto"/>
          <w:sz w:val="30"/>
          <w:szCs w:val="30"/>
        </w:rPr>
      </w:pPr>
      <w:bookmarkStart w:id="14" w:name="_Toc72508647"/>
      <w:r>
        <w:rPr>
          <w:rFonts w:hint="eastAsia"/>
          <w:color w:val="auto"/>
          <w:sz w:val="30"/>
          <w:szCs w:val="30"/>
        </w:rPr>
        <w:t>五、</w:t>
      </w:r>
      <w:bookmarkStart w:id="15" w:name="_Hlk54167917"/>
      <w:r>
        <w:rPr>
          <w:rFonts w:hint="eastAsia"/>
          <w:color w:val="auto"/>
          <w:sz w:val="30"/>
          <w:szCs w:val="30"/>
        </w:rPr>
        <w:t>环境保护措施监督检查清单</w:t>
      </w:r>
      <w:bookmarkEnd w:id="14"/>
      <w:bookmarkEnd w:id="15"/>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2"/>
        <w:gridCol w:w="850"/>
        <w:gridCol w:w="567"/>
        <w:gridCol w:w="1559"/>
        <w:gridCol w:w="1985"/>
        <w:gridCol w:w="2868"/>
      </w:tblGrid>
      <w:tr w14:paraId="638F2B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tcBorders>
              <w:top w:val="single" w:color="auto" w:sz="12" w:space="0"/>
              <w:left w:val="single" w:color="auto" w:sz="12" w:space="0"/>
              <w:bottom w:val="single" w:color="auto" w:sz="4" w:space="0"/>
              <w:tl2br w:val="single" w:color="auto" w:sz="4" w:space="0"/>
            </w:tcBorders>
          </w:tcPr>
          <w:p w14:paraId="52DB4197">
            <w:pPr>
              <w:adjustRightInd w:val="0"/>
              <w:snapToGrid w:val="0"/>
              <w:ind w:firstLine="210" w:firstLineChars="100"/>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内容</w:t>
            </w:r>
          </w:p>
          <w:p w14:paraId="2499BBE0">
            <w:pPr>
              <w:adjustRightInd w:val="0"/>
              <w:snapToGrid w:val="0"/>
              <w:rPr>
                <w:rFonts w:hint="eastAsia" w:ascii="Times New Roman" w:hAnsi="Times New Roman" w:eastAsia="宋体" w:cs="宋体"/>
                <w:color w:val="auto"/>
                <w:sz w:val="21"/>
                <w:szCs w:val="21"/>
              </w:rPr>
            </w:pPr>
          </w:p>
          <w:p w14:paraId="46058C71">
            <w:pPr>
              <w:adjustRightInd w:val="0"/>
              <w:snapToGrid w:val="0"/>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要素</w:t>
            </w:r>
          </w:p>
        </w:tc>
        <w:tc>
          <w:tcPr>
            <w:tcW w:w="1417" w:type="dxa"/>
            <w:gridSpan w:val="2"/>
            <w:tcBorders>
              <w:top w:val="single" w:color="auto" w:sz="12" w:space="0"/>
              <w:bottom w:val="single" w:color="auto" w:sz="4" w:space="0"/>
            </w:tcBorders>
            <w:vAlign w:val="center"/>
          </w:tcPr>
          <w:p w14:paraId="432F65FB">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排放口(编号、名称)/污染源</w:t>
            </w:r>
          </w:p>
        </w:tc>
        <w:tc>
          <w:tcPr>
            <w:tcW w:w="1559" w:type="dxa"/>
            <w:tcBorders>
              <w:top w:val="single" w:color="auto" w:sz="12" w:space="0"/>
              <w:bottom w:val="single" w:color="auto" w:sz="4" w:space="0"/>
            </w:tcBorders>
            <w:vAlign w:val="center"/>
          </w:tcPr>
          <w:p w14:paraId="64F1E1BC">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污染物项目</w:t>
            </w:r>
          </w:p>
        </w:tc>
        <w:tc>
          <w:tcPr>
            <w:tcW w:w="1985" w:type="dxa"/>
            <w:tcBorders>
              <w:top w:val="single" w:color="auto" w:sz="12" w:space="0"/>
              <w:bottom w:val="single" w:color="auto" w:sz="4" w:space="0"/>
            </w:tcBorders>
            <w:vAlign w:val="center"/>
          </w:tcPr>
          <w:p w14:paraId="2C48CE8C">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环境保护措施</w:t>
            </w:r>
          </w:p>
        </w:tc>
        <w:tc>
          <w:tcPr>
            <w:tcW w:w="2868" w:type="dxa"/>
            <w:tcBorders>
              <w:top w:val="single" w:color="auto" w:sz="12" w:space="0"/>
              <w:bottom w:val="single" w:color="auto" w:sz="4" w:space="0"/>
              <w:right w:val="single" w:color="auto" w:sz="12" w:space="0"/>
            </w:tcBorders>
            <w:vAlign w:val="center"/>
          </w:tcPr>
          <w:p w14:paraId="3D10B8D8">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执行标准</w:t>
            </w:r>
          </w:p>
        </w:tc>
      </w:tr>
      <w:tr w14:paraId="21E4D8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972" w:type="dxa"/>
            <w:vMerge w:val="restart"/>
            <w:tcBorders>
              <w:left w:val="single" w:color="auto" w:sz="12" w:space="0"/>
            </w:tcBorders>
            <w:vAlign w:val="center"/>
          </w:tcPr>
          <w:p w14:paraId="10754AAA">
            <w:pPr>
              <w:adjustRightInd w:val="0"/>
              <w:snapToGrid w:val="0"/>
              <w:jc w:val="center"/>
              <w:rPr>
                <w:rFonts w:hint="eastAsia" w:ascii="Times New Roman" w:hAnsi="Times New Roman" w:eastAsia="宋体" w:cs="宋体"/>
                <w:color w:val="auto"/>
                <w:sz w:val="21"/>
                <w:szCs w:val="21"/>
                <w:lang w:val="en-US" w:eastAsia="zh-CN"/>
              </w:rPr>
            </w:pPr>
            <w:r>
              <w:rPr>
                <w:rFonts w:hint="eastAsia" w:cs="宋体"/>
                <w:color w:val="auto"/>
                <w:sz w:val="21"/>
                <w:szCs w:val="21"/>
                <w:lang w:val="en-US" w:eastAsia="zh-CN"/>
              </w:rPr>
              <w:t>大气环境</w:t>
            </w:r>
          </w:p>
        </w:tc>
        <w:tc>
          <w:tcPr>
            <w:tcW w:w="850" w:type="dxa"/>
            <w:tcBorders>
              <w:top w:val="single" w:color="auto" w:sz="4" w:space="0"/>
            </w:tcBorders>
            <w:vAlign w:val="center"/>
          </w:tcPr>
          <w:p w14:paraId="6D91A2C8">
            <w:pPr>
              <w:pStyle w:val="70"/>
              <w:keepNext w:val="0"/>
              <w:keepLines w:val="0"/>
              <w:pageBreakBefore w:val="0"/>
              <w:widowControl w:val="0"/>
              <w:kinsoku w:val="0"/>
              <w:wordWrap w:val="0"/>
              <w:overflowPunct/>
              <w:topLinePunct w:val="0"/>
              <w:autoSpaceDE/>
              <w:autoSpaceDN/>
              <w:bidi w:val="0"/>
              <w:adjustRightInd/>
              <w:snapToGrid/>
              <w:jc w:val="both"/>
              <w:textAlignment w:val="auto"/>
              <w:rPr>
                <w:rFonts w:hint="default"/>
                <w:color w:val="auto"/>
                <w:sz w:val="21"/>
                <w:lang w:val="en-US" w:eastAsia="zh-CN"/>
              </w:rPr>
            </w:pPr>
            <w:r>
              <w:rPr>
                <w:rFonts w:hint="eastAsia"/>
                <w:color w:val="auto"/>
                <w:sz w:val="21"/>
                <w:lang w:val="en-US" w:eastAsia="zh-CN"/>
              </w:rPr>
              <w:t>G1-</w:t>
            </w:r>
            <w:r>
              <w:rPr>
                <w:rFonts w:hint="eastAsia" w:ascii="Times New Roman" w:hAnsi="Times New Roman" w:eastAsia="宋体" w:cs="Times New Roman"/>
                <w:color w:val="auto"/>
                <w:sz w:val="21"/>
                <w:szCs w:val="21"/>
                <w:highlight w:val="none"/>
                <w:lang w:val="en-US" w:eastAsia="zh-CN"/>
              </w:rPr>
              <w:t>自动线喷粉</w:t>
            </w:r>
            <w:r>
              <w:rPr>
                <w:rFonts w:hint="default" w:ascii="Times New Roman" w:hAnsi="Times New Roman" w:eastAsia="宋体" w:cs="Times New Roman"/>
                <w:color w:val="auto"/>
                <w:sz w:val="21"/>
                <w:szCs w:val="21"/>
                <w:highlight w:val="none"/>
                <w:lang w:val="en-US" w:eastAsia="zh-CN"/>
              </w:rPr>
              <w:t>废气</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手动线喷粉</w:t>
            </w:r>
            <w:r>
              <w:rPr>
                <w:rFonts w:hint="default" w:ascii="Times New Roman" w:hAnsi="Times New Roman" w:eastAsia="宋体" w:cs="Times New Roman"/>
                <w:color w:val="auto"/>
                <w:sz w:val="21"/>
                <w:szCs w:val="21"/>
                <w:highlight w:val="none"/>
                <w:lang w:val="en-US" w:eastAsia="zh-CN"/>
              </w:rPr>
              <w:t>废气</w:t>
            </w:r>
          </w:p>
        </w:tc>
        <w:tc>
          <w:tcPr>
            <w:tcW w:w="567" w:type="dxa"/>
            <w:vMerge w:val="restart"/>
            <w:tcBorders>
              <w:top w:val="single" w:color="auto" w:sz="4" w:space="0"/>
            </w:tcBorders>
            <w:vAlign w:val="center"/>
          </w:tcPr>
          <w:p w14:paraId="22E44A28">
            <w:pPr>
              <w:pStyle w:val="70"/>
              <w:jc w:val="both"/>
              <w:rPr>
                <w:rFonts w:hint="default"/>
                <w:color w:val="auto"/>
                <w:sz w:val="21"/>
                <w:lang w:val="en-US" w:eastAsia="zh-CN"/>
              </w:rPr>
            </w:pPr>
            <w:r>
              <w:rPr>
                <w:rFonts w:hint="eastAsia"/>
                <w:color w:val="auto"/>
                <w:sz w:val="21"/>
                <w:lang w:val="en-US" w:eastAsia="zh-CN"/>
              </w:rPr>
              <w:t>有组织</w:t>
            </w:r>
          </w:p>
        </w:tc>
        <w:tc>
          <w:tcPr>
            <w:tcW w:w="1559" w:type="dxa"/>
            <w:tcBorders>
              <w:top w:val="single" w:color="auto" w:sz="4" w:space="0"/>
              <w:bottom w:val="single" w:color="auto" w:sz="4" w:space="0"/>
            </w:tcBorders>
            <w:vAlign w:val="center"/>
          </w:tcPr>
          <w:p w14:paraId="2F3FFAC2">
            <w:pPr>
              <w:adjustRightInd w:val="0"/>
              <w:snapToGrid w:val="0"/>
              <w:jc w:val="center"/>
              <w:rPr>
                <w:rFonts w:hint="default" w:ascii="Times New Roman" w:hAnsi="Times New Roman" w:eastAsia="宋体" w:cs="宋体"/>
                <w:color w:val="auto"/>
                <w:sz w:val="21"/>
                <w:szCs w:val="21"/>
                <w:lang w:val="en-US" w:eastAsia="zh-CN"/>
              </w:rPr>
            </w:pPr>
            <w:r>
              <w:rPr>
                <w:rFonts w:hint="eastAsia" w:cs="宋体"/>
                <w:color w:val="auto"/>
                <w:sz w:val="21"/>
                <w:szCs w:val="21"/>
                <w:lang w:val="en-US" w:eastAsia="zh-CN"/>
              </w:rPr>
              <w:t>颗粒物</w:t>
            </w:r>
          </w:p>
        </w:tc>
        <w:tc>
          <w:tcPr>
            <w:tcW w:w="1985" w:type="dxa"/>
            <w:vAlign w:val="center"/>
          </w:tcPr>
          <w:p w14:paraId="2E493D28">
            <w:pPr>
              <w:adjustRightInd w:val="0"/>
              <w:snapToGrid w:val="0"/>
              <w:spacing w:line="360" w:lineRule="auto"/>
              <w:jc w:val="center"/>
              <w:rPr>
                <w:rFonts w:hint="eastAsia" w:ascii="Times New Roman" w:hAnsi="Times New Roman" w:eastAsia="宋体"/>
                <w:color w:val="auto"/>
                <w:spacing w:val="4"/>
                <w:sz w:val="21"/>
                <w:szCs w:val="24"/>
                <w:lang w:val="en-US" w:eastAsia="zh-CN"/>
              </w:rPr>
            </w:pPr>
            <w:r>
              <w:rPr>
                <w:rFonts w:hint="eastAsia" w:ascii="Times New Roman" w:hAnsi="Times New Roman" w:eastAsia="宋体" w:cs="Times New Roman"/>
                <w:color w:val="auto"/>
                <w:sz w:val="21"/>
                <w:szCs w:val="21"/>
                <w:highlight w:val="none"/>
                <w:lang w:val="en-US" w:eastAsia="zh-CN"/>
              </w:rPr>
              <w:t>自动线喷粉</w:t>
            </w:r>
            <w:r>
              <w:rPr>
                <w:rFonts w:hint="default" w:ascii="Times New Roman" w:hAnsi="Times New Roman" w:eastAsia="宋体" w:cs="Times New Roman"/>
                <w:color w:val="auto"/>
                <w:sz w:val="21"/>
                <w:szCs w:val="21"/>
                <w:highlight w:val="none"/>
                <w:lang w:val="en-US" w:eastAsia="zh-CN"/>
              </w:rPr>
              <w:t>废气</w:t>
            </w:r>
            <w:r>
              <w:rPr>
                <w:rFonts w:hint="eastAsia" w:ascii="宋体" w:hAnsi="宋体" w:cs="宋体"/>
                <w:color w:val="auto"/>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手动线喷粉</w:t>
            </w:r>
            <w:r>
              <w:rPr>
                <w:rFonts w:hint="default" w:ascii="Times New Roman" w:hAnsi="Times New Roman" w:eastAsia="宋体" w:cs="Times New Roman"/>
                <w:color w:val="auto"/>
                <w:sz w:val="21"/>
                <w:szCs w:val="21"/>
                <w:highlight w:val="none"/>
                <w:lang w:val="en-US" w:eastAsia="zh-CN"/>
              </w:rPr>
              <w:t>废气</w:t>
            </w:r>
            <w:r>
              <w:rPr>
                <w:rFonts w:hint="eastAsia" w:ascii="宋体" w:hAnsi="宋体" w:cs="宋体"/>
                <w:color w:val="auto"/>
                <w:szCs w:val="21"/>
                <w:highlight w:val="none"/>
                <w:lang w:val="en-US" w:eastAsia="zh-CN"/>
              </w:rPr>
              <w:t>半密闭罩</w:t>
            </w:r>
            <w:r>
              <w:rPr>
                <w:rFonts w:hint="eastAsia" w:ascii="宋体" w:hAnsi="宋体" w:cs="宋体"/>
                <w:color w:val="auto"/>
                <w:szCs w:val="21"/>
                <w:highlight w:val="none"/>
                <w:lang w:val="en-US" w:eastAsia="zh-CN"/>
              </w:rPr>
              <w:t>收集，</w:t>
            </w:r>
            <w:r>
              <w:rPr>
                <w:rFonts w:hint="eastAsia"/>
                <w:color w:val="auto"/>
                <w:szCs w:val="21"/>
                <w:highlight w:val="none"/>
              </w:rPr>
              <w:t>经</w:t>
            </w:r>
            <w:r>
              <w:rPr>
                <w:rFonts w:hint="eastAsia"/>
                <w:b/>
                <w:bCs/>
                <w:color w:val="auto"/>
                <w:szCs w:val="21"/>
                <w:highlight w:val="none"/>
                <w:lang w:val="en-US" w:eastAsia="zh-CN"/>
              </w:rPr>
              <w:t>二级</w:t>
            </w:r>
            <w:r>
              <w:rPr>
                <w:rFonts w:hint="eastAsia"/>
                <w:b/>
                <w:bCs/>
                <w:color w:val="auto"/>
                <w:szCs w:val="21"/>
                <w:highlight w:val="none"/>
              </w:rPr>
              <w:t>滤芯回收装置</w:t>
            </w:r>
            <w:r>
              <w:rPr>
                <w:rFonts w:hint="eastAsia"/>
                <w:color w:val="auto"/>
                <w:szCs w:val="21"/>
                <w:highlight w:val="none"/>
              </w:rPr>
              <w:t>处理后</w:t>
            </w:r>
            <w:r>
              <w:rPr>
                <w:rFonts w:hint="eastAsia"/>
                <w:color w:val="auto"/>
                <w:szCs w:val="21"/>
                <w:highlight w:val="none"/>
                <w:lang w:val="en-US" w:eastAsia="zh-CN"/>
              </w:rPr>
              <w:t>经15m高排气筒（G1</w:t>
            </w:r>
            <w:r>
              <w:rPr>
                <w:rFonts w:hint="eastAsia"/>
                <w:strike w:val="0"/>
                <w:dstrike w:val="0"/>
                <w:color w:val="auto"/>
                <w:lang w:val="en-US" w:eastAsia="zh-CN"/>
              </w:rPr>
              <w:t>，</w:t>
            </w:r>
            <w:r>
              <w:rPr>
                <w:rFonts w:hint="eastAsia"/>
                <w:strike w:val="0"/>
                <w:dstrike w:val="0"/>
                <w:color w:val="auto"/>
                <w:lang w:val="en-US"/>
              </w:rPr>
              <w:t>风量为</w:t>
            </w:r>
            <w:r>
              <w:rPr>
                <w:rFonts w:hint="eastAsia"/>
                <w:strike w:val="0"/>
                <w:dstrike w:val="0"/>
                <w:color w:val="auto"/>
                <w:lang w:val="en-US" w:eastAsia="zh-CN"/>
              </w:rPr>
              <w:t>1</w:t>
            </w:r>
            <w:r>
              <w:rPr>
                <w:strike w:val="0"/>
                <w:dstrike w:val="0"/>
                <w:color w:val="auto"/>
                <w:lang w:val="en-US"/>
              </w:rPr>
              <w:t>5</w:t>
            </w:r>
            <w:r>
              <w:rPr>
                <w:rFonts w:hint="eastAsia"/>
                <w:strike w:val="0"/>
                <w:dstrike w:val="0"/>
                <w:color w:val="auto"/>
                <w:lang w:val="en-US"/>
              </w:rPr>
              <w:t>00</w:t>
            </w:r>
            <w:r>
              <w:rPr>
                <w:rFonts w:hint="eastAsia"/>
                <w:strike w:val="0"/>
                <w:dstrike w:val="0"/>
                <w:color w:val="auto"/>
                <w:lang w:val="en-US" w:eastAsia="zh-CN"/>
              </w:rPr>
              <w:t>0</w:t>
            </w:r>
            <w:r>
              <w:rPr>
                <w:strike w:val="0"/>
                <w:dstrike w:val="0"/>
                <w:color w:val="auto"/>
                <w:lang w:val="en-US"/>
              </w:rPr>
              <w:t>m³/h</w:t>
            </w:r>
            <w:r>
              <w:rPr>
                <w:rFonts w:hint="eastAsia"/>
                <w:color w:val="auto"/>
                <w:szCs w:val="21"/>
                <w:highlight w:val="none"/>
                <w:lang w:val="en-US" w:eastAsia="zh-CN"/>
              </w:rPr>
              <w:t>）</w:t>
            </w:r>
            <w:r>
              <w:rPr>
                <w:rFonts w:hint="eastAsia"/>
                <w:color w:val="auto"/>
                <w:szCs w:val="21"/>
                <w:highlight w:val="none"/>
              </w:rPr>
              <w:t>排放</w:t>
            </w:r>
          </w:p>
        </w:tc>
        <w:tc>
          <w:tcPr>
            <w:tcW w:w="2868" w:type="dxa"/>
            <w:tcBorders>
              <w:right w:val="single" w:color="auto" w:sz="12" w:space="0"/>
            </w:tcBorders>
            <w:vAlign w:val="center"/>
          </w:tcPr>
          <w:p w14:paraId="75DFDB9A">
            <w:pPr>
              <w:adjustRightInd w:val="0"/>
              <w:snapToGrid w:val="0"/>
              <w:spacing w:line="360" w:lineRule="auto"/>
              <w:jc w:val="center"/>
              <w:rPr>
                <w:rFonts w:hint="eastAsia" w:ascii="Times New Roman" w:hAnsi="Times New Roman" w:eastAsia="宋体" w:cs="宋体"/>
                <w:color w:val="auto"/>
                <w:sz w:val="21"/>
                <w:szCs w:val="21"/>
              </w:rPr>
            </w:pPr>
            <w:r>
              <w:rPr>
                <w:rFonts w:hint="eastAsia" w:ascii="Times New Roman" w:hAnsi="Times New Roman" w:eastAsia="宋体" w:cs="宋体"/>
                <w:color w:val="auto"/>
                <w:sz w:val="21"/>
                <w:szCs w:val="21"/>
              </w:rPr>
              <w:t>广东省地方标准《大气污染物排放限值》（DB44/27-2001）</w:t>
            </w:r>
            <w:r>
              <w:rPr>
                <w:rFonts w:hint="eastAsia" w:cs="宋体"/>
                <w:color w:val="auto"/>
                <w:sz w:val="21"/>
                <w:szCs w:val="21"/>
                <w:lang w:val="en-US" w:eastAsia="zh-CN"/>
              </w:rPr>
              <w:t>表2</w:t>
            </w:r>
            <w:r>
              <w:rPr>
                <w:rFonts w:hint="eastAsia" w:ascii="Times New Roman" w:hAnsi="Times New Roman" w:eastAsia="宋体" w:cs="宋体"/>
                <w:color w:val="auto"/>
                <w:sz w:val="21"/>
                <w:szCs w:val="21"/>
              </w:rPr>
              <w:t>第二时段二级标准</w:t>
            </w:r>
          </w:p>
        </w:tc>
      </w:tr>
      <w:tr w14:paraId="23104C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972" w:type="dxa"/>
            <w:vMerge w:val="continue"/>
            <w:tcBorders>
              <w:left w:val="single" w:color="auto" w:sz="12" w:space="0"/>
            </w:tcBorders>
            <w:vAlign w:val="center"/>
          </w:tcPr>
          <w:p w14:paraId="1B23A235">
            <w:pPr>
              <w:adjustRightInd w:val="0"/>
              <w:snapToGrid w:val="0"/>
              <w:jc w:val="center"/>
              <w:rPr>
                <w:rFonts w:ascii="Times New Roman" w:hAnsi="Times New Roman" w:eastAsia="宋体" w:cs="宋体"/>
                <w:color w:val="auto"/>
                <w:sz w:val="21"/>
                <w:szCs w:val="21"/>
              </w:rPr>
            </w:pPr>
          </w:p>
        </w:tc>
        <w:tc>
          <w:tcPr>
            <w:tcW w:w="850" w:type="dxa"/>
            <w:vMerge w:val="restart"/>
            <w:tcBorders>
              <w:top w:val="single" w:color="auto" w:sz="4" w:space="0"/>
            </w:tcBorders>
            <w:vAlign w:val="center"/>
          </w:tcPr>
          <w:p w14:paraId="153332D3">
            <w:pPr>
              <w:pStyle w:val="70"/>
              <w:keepNext w:val="0"/>
              <w:keepLines w:val="0"/>
              <w:pageBreakBefore w:val="0"/>
              <w:widowControl w:val="0"/>
              <w:kinsoku w:val="0"/>
              <w:wordWrap w:val="0"/>
              <w:overflowPunct/>
              <w:topLinePunct w:val="0"/>
              <w:autoSpaceDE/>
              <w:autoSpaceDN/>
              <w:bidi w:val="0"/>
              <w:adjustRightInd/>
              <w:snapToGrid/>
              <w:textAlignment w:val="auto"/>
              <w:rPr>
                <w:rFonts w:ascii="Times New Roman" w:hAnsi="Times New Roman" w:eastAsia="宋体"/>
                <w:color w:val="auto"/>
                <w:sz w:val="21"/>
                <w:lang w:val="en-US"/>
              </w:rPr>
            </w:pPr>
            <w:r>
              <w:rPr>
                <w:rFonts w:hint="eastAsia"/>
                <w:color w:val="auto"/>
                <w:sz w:val="21"/>
                <w:lang w:val="en-US" w:eastAsia="zh-CN"/>
              </w:rPr>
              <w:t>G2-</w:t>
            </w:r>
            <w:r>
              <w:rPr>
                <w:rFonts w:hint="eastAsia" w:ascii="Times New Roman" w:hAnsi="Times New Roman" w:eastAsia="宋体"/>
                <w:color w:val="auto"/>
                <w:sz w:val="21"/>
              </w:rPr>
              <w:t>手动线面包炉固化工序废气</w:t>
            </w:r>
            <w:r>
              <w:rPr>
                <w:rFonts w:hint="eastAsia" w:ascii="Times New Roman" w:hAnsi="Times New Roman" w:eastAsia="宋体"/>
                <w:color w:val="auto"/>
                <w:sz w:val="21"/>
                <w:lang w:eastAsia="zh-CN"/>
              </w:rPr>
              <w:t>、</w:t>
            </w:r>
            <w:r>
              <w:rPr>
                <w:rFonts w:hint="eastAsia" w:ascii="Times New Roman" w:hAnsi="Times New Roman" w:eastAsia="宋体"/>
                <w:color w:val="auto"/>
                <w:sz w:val="21"/>
              </w:rPr>
              <w:t>自动线固化工序和液化石油气燃烧废气</w:t>
            </w:r>
          </w:p>
        </w:tc>
        <w:tc>
          <w:tcPr>
            <w:tcW w:w="567" w:type="dxa"/>
            <w:vMerge w:val="continue"/>
            <w:vAlign w:val="center"/>
          </w:tcPr>
          <w:p w14:paraId="704E9F33">
            <w:pPr>
              <w:pStyle w:val="70"/>
              <w:rPr>
                <w:rFonts w:hint="eastAsia"/>
                <w:color w:val="auto"/>
                <w:sz w:val="21"/>
                <w:lang w:val="en-US" w:eastAsia="zh-CN"/>
              </w:rPr>
            </w:pPr>
          </w:p>
        </w:tc>
        <w:tc>
          <w:tcPr>
            <w:tcW w:w="1559" w:type="dxa"/>
            <w:tcBorders>
              <w:top w:val="single" w:color="auto" w:sz="4" w:space="0"/>
              <w:bottom w:val="single" w:color="auto" w:sz="4" w:space="0"/>
            </w:tcBorders>
            <w:vAlign w:val="center"/>
          </w:tcPr>
          <w:p w14:paraId="5DA5C53C">
            <w:pPr>
              <w:adjustRightInd w:val="0"/>
              <w:snapToGrid w:val="0"/>
              <w:jc w:val="center"/>
              <w:rPr>
                <w:rFonts w:ascii="Times New Roman" w:hAnsi="Times New Roman" w:eastAsia="宋体" w:cs="宋体"/>
                <w:color w:val="auto"/>
                <w:sz w:val="21"/>
                <w:szCs w:val="21"/>
              </w:rPr>
            </w:pPr>
            <w:r>
              <w:rPr>
                <w:rFonts w:hint="eastAsia" w:cs="宋体"/>
                <w:color w:val="auto"/>
                <w:sz w:val="21"/>
                <w:szCs w:val="21"/>
                <w:lang w:val="en-US" w:eastAsia="zh-CN"/>
              </w:rPr>
              <w:t>TVOC、</w:t>
            </w:r>
            <w:r>
              <w:rPr>
                <w:rFonts w:ascii="Times New Roman" w:hAnsi="Times New Roman" w:eastAsia="宋体" w:cs="宋体"/>
                <w:color w:val="auto"/>
                <w:sz w:val="21"/>
                <w:szCs w:val="21"/>
              </w:rPr>
              <w:t>非甲烷总烃</w:t>
            </w:r>
          </w:p>
        </w:tc>
        <w:tc>
          <w:tcPr>
            <w:tcW w:w="1985" w:type="dxa"/>
            <w:vMerge w:val="restart"/>
            <w:vAlign w:val="center"/>
          </w:tcPr>
          <w:p w14:paraId="3546C453">
            <w:pPr>
              <w:adjustRightInd w:val="0"/>
              <w:snapToGrid w:val="0"/>
              <w:spacing w:line="360" w:lineRule="auto"/>
              <w:jc w:val="center"/>
              <w:rPr>
                <w:rFonts w:ascii="Times New Roman" w:hAnsi="Times New Roman" w:eastAsia="宋体" w:cs="宋体"/>
                <w:color w:val="auto"/>
                <w:sz w:val="21"/>
                <w:szCs w:val="21"/>
              </w:rPr>
            </w:pPr>
            <w:r>
              <w:rPr>
                <w:rFonts w:hint="eastAsia" w:ascii="Times New Roman" w:hAnsi="Times New Roman" w:eastAsia="宋体"/>
                <w:strike w:val="0"/>
                <w:dstrike w:val="0"/>
                <w:color w:val="auto"/>
                <w:sz w:val="21"/>
              </w:rPr>
              <w:t>手动线面包炉固化工序废气</w:t>
            </w:r>
            <w:r>
              <w:rPr>
                <w:rFonts w:hint="eastAsia" w:ascii="Times New Roman" w:hAnsi="Times New Roman" w:eastAsia="宋体"/>
                <w:strike w:val="0"/>
                <w:dstrike w:val="0"/>
                <w:color w:val="auto"/>
                <w:sz w:val="21"/>
                <w:lang w:val="en-US" w:eastAsia="zh-CN"/>
              </w:rPr>
              <w:t>密闭</w:t>
            </w:r>
            <w:r>
              <w:rPr>
                <w:rFonts w:hint="eastAsia"/>
                <w:strike w:val="0"/>
                <w:dstrike w:val="0"/>
                <w:color w:val="auto"/>
                <w:sz w:val="21"/>
                <w:lang w:val="en-US" w:eastAsia="zh-CN"/>
              </w:rPr>
              <w:t>管道</w:t>
            </w:r>
            <w:r>
              <w:rPr>
                <w:rFonts w:hint="eastAsia" w:ascii="Times New Roman" w:hAnsi="Times New Roman" w:eastAsia="宋体"/>
                <w:strike w:val="0"/>
                <w:dstrike w:val="0"/>
                <w:color w:val="auto"/>
                <w:sz w:val="21"/>
                <w:lang w:val="en-US" w:eastAsia="zh-CN"/>
              </w:rPr>
              <w:t>收集</w:t>
            </w:r>
            <w:r>
              <w:rPr>
                <w:rFonts w:hint="eastAsia" w:ascii="Times New Roman" w:hAnsi="Times New Roman" w:eastAsia="宋体"/>
                <w:strike w:val="0"/>
                <w:color w:val="auto"/>
                <w:sz w:val="21"/>
                <w:lang w:val="en-US" w:eastAsia="zh-CN"/>
              </w:rPr>
              <w:t>，</w:t>
            </w:r>
            <w:r>
              <w:rPr>
                <w:rFonts w:hint="eastAsia" w:ascii="Times New Roman" w:hAnsi="Times New Roman" w:eastAsia="宋体"/>
                <w:color w:val="auto"/>
                <w:sz w:val="21"/>
              </w:rPr>
              <w:t>自动线固化工序和液化石油气燃烧废气</w:t>
            </w:r>
            <w:r>
              <w:rPr>
                <w:rFonts w:hint="eastAsia"/>
                <w:b/>
                <w:bCs/>
                <w:color w:val="auto"/>
                <w:sz w:val="21"/>
                <w:lang w:val="en-US" w:eastAsia="zh-CN"/>
              </w:rPr>
              <w:t>设备管道直连</w:t>
            </w:r>
            <w:r>
              <w:rPr>
                <w:rFonts w:hint="eastAsia" w:ascii="宋体" w:hAnsi="宋体" w:cs="宋体"/>
                <w:b/>
                <w:bCs/>
                <w:color w:val="auto"/>
                <w:szCs w:val="21"/>
                <w:highlight w:val="none"/>
                <w:lang w:val="en-US" w:eastAsia="zh-CN"/>
              </w:rPr>
              <w:t>收集</w:t>
            </w:r>
            <w:r>
              <w:rPr>
                <w:rFonts w:hint="eastAsia" w:ascii="宋体" w:hAnsi="宋体" w:cs="宋体"/>
                <w:color w:val="auto"/>
                <w:szCs w:val="21"/>
                <w:highlight w:val="none"/>
                <w:lang w:val="en-US" w:eastAsia="zh-CN"/>
              </w:rPr>
              <w:t>，</w:t>
            </w:r>
            <w:r>
              <w:rPr>
                <w:rFonts w:hint="eastAsia"/>
                <w:color w:val="auto"/>
                <w:spacing w:val="4"/>
                <w:sz w:val="21"/>
                <w:szCs w:val="24"/>
                <w:lang w:val="en-US" w:eastAsia="zh-CN"/>
              </w:rPr>
              <w:t>合并</w:t>
            </w:r>
            <w:r>
              <w:rPr>
                <w:rFonts w:hint="eastAsia" w:ascii="Times New Roman" w:hAnsi="Times New Roman" w:eastAsia="宋体"/>
                <w:color w:val="auto"/>
                <w:spacing w:val="4"/>
                <w:sz w:val="21"/>
                <w:szCs w:val="24"/>
                <w:lang w:val="en-US" w:eastAsia="zh-CN"/>
              </w:rPr>
              <w:t>后经</w:t>
            </w:r>
            <w:r>
              <w:rPr>
                <w:rFonts w:hint="eastAsia"/>
                <w:color w:val="auto"/>
                <w:szCs w:val="21"/>
              </w:rPr>
              <w:t>活性炭吸附处理后</w:t>
            </w:r>
            <w:r>
              <w:rPr>
                <w:rFonts w:hint="eastAsia"/>
                <w:color w:val="auto"/>
                <w:szCs w:val="21"/>
                <w:lang w:val="en-US" w:eastAsia="zh-CN"/>
              </w:rPr>
              <w:t>经排气筒</w:t>
            </w:r>
            <w:r>
              <w:rPr>
                <w:rFonts w:hint="eastAsia"/>
                <w:color w:val="auto"/>
                <w:szCs w:val="21"/>
              </w:rPr>
              <w:t>（G</w:t>
            </w:r>
            <w:r>
              <w:rPr>
                <w:rFonts w:hint="eastAsia"/>
                <w:color w:val="auto"/>
                <w:szCs w:val="21"/>
                <w:lang w:val="en-US" w:eastAsia="zh-CN"/>
              </w:rPr>
              <w:t>2</w:t>
            </w:r>
            <w:r>
              <w:rPr>
                <w:rFonts w:hint="eastAsia"/>
                <w:strike w:val="0"/>
                <w:dstrike w:val="0"/>
                <w:color w:val="auto"/>
                <w:lang w:val="en-US" w:eastAsia="zh-CN"/>
              </w:rPr>
              <w:t>，</w:t>
            </w:r>
            <w:r>
              <w:rPr>
                <w:rFonts w:hint="eastAsia"/>
                <w:strike w:val="0"/>
                <w:dstrike w:val="0"/>
                <w:color w:val="auto"/>
                <w:lang w:val="en-US"/>
              </w:rPr>
              <w:t>风量为</w:t>
            </w:r>
            <w:r>
              <w:rPr>
                <w:rFonts w:hint="eastAsia"/>
                <w:strike w:val="0"/>
                <w:dstrike w:val="0"/>
                <w:color w:val="auto"/>
                <w:lang w:val="en-US" w:eastAsia="zh-CN"/>
              </w:rPr>
              <w:t>6</w:t>
            </w:r>
            <w:r>
              <w:rPr>
                <w:rFonts w:hint="eastAsia"/>
                <w:strike w:val="0"/>
                <w:dstrike w:val="0"/>
                <w:color w:val="auto"/>
                <w:lang w:val="en-US"/>
              </w:rPr>
              <w:t>00</w:t>
            </w:r>
            <w:r>
              <w:rPr>
                <w:rFonts w:hint="eastAsia"/>
                <w:strike w:val="0"/>
                <w:dstrike w:val="0"/>
                <w:color w:val="auto"/>
                <w:lang w:val="en-US" w:eastAsia="zh-CN"/>
              </w:rPr>
              <w:t>0</w:t>
            </w:r>
            <w:r>
              <w:rPr>
                <w:strike w:val="0"/>
                <w:dstrike w:val="0"/>
                <w:color w:val="auto"/>
                <w:lang w:val="en-US"/>
              </w:rPr>
              <w:t>m³/h</w:t>
            </w:r>
            <w:r>
              <w:rPr>
                <w:rFonts w:hint="eastAsia"/>
                <w:color w:val="auto"/>
                <w:szCs w:val="21"/>
              </w:rPr>
              <w:t>）</w:t>
            </w:r>
            <w:r>
              <w:rPr>
                <w:rFonts w:hint="eastAsia"/>
                <w:color w:val="auto"/>
                <w:szCs w:val="21"/>
                <w:lang w:val="en-US" w:eastAsia="zh-CN"/>
              </w:rPr>
              <w:t>排放</w:t>
            </w:r>
          </w:p>
        </w:tc>
        <w:tc>
          <w:tcPr>
            <w:tcW w:w="2868" w:type="dxa"/>
            <w:tcBorders>
              <w:right w:val="single" w:color="auto" w:sz="12" w:space="0"/>
            </w:tcBorders>
            <w:vAlign w:val="center"/>
          </w:tcPr>
          <w:p w14:paraId="256C4880">
            <w:pPr>
              <w:adjustRightInd w:val="0"/>
              <w:snapToGrid w:val="0"/>
              <w:spacing w:line="360" w:lineRule="auto"/>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广东省地方标准《</w:t>
            </w:r>
            <w:r>
              <w:rPr>
                <w:rFonts w:hint="eastAsia"/>
                <w:color w:val="auto"/>
              </w:rPr>
              <w:t>固定污染源挥发性有机物综合排放标准</w:t>
            </w:r>
            <w:r>
              <w:rPr>
                <w:rFonts w:hint="eastAsia" w:ascii="Times New Roman" w:hAnsi="Times New Roman" w:eastAsia="宋体" w:cs="宋体"/>
                <w:color w:val="auto"/>
                <w:sz w:val="21"/>
                <w:szCs w:val="21"/>
              </w:rPr>
              <w:t>》（DB44/2</w:t>
            </w:r>
            <w:r>
              <w:rPr>
                <w:rFonts w:hint="eastAsia" w:cs="宋体"/>
                <w:color w:val="auto"/>
                <w:sz w:val="21"/>
                <w:szCs w:val="21"/>
                <w:lang w:val="en-US" w:eastAsia="zh-CN"/>
              </w:rPr>
              <w:t>36</w:t>
            </w:r>
            <w:r>
              <w:rPr>
                <w:rFonts w:hint="eastAsia" w:ascii="Times New Roman" w:hAnsi="Times New Roman" w:eastAsia="宋体" w:cs="宋体"/>
                <w:color w:val="auto"/>
                <w:sz w:val="21"/>
                <w:szCs w:val="21"/>
              </w:rPr>
              <w:t>7-20</w:t>
            </w:r>
            <w:r>
              <w:rPr>
                <w:rFonts w:hint="eastAsia"/>
                <w:color w:val="auto"/>
                <w:lang w:val="en-US" w:eastAsia="zh-CN"/>
              </w:rPr>
              <w:t>22</w:t>
            </w:r>
            <w:r>
              <w:rPr>
                <w:rFonts w:hint="eastAsia" w:ascii="Times New Roman" w:hAnsi="Times New Roman" w:eastAsia="宋体" w:cs="宋体"/>
                <w:color w:val="auto"/>
                <w:sz w:val="21"/>
                <w:szCs w:val="21"/>
              </w:rPr>
              <w:t>）</w:t>
            </w:r>
            <w:r>
              <w:rPr>
                <w:rFonts w:hint="eastAsia"/>
                <w:color w:val="auto"/>
                <w:lang w:val="en-US" w:eastAsia="zh-CN"/>
              </w:rPr>
              <w:t>表1挥发性有机物排放限值</w:t>
            </w:r>
          </w:p>
        </w:tc>
      </w:tr>
      <w:tr w14:paraId="17D661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972" w:type="dxa"/>
            <w:vMerge w:val="continue"/>
            <w:tcBorders>
              <w:left w:val="single" w:color="auto" w:sz="12" w:space="0"/>
            </w:tcBorders>
            <w:vAlign w:val="center"/>
          </w:tcPr>
          <w:p w14:paraId="684D9DBC">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360E9CCD">
            <w:pPr>
              <w:pStyle w:val="70"/>
              <w:rPr>
                <w:rFonts w:ascii="Times New Roman" w:hAnsi="Times New Roman" w:eastAsia="宋体"/>
                <w:color w:val="auto"/>
                <w:sz w:val="21"/>
              </w:rPr>
            </w:pPr>
          </w:p>
        </w:tc>
        <w:tc>
          <w:tcPr>
            <w:tcW w:w="567" w:type="dxa"/>
            <w:vMerge w:val="continue"/>
            <w:vAlign w:val="center"/>
          </w:tcPr>
          <w:p w14:paraId="7E351719">
            <w:pPr>
              <w:pStyle w:val="70"/>
              <w:rPr>
                <w:rFonts w:ascii="Times New Roman" w:hAnsi="Times New Roman" w:eastAsia="宋体"/>
                <w:color w:val="auto"/>
                <w:sz w:val="21"/>
              </w:rPr>
            </w:pPr>
          </w:p>
        </w:tc>
        <w:tc>
          <w:tcPr>
            <w:tcW w:w="1559" w:type="dxa"/>
            <w:tcBorders>
              <w:top w:val="single" w:color="auto" w:sz="4" w:space="0"/>
              <w:bottom w:val="single" w:color="auto" w:sz="4" w:space="0"/>
            </w:tcBorders>
            <w:vAlign w:val="center"/>
          </w:tcPr>
          <w:p w14:paraId="025C5EF1">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rPr>
              <w:t>SO</w:t>
            </w:r>
            <w:r>
              <w:rPr>
                <w:rFonts w:ascii="Times New Roman" w:hAnsi="Times New Roman" w:eastAsia="宋体"/>
                <w:color w:val="auto"/>
                <w:sz w:val="21"/>
                <w:vertAlign w:val="subscript"/>
              </w:rPr>
              <w:t>2</w:t>
            </w:r>
          </w:p>
        </w:tc>
        <w:tc>
          <w:tcPr>
            <w:tcW w:w="1985" w:type="dxa"/>
            <w:vMerge w:val="continue"/>
            <w:vAlign w:val="center"/>
          </w:tcPr>
          <w:p w14:paraId="135F79D4">
            <w:pPr>
              <w:adjustRightInd w:val="0"/>
              <w:snapToGrid w:val="0"/>
              <w:spacing w:line="360" w:lineRule="auto"/>
              <w:jc w:val="center"/>
              <w:rPr>
                <w:rFonts w:ascii="Times New Roman" w:hAnsi="Times New Roman" w:eastAsia="宋体" w:cs="宋体"/>
                <w:color w:val="auto"/>
                <w:sz w:val="21"/>
                <w:szCs w:val="21"/>
              </w:rPr>
            </w:pPr>
          </w:p>
        </w:tc>
        <w:tc>
          <w:tcPr>
            <w:tcW w:w="2868" w:type="dxa"/>
            <w:vMerge w:val="restart"/>
            <w:tcBorders>
              <w:right w:val="single" w:color="auto" w:sz="12" w:space="0"/>
            </w:tcBorders>
            <w:vAlign w:val="center"/>
          </w:tcPr>
          <w:p w14:paraId="23268825">
            <w:pPr>
              <w:adjustRightInd w:val="0"/>
              <w:snapToGrid w:val="0"/>
              <w:spacing w:line="360" w:lineRule="auto"/>
              <w:jc w:val="center"/>
              <w:rPr>
                <w:rFonts w:ascii="Times New Roman" w:hAnsi="Times New Roman" w:eastAsia="宋体" w:cs="宋体"/>
                <w:color w:val="auto"/>
                <w:sz w:val="21"/>
                <w:szCs w:val="21"/>
              </w:rPr>
            </w:pPr>
            <w:r>
              <w:rPr>
                <w:rFonts w:hint="eastAsia" w:ascii="Times New Roman" w:hAnsi="Times New Roman" w:eastAsia="宋体"/>
                <w:color w:val="auto"/>
                <w:sz w:val="21"/>
              </w:rPr>
              <w:t>《工业炉窑大气污染综合治理方案》（环大气〔2019〕56号）</w:t>
            </w:r>
            <w:r>
              <w:rPr>
                <w:rFonts w:hint="eastAsia"/>
                <w:color w:val="auto"/>
                <w:sz w:val="21"/>
                <w:lang w:val="en-US" w:eastAsia="zh-CN"/>
              </w:rPr>
              <w:t>重点区域</w:t>
            </w:r>
            <w:r>
              <w:rPr>
                <w:rFonts w:hint="eastAsia" w:ascii="Times New Roman" w:hAnsi="Times New Roman" w:eastAsia="宋体"/>
                <w:color w:val="auto"/>
                <w:sz w:val="21"/>
              </w:rPr>
              <w:t>限值要求</w:t>
            </w:r>
          </w:p>
        </w:tc>
      </w:tr>
      <w:tr w14:paraId="683E6D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972" w:type="dxa"/>
            <w:vMerge w:val="continue"/>
            <w:tcBorders>
              <w:left w:val="single" w:color="auto" w:sz="12" w:space="0"/>
            </w:tcBorders>
            <w:vAlign w:val="center"/>
          </w:tcPr>
          <w:p w14:paraId="75EB888E">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48565A35">
            <w:pPr>
              <w:pStyle w:val="70"/>
              <w:rPr>
                <w:rFonts w:ascii="Times New Roman" w:hAnsi="Times New Roman" w:eastAsia="宋体"/>
                <w:color w:val="auto"/>
                <w:sz w:val="21"/>
              </w:rPr>
            </w:pPr>
          </w:p>
        </w:tc>
        <w:tc>
          <w:tcPr>
            <w:tcW w:w="567" w:type="dxa"/>
            <w:vMerge w:val="continue"/>
            <w:vAlign w:val="center"/>
          </w:tcPr>
          <w:p w14:paraId="5F67C97B">
            <w:pPr>
              <w:pStyle w:val="70"/>
              <w:rPr>
                <w:rFonts w:ascii="Times New Roman" w:hAnsi="Times New Roman" w:eastAsia="宋体"/>
                <w:color w:val="auto"/>
                <w:sz w:val="21"/>
              </w:rPr>
            </w:pPr>
          </w:p>
        </w:tc>
        <w:tc>
          <w:tcPr>
            <w:tcW w:w="1559" w:type="dxa"/>
            <w:tcBorders>
              <w:top w:val="single" w:color="auto" w:sz="4" w:space="0"/>
              <w:bottom w:val="single" w:color="auto" w:sz="4" w:space="0"/>
            </w:tcBorders>
            <w:vAlign w:val="center"/>
          </w:tcPr>
          <w:p w14:paraId="7C1827A4">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rPr>
              <w:t>NO</w:t>
            </w:r>
            <w:r>
              <w:rPr>
                <w:rFonts w:ascii="Times New Roman" w:hAnsi="Times New Roman" w:eastAsia="宋体"/>
                <w:color w:val="auto"/>
                <w:sz w:val="21"/>
                <w:vertAlign w:val="subscript"/>
              </w:rPr>
              <w:t>X</w:t>
            </w:r>
          </w:p>
        </w:tc>
        <w:tc>
          <w:tcPr>
            <w:tcW w:w="1985" w:type="dxa"/>
            <w:vMerge w:val="continue"/>
            <w:vAlign w:val="center"/>
          </w:tcPr>
          <w:p w14:paraId="62747765">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5F7B9ECA">
            <w:pPr>
              <w:adjustRightInd w:val="0"/>
              <w:snapToGrid w:val="0"/>
              <w:spacing w:line="360" w:lineRule="auto"/>
              <w:jc w:val="center"/>
              <w:rPr>
                <w:rFonts w:ascii="Times New Roman" w:hAnsi="Times New Roman" w:eastAsia="宋体" w:cs="宋体"/>
                <w:color w:val="auto"/>
                <w:sz w:val="21"/>
                <w:szCs w:val="21"/>
              </w:rPr>
            </w:pPr>
          </w:p>
        </w:tc>
      </w:tr>
      <w:tr w14:paraId="422EDD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972" w:type="dxa"/>
            <w:vMerge w:val="continue"/>
            <w:tcBorders>
              <w:left w:val="single" w:color="auto" w:sz="12" w:space="0"/>
            </w:tcBorders>
            <w:vAlign w:val="center"/>
          </w:tcPr>
          <w:p w14:paraId="7FCE3DD3">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572635FB">
            <w:pPr>
              <w:pStyle w:val="70"/>
              <w:rPr>
                <w:rFonts w:ascii="Times New Roman" w:hAnsi="Times New Roman" w:eastAsia="宋体"/>
                <w:color w:val="auto"/>
                <w:sz w:val="21"/>
              </w:rPr>
            </w:pPr>
          </w:p>
        </w:tc>
        <w:tc>
          <w:tcPr>
            <w:tcW w:w="567" w:type="dxa"/>
            <w:vMerge w:val="continue"/>
            <w:vAlign w:val="center"/>
          </w:tcPr>
          <w:p w14:paraId="374CBBD6">
            <w:pPr>
              <w:pStyle w:val="70"/>
              <w:rPr>
                <w:rFonts w:ascii="Times New Roman" w:hAnsi="Times New Roman" w:eastAsia="宋体"/>
                <w:color w:val="auto"/>
                <w:sz w:val="21"/>
              </w:rPr>
            </w:pPr>
          </w:p>
        </w:tc>
        <w:tc>
          <w:tcPr>
            <w:tcW w:w="1559" w:type="dxa"/>
            <w:tcBorders>
              <w:top w:val="single" w:color="auto" w:sz="4" w:space="0"/>
              <w:bottom w:val="single" w:color="auto" w:sz="4" w:space="0"/>
            </w:tcBorders>
            <w:vAlign w:val="center"/>
          </w:tcPr>
          <w:p w14:paraId="0337B6FF">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olor w:val="auto"/>
                <w:sz w:val="21"/>
              </w:rPr>
              <w:t>颗粒物</w:t>
            </w:r>
          </w:p>
        </w:tc>
        <w:tc>
          <w:tcPr>
            <w:tcW w:w="1985" w:type="dxa"/>
            <w:vMerge w:val="continue"/>
            <w:vAlign w:val="center"/>
          </w:tcPr>
          <w:p w14:paraId="1AE983F0">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7EC8178D">
            <w:pPr>
              <w:adjustRightInd w:val="0"/>
              <w:snapToGrid w:val="0"/>
              <w:spacing w:line="360" w:lineRule="auto"/>
              <w:jc w:val="center"/>
              <w:rPr>
                <w:rFonts w:ascii="Times New Roman" w:hAnsi="Times New Roman" w:eastAsia="宋体" w:cs="宋体"/>
                <w:color w:val="auto"/>
                <w:sz w:val="21"/>
                <w:szCs w:val="21"/>
              </w:rPr>
            </w:pPr>
          </w:p>
        </w:tc>
      </w:tr>
      <w:tr w14:paraId="565752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 w:hRule="atLeast"/>
          <w:jc w:val="center"/>
        </w:trPr>
        <w:tc>
          <w:tcPr>
            <w:tcW w:w="972" w:type="dxa"/>
            <w:vMerge w:val="continue"/>
            <w:tcBorders>
              <w:left w:val="single" w:color="auto" w:sz="12" w:space="0"/>
            </w:tcBorders>
            <w:vAlign w:val="center"/>
          </w:tcPr>
          <w:p w14:paraId="16357363">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20D9D87B">
            <w:pPr>
              <w:pStyle w:val="70"/>
              <w:rPr>
                <w:rFonts w:ascii="Times New Roman" w:hAnsi="Times New Roman" w:eastAsia="宋体"/>
                <w:color w:val="auto"/>
                <w:sz w:val="21"/>
              </w:rPr>
            </w:pPr>
          </w:p>
        </w:tc>
        <w:tc>
          <w:tcPr>
            <w:tcW w:w="567" w:type="dxa"/>
            <w:vMerge w:val="continue"/>
            <w:vAlign w:val="center"/>
          </w:tcPr>
          <w:p w14:paraId="0E50FD2A">
            <w:pPr>
              <w:pStyle w:val="70"/>
              <w:rPr>
                <w:rFonts w:ascii="Times New Roman" w:hAnsi="Times New Roman" w:eastAsia="宋体"/>
                <w:color w:val="auto"/>
                <w:sz w:val="21"/>
              </w:rPr>
            </w:pPr>
          </w:p>
        </w:tc>
        <w:tc>
          <w:tcPr>
            <w:tcW w:w="1559" w:type="dxa"/>
            <w:tcBorders>
              <w:top w:val="single" w:color="auto" w:sz="4" w:space="0"/>
              <w:bottom w:val="single" w:color="auto" w:sz="4" w:space="0"/>
            </w:tcBorders>
            <w:vAlign w:val="center"/>
          </w:tcPr>
          <w:p w14:paraId="59CB2634">
            <w:pPr>
              <w:adjustRightInd w:val="0"/>
              <w:snapToGrid w:val="0"/>
              <w:jc w:val="center"/>
              <w:rPr>
                <w:rFonts w:ascii="Times New Roman" w:hAnsi="Times New Roman" w:eastAsia="宋体"/>
                <w:color w:val="auto"/>
                <w:sz w:val="21"/>
              </w:rPr>
            </w:pPr>
            <w:r>
              <w:rPr>
                <w:rFonts w:hint="eastAsia"/>
                <w:color w:val="auto"/>
                <w:sz w:val="21"/>
                <w:lang w:val="en-US" w:eastAsia="zh-CN"/>
              </w:rPr>
              <w:t>林格曼</w:t>
            </w:r>
            <w:r>
              <w:rPr>
                <w:rFonts w:hint="eastAsia" w:ascii="Times New Roman" w:hAnsi="Times New Roman" w:eastAsia="宋体"/>
                <w:color w:val="auto"/>
                <w:sz w:val="21"/>
              </w:rPr>
              <w:t>黑度</w:t>
            </w:r>
          </w:p>
        </w:tc>
        <w:tc>
          <w:tcPr>
            <w:tcW w:w="1985" w:type="dxa"/>
            <w:vMerge w:val="continue"/>
            <w:vAlign w:val="center"/>
          </w:tcPr>
          <w:p w14:paraId="54A923EE">
            <w:pPr>
              <w:adjustRightInd w:val="0"/>
              <w:snapToGrid w:val="0"/>
              <w:spacing w:line="360" w:lineRule="auto"/>
              <w:jc w:val="center"/>
              <w:rPr>
                <w:rFonts w:ascii="Times New Roman" w:hAnsi="Times New Roman" w:eastAsia="宋体" w:cs="宋体"/>
                <w:color w:val="auto"/>
                <w:sz w:val="21"/>
                <w:szCs w:val="21"/>
              </w:rPr>
            </w:pPr>
          </w:p>
        </w:tc>
        <w:tc>
          <w:tcPr>
            <w:tcW w:w="2868" w:type="dxa"/>
            <w:tcBorders>
              <w:right w:val="single" w:color="auto" w:sz="12" w:space="0"/>
            </w:tcBorders>
            <w:vAlign w:val="center"/>
          </w:tcPr>
          <w:p w14:paraId="2EA226BA">
            <w:pPr>
              <w:pStyle w:val="70"/>
              <w:spacing w:line="360" w:lineRule="auto"/>
              <w:rPr>
                <w:rFonts w:ascii="Times New Roman" w:hAnsi="Times New Roman" w:eastAsia="宋体" w:cs="宋体"/>
                <w:color w:val="auto"/>
                <w:sz w:val="21"/>
                <w:szCs w:val="21"/>
              </w:rPr>
            </w:pPr>
            <w:r>
              <w:rPr>
                <w:rFonts w:hint="eastAsia" w:ascii="Times New Roman" w:hAnsi="Times New Roman" w:eastAsia="宋体"/>
                <w:color w:val="auto"/>
                <w:sz w:val="21"/>
              </w:rPr>
              <w:t>《工业炉窑大气污染物排放标准》（GB9078-1996）干燥炉二级标准</w:t>
            </w:r>
          </w:p>
        </w:tc>
      </w:tr>
      <w:tr w14:paraId="7A73A4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972" w:type="dxa"/>
            <w:vMerge w:val="continue"/>
            <w:tcBorders>
              <w:left w:val="single" w:color="auto" w:sz="12" w:space="0"/>
            </w:tcBorders>
            <w:vAlign w:val="center"/>
          </w:tcPr>
          <w:p w14:paraId="085FF49D">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0DAA7E31">
            <w:pPr>
              <w:adjustRightInd w:val="0"/>
              <w:snapToGrid w:val="0"/>
              <w:jc w:val="center"/>
              <w:rPr>
                <w:rFonts w:ascii="Times New Roman" w:hAnsi="Times New Roman" w:eastAsia="宋体" w:cs="宋体"/>
                <w:color w:val="auto"/>
                <w:sz w:val="21"/>
                <w:szCs w:val="21"/>
              </w:rPr>
            </w:pPr>
          </w:p>
        </w:tc>
        <w:tc>
          <w:tcPr>
            <w:tcW w:w="567" w:type="dxa"/>
            <w:vMerge w:val="continue"/>
            <w:vAlign w:val="center"/>
          </w:tcPr>
          <w:p w14:paraId="61EC908E">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tcBorders>
            <w:vAlign w:val="center"/>
          </w:tcPr>
          <w:p w14:paraId="03752B29">
            <w:pPr>
              <w:adjustRightInd w:val="0"/>
              <w:snapToGrid w:val="0"/>
              <w:jc w:val="center"/>
              <w:rPr>
                <w:rFonts w:ascii="Times New Roman" w:hAnsi="Times New Roman" w:eastAsia="宋体" w:cs="宋体"/>
                <w:color w:val="auto"/>
                <w:sz w:val="21"/>
                <w:szCs w:val="21"/>
              </w:rPr>
            </w:pPr>
            <w:r>
              <w:rPr>
                <w:rFonts w:ascii="Times New Roman" w:hAnsi="Times New Roman" w:eastAsia="宋体" w:cs="宋体"/>
                <w:color w:val="auto"/>
                <w:sz w:val="21"/>
                <w:szCs w:val="21"/>
              </w:rPr>
              <w:t>臭气浓度</w:t>
            </w:r>
          </w:p>
        </w:tc>
        <w:tc>
          <w:tcPr>
            <w:tcW w:w="1985" w:type="dxa"/>
            <w:vMerge w:val="continue"/>
            <w:vAlign w:val="center"/>
          </w:tcPr>
          <w:p w14:paraId="57B04920">
            <w:pPr>
              <w:adjustRightInd w:val="0"/>
              <w:snapToGrid w:val="0"/>
              <w:spacing w:line="360" w:lineRule="auto"/>
              <w:jc w:val="center"/>
              <w:rPr>
                <w:rFonts w:ascii="Times New Roman" w:hAnsi="Times New Roman" w:eastAsia="宋体" w:cs="宋体"/>
                <w:color w:val="auto"/>
                <w:sz w:val="21"/>
                <w:szCs w:val="21"/>
              </w:rPr>
            </w:pPr>
          </w:p>
        </w:tc>
        <w:tc>
          <w:tcPr>
            <w:tcW w:w="2868" w:type="dxa"/>
            <w:tcBorders>
              <w:right w:val="single" w:color="auto" w:sz="12" w:space="0"/>
            </w:tcBorders>
            <w:vAlign w:val="center"/>
          </w:tcPr>
          <w:p w14:paraId="7CE0212A">
            <w:pPr>
              <w:adjustRightInd w:val="0"/>
              <w:snapToGrid w:val="0"/>
              <w:spacing w:line="360" w:lineRule="auto"/>
              <w:jc w:val="center"/>
              <w:rPr>
                <w:rFonts w:ascii="Times New Roman" w:hAnsi="Times New Roman" w:eastAsia="宋体" w:cs="宋体"/>
                <w:color w:val="auto"/>
                <w:sz w:val="21"/>
                <w:szCs w:val="21"/>
              </w:rPr>
            </w:pPr>
            <w:r>
              <w:rPr>
                <w:rFonts w:hint="eastAsia" w:ascii="Times New Roman" w:hAnsi="Times New Roman" w:eastAsia="宋体"/>
                <w:color w:val="auto"/>
                <w:sz w:val="21"/>
                <w:szCs w:val="21"/>
              </w:rPr>
              <w:t>恶臭污染物排放标准》（GB14554-93）表</w:t>
            </w:r>
            <w:r>
              <w:rPr>
                <w:rFonts w:ascii="Times New Roman" w:hAnsi="Times New Roman" w:eastAsia="宋体"/>
                <w:color w:val="auto"/>
                <w:sz w:val="21"/>
                <w:szCs w:val="21"/>
              </w:rPr>
              <w:t>2</w:t>
            </w:r>
            <w:r>
              <w:rPr>
                <w:rFonts w:hint="eastAsia" w:ascii="Times New Roman" w:hAnsi="Times New Roman" w:eastAsia="宋体"/>
                <w:color w:val="auto"/>
                <w:sz w:val="21"/>
                <w:szCs w:val="21"/>
              </w:rPr>
              <w:t>恶臭污染物排放标准值</w:t>
            </w:r>
          </w:p>
        </w:tc>
      </w:tr>
      <w:tr w14:paraId="5570FE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972" w:type="dxa"/>
            <w:vMerge w:val="continue"/>
            <w:tcBorders>
              <w:left w:val="single" w:color="auto" w:sz="12" w:space="0"/>
            </w:tcBorders>
            <w:vAlign w:val="center"/>
          </w:tcPr>
          <w:p w14:paraId="2B8B1D28">
            <w:pPr>
              <w:adjustRightInd w:val="0"/>
              <w:snapToGrid w:val="0"/>
              <w:jc w:val="center"/>
              <w:rPr>
                <w:rFonts w:ascii="Times New Roman" w:hAnsi="Times New Roman" w:eastAsia="宋体" w:cs="宋体"/>
                <w:color w:val="auto"/>
                <w:sz w:val="21"/>
                <w:szCs w:val="21"/>
              </w:rPr>
            </w:pPr>
          </w:p>
        </w:tc>
        <w:tc>
          <w:tcPr>
            <w:tcW w:w="850" w:type="dxa"/>
            <w:vMerge w:val="restart"/>
            <w:vAlign w:val="center"/>
          </w:tcPr>
          <w:p w14:paraId="5B12E1AB">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Times New Roman"/>
                <w:color w:val="auto"/>
                <w:sz w:val="21"/>
                <w:szCs w:val="21"/>
                <w:highlight w:val="none"/>
                <w:lang w:val="en-US" w:eastAsia="zh-CN"/>
              </w:rPr>
              <w:t>自动线喷粉</w:t>
            </w:r>
            <w:r>
              <w:rPr>
                <w:rFonts w:hint="default" w:ascii="Times New Roman" w:hAnsi="Times New Roman" w:eastAsia="宋体" w:cs="Times New Roman"/>
                <w:color w:val="auto"/>
                <w:sz w:val="21"/>
                <w:szCs w:val="21"/>
                <w:highlight w:val="none"/>
                <w:lang w:val="en-US" w:eastAsia="zh-CN"/>
              </w:rPr>
              <w:t>废气、</w:t>
            </w:r>
            <w:r>
              <w:rPr>
                <w:rFonts w:hint="eastAsia" w:ascii="Times New Roman" w:hAnsi="Times New Roman" w:eastAsia="宋体" w:cs="Times New Roman"/>
                <w:color w:val="auto"/>
                <w:sz w:val="21"/>
                <w:szCs w:val="21"/>
                <w:highlight w:val="none"/>
                <w:lang w:val="en-US" w:eastAsia="zh-CN"/>
              </w:rPr>
              <w:t>手动线喷粉废气、</w:t>
            </w:r>
            <w:r>
              <w:rPr>
                <w:rFonts w:hint="default" w:ascii="Times New Roman" w:hAnsi="Times New Roman" w:eastAsia="宋体" w:cs="Times New Roman"/>
                <w:color w:val="auto"/>
                <w:sz w:val="21"/>
                <w:szCs w:val="21"/>
                <w:highlight w:val="none"/>
                <w:lang w:val="en-US" w:eastAsia="zh-CN"/>
              </w:rPr>
              <w:t>自动线固化工序废气和液化石油气燃烧废气、手动线面包炉固化工序废气</w:t>
            </w:r>
          </w:p>
        </w:tc>
        <w:tc>
          <w:tcPr>
            <w:tcW w:w="567" w:type="dxa"/>
            <w:vMerge w:val="restart"/>
            <w:vAlign w:val="center"/>
          </w:tcPr>
          <w:p w14:paraId="771F31D1">
            <w:pPr>
              <w:adjustRightInd w:val="0"/>
              <w:snapToGrid w:val="0"/>
              <w:jc w:val="center"/>
              <w:rPr>
                <w:rFonts w:hint="eastAsia" w:ascii="Times New Roman" w:hAnsi="Times New Roman" w:eastAsia="宋体" w:cs="宋体"/>
                <w:color w:val="auto"/>
                <w:sz w:val="21"/>
                <w:szCs w:val="21"/>
                <w:lang w:val="en-US" w:eastAsia="zh-CN"/>
              </w:rPr>
            </w:pPr>
            <w:r>
              <w:rPr>
                <w:rFonts w:hint="eastAsia" w:cs="宋体"/>
                <w:color w:val="auto"/>
                <w:sz w:val="21"/>
                <w:szCs w:val="21"/>
                <w:lang w:val="en-US" w:eastAsia="zh-CN"/>
              </w:rPr>
              <w:t>无组织</w:t>
            </w:r>
          </w:p>
        </w:tc>
        <w:tc>
          <w:tcPr>
            <w:tcW w:w="1559" w:type="dxa"/>
            <w:tcBorders>
              <w:top w:val="single" w:color="auto" w:sz="4" w:space="0"/>
            </w:tcBorders>
            <w:vAlign w:val="center"/>
          </w:tcPr>
          <w:p w14:paraId="413E2064">
            <w:pPr>
              <w:adjustRightInd w:val="0"/>
              <w:snapToGrid w:val="0"/>
              <w:jc w:val="center"/>
              <w:rPr>
                <w:rFonts w:ascii="Times New Roman" w:hAnsi="Times New Roman" w:eastAsia="宋体" w:cs="宋体"/>
                <w:color w:val="auto"/>
                <w:sz w:val="21"/>
                <w:szCs w:val="21"/>
              </w:rPr>
            </w:pPr>
            <w:r>
              <w:rPr>
                <w:rFonts w:ascii="Times New Roman" w:hAnsi="Times New Roman" w:eastAsia="宋体" w:cs="宋体"/>
                <w:color w:val="auto"/>
                <w:sz w:val="21"/>
                <w:szCs w:val="21"/>
              </w:rPr>
              <w:t>非甲烷总烃</w:t>
            </w:r>
          </w:p>
        </w:tc>
        <w:tc>
          <w:tcPr>
            <w:tcW w:w="1985" w:type="dxa"/>
            <w:vMerge w:val="restart"/>
            <w:vAlign w:val="center"/>
          </w:tcPr>
          <w:p w14:paraId="0EEC45BD">
            <w:pPr>
              <w:adjustRightInd w:val="0"/>
              <w:snapToGrid w:val="0"/>
              <w:spacing w:line="360" w:lineRule="auto"/>
              <w:jc w:val="center"/>
              <w:rPr>
                <w:rFonts w:hint="default" w:ascii="Times New Roman" w:hAnsi="Times New Roman" w:eastAsia="宋体" w:cs="宋体"/>
                <w:color w:val="auto"/>
                <w:sz w:val="21"/>
                <w:szCs w:val="21"/>
                <w:lang w:val="en-US" w:eastAsia="zh-CN"/>
              </w:rPr>
            </w:pPr>
            <w:r>
              <w:rPr>
                <w:rFonts w:hint="eastAsia" w:cs="宋体"/>
                <w:color w:val="auto"/>
                <w:sz w:val="21"/>
                <w:szCs w:val="21"/>
                <w:lang w:val="en-US" w:eastAsia="zh-CN"/>
              </w:rPr>
              <w:t>加强车间通风</w:t>
            </w:r>
          </w:p>
        </w:tc>
        <w:tc>
          <w:tcPr>
            <w:tcW w:w="2868" w:type="dxa"/>
            <w:vMerge w:val="restart"/>
            <w:tcBorders>
              <w:right w:val="single" w:color="auto" w:sz="12" w:space="0"/>
            </w:tcBorders>
            <w:vAlign w:val="center"/>
          </w:tcPr>
          <w:p w14:paraId="3399A0B9">
            <w:pPr>
              <w:adjustRightInd w:val="0"/>
              <w:snapToGrid w:val="0"/>
              <w:spacing w:line="360" w:lineRule="auto"/>
              <w:jc w:val="center"/>
              <w:rPr>
                <w:rFonts w:hint="eastAsia" w:ascii="Times New Roman" w:hAnsi="Times New Roman" w:eastAsia="宋体"/>
                <w:color w:val="auto"/>
                <w:sz w:val="21"/>
                <w:szCs w:val="21"/>
              </w:rPr>
            </w:pPr>
            <w:r>
              <w:rPr>
                <w:rFonts w:hint="eastAsia"/>
                <w:color w:val="auto"/>
              </w:rPr>
              <w:t>广东省</w:t>
            </w:r>
            <w:r>
              <w:rPr>
                <w:rFonts w:hint="eastAsia"/>
                <w:color w:val="auto"/>
                <w:lang w:val="en-US" w:eastAsia="zh-CN"/>
              </w:rPr>
              <w:t>地方标准</w:t>
            </w:r>
            <w:r>
              <w:rPr>
                <w:rFonts w:hint="eastAsia"/>
                <w:color w:val="auto"/>
              </w:rPr>
              <w:t>《大气污染物排放限值》(DB44/27－2001)（第二时段）无组织排放监控浓度限值</w:t>
            </w:r>
          </w:p>
        </w:tc>
      </w:tr>
      <w:tr w14:paraId="737D71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972" w:type="dxa"/>
            <w:vMerge w:val="continue"/>
            <w:tcBorders>
              <w:left w:val="single" w:color="auto" w:sz="12" w:space="0"/>
            </w:tcBorders>
            <w:vAlign w:val="center"/>
          </w:tcPr>
          <w:p w14:paraId="40D7B556">
            <w:pPr>
              <w:adjustRightInd w:val="0"/>
              <w:snapToGrid w:val="0"/>
              <w:jc w:val="center"/>
              <w:rPr>
                <w:color w:val="auto"/>
              </w:rPr>
            </w:pPr>
          </w:p>
        </w:tc>
        <w:tc>
          <w:tcPr>
            <w:tcW w:w="850" w:type="dxa"/>
            <w:vMerge w:val="continue"/>
            <w:vAlign w:val="center"/>
          </w:tcPr>
          <w:p w14:paraId="7B49AC91">
            <w:pPr>
              <w:adjustRightInd w:val="0"/>
              <w:snapToGrid w:val="0"/>
              <w:jc w:val="center"/>
              <w:rPr>
                <w:color w:val="auto"/>
              </w:rPr>
            </w:pPr>
          </w:p>
        </w:tc>
        <w:tc>
          <w:tcPr>
            <w:tcW w:w="567" w:type="dxa"/>
            <w:vMerge w:val="continue"/>
            <w:vAlign w:val="center"/>
          </w:tcPr>
          <w:p w14:paraId="65A1F582">
            <w:pPr>
              <w:adjustRightInd w:val="0"/>
              <w:snapToGrid w:val="0"/>
              <w:jc w:val="center"/>
              <w:rPr>
                <w:color w:val="auto"/>
              </w:rPr>
            </w:pPr>
          </w:p>
        </w:tc>
        <w:tc>
          <w:tcPr>
            <w:tcW w:w="1559" w:type="dxa"/>
            <w:tcBorders>
              <w:top w:val="single" w:color="auto" w:sz="4" w:space="0"/>
            </w:tcBorders>
            <w:vAlign w:val="center"/>
          </w:tcPr>
          <w:p w14:paraId="13D110B8">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rPr>
              <w:t>SO</w:t>
            </w:r>
            <w:r>
              <w:rPr>
                <w:rFonts w:ascii="Times New Roman" w:hAnsi="Times New Roman" w:eastAsia="宋体"/>
                <w:color w:val="auto"/>
                <w:sz w:val="21"/>
                <w:vertAlign w:val="subscript"/>
              </w:rPr>
              <w:t>2</w:t>
            </w:r>
          </w:p>
        </w:tc>
        <w:tc>
          <w:tcPr>
            <w:tcW w:w="1985" w:type="dxa"/>
            <w:vMerge w:val="continue"/>
            <w:vAlign w:val="center"/>
          </w:tcPr>
          <w:p w14:paraId="39FA5029">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4B475E69">
            <w:pPr>
              <w:adjustRightInd w:val="0"/>
              <w:snapToGrid w:val="0"/>
              <w:spacing w:line="360" w:lineRule="auto"/>
              <w:jc w:val="center"/>
              <w:rPr>
                <w:rFonts w:ascii="Times New Roman" w:hAnsi="Times New Roman" w:eastAsia="宋体" w:cs="宋体"/>
                <w:color w:val="auto"/>
                <w:sz w:val="21"/>
                <w:szCs w:val="21"/>
              </w:rPr>
            </w:pPr>
          </w:p>
        </w:tc>
      </w:tr>
      <w:tr w14:paraId="137F74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972" w:type="dxa"/>
            <w:vMerge w:val="continue"/>
            <w:tcBorders>
              <w:left w:val="single" w:color="auto" w:sz="12" w:space="0"/>
            </w:tcBorders>
            <w:vAlign w:val="center"/>
          </w:tcPr>
          <w:p w14:paraId="0A900C0F">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05EE47F7">
            <w:pPr>
              <w:adjustRightInd w:val="0"/>
              <w:snapToGrid w:val="0"/>
              <w:jc w:val="center"/>
              <w:rPr>
                <w:rFonts w:ascii="Times New Roman" w:hAnsi="Times New Roman" w:eastAsia="宋体" w:cs="宋体"/>
                <w:color w:val="auto"/>
                <w:sz w:val="21"/>
                <w:szCs w:val="21"/>
              </w:rPr>
            </w:pPr>
          </w:p>
        </w:tc>
        <w:tc>
          <w:tcPr>
            <w:tcW w:w="567" w:type="dxa"/>
            <w:vMerge w:val="continue"/>
            <w:vAlign w:val="center"/>
          </w:tcPr>
          <w:p w14:paraId="7B98485E">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tcBorders>
            <w:vAlign w:val="center"/>
          </w:tcPr>
          <w:p w14:paraId="0FFF6992">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rPr>
              <w:t>NO</w:t>
            </w:r>
            <w:r>
              <w:rPr>
                <w:rFonts w:ascii="Times New Roman" w:hAnsi="Times New Roman" w:eastAsia="宋体"/>
                <w:color w:val="auto"/>
                <w:sz w:val="21"/>
                <w:vertAlign w:val="subscript"/>
              </w:rPr>
              <w:t>X</w:t>
            </w:r>
          </w:p>
        </w:tc>
        <w:tc>
          <w:tcPr>
            <w:tcW w:w="1985" w:type="dxa"/>
            <w:vMerge w:val="continue"/>
            <w:vAlign w:val="center"/>
          </w:tcPr>
          <w:p w14:paraId="3C358504">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3409B42D">
            <w:pPr>
              <w:adjustRightInd w:val="0"/>
              <w:snapToGrid w:val="0"/>
              <w:spacing w:line="360" w:lineRule="auto"/>
              <w:jc w:val="center"/>
              <w:rPr>
                <w:rFonts w:ascii="Times New Roman" w:hAnsi="Times New Roman" w:eastAsia="宋体" w:cs="宋体"/>
                <w:color w:val="auto"/>
                <w:sz w:val="21"/>
                <w:szCs w:val="21"/>
              </w:rPr>
            </w:pPr>
          </w:p>
        </w:tc>
      </w:tr>
      <w:tr w14:paraId="59184D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3" w:hRule="atLeast"/>
          <w:jc w:val="center"/>
        </w:trPr>
        <w:tc>
          <w:tcPr>
            <w:tcW w:w="972" w:type="dxa"/>
            <w:vMerge w:val="continue"/>
            <w:tcBorders>
              <w:left w:val="single" w:color="auto" w:sz="12" w:space="0"/>
            </w:tcBorders>
            <w:vAlign w:val="center"/>
          </w:tcPr>
          <w:p w14:paraId="64F03140">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7EAED3BD">
            <w:pPr>
              <w:adjustRightInd w:val="0"/>
              <w:snapToGrid w:val="0"/>
              <w:jc w:val="center"/>
              <w:rPr>
                <w:rFonts w:ascii="Times New Roman" w:hAnsi="Times New Roman" w:eastAsia="宋体" w:cs="宋体"/>
                <w:color w:val="auto"/>
                <w:sz w:val="21"/>
                <w:szCs w:val="21"/>
              </w:rPr>
            </w:pPr>
          </w:p>
        </w:tc>
        <w:tc>
          <w:tcPr>
            <w:tcW w:w="567" w:type="dxa"/>
            <w:vMerge w:val="continue"/>
            <w:vAlign w:val="center"/>
          </w:tcPr>
          <w:p w14:paraId="1502726D">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tcBorders>
            <w:vAlign w:val="center"/>
          </w:tcPr>
          <w:p w14:paraId="2FD10E6B">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olor w:val="auto"/>
                <w:sz w:val="21"/>
              </w:rPr>
              <w:t>颗粒物</w:t>
            </w:r>
          </w:p>
        </w:tc>
        <w:tc>
          <w:tcPr>
            <w:tcW w:w="1985" w:type="dxa"/>
            <w:vMerge w:val="continue"/>
            <w:vAlign w:val="center"/>
          </w:tcPr>
          <w:p w14:paraId="0AE00EA7">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620F0346">
            <w:pPr>
              <w:adjustRightInd w:val="0"/>
              <w:snapToGrid w:val="0"/>
              <w:spacing w:line="360" w:lineRule="auto"/>
              <w:jc w:val="center"/>
              <w:rPr>
                <w:rFonts w:ascii="Times New Roman" w:hAnsi="Times New Roman" w:eastAsia="宋体" w:cs="宋体"/>
                <w:color w:val="auto"/>
                <w:sz w:val="21"/>
                <w:szCs w:val="21"/>
              </w:rPr>
            </w:pPr>
          </w:p>
        </w:tc>
      </w:tr>
      <w:tr w14:paraId="14575D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3" w:hRule="atLeast"/>
          <w:jc w:val="center"/>
        </w:trPr>
        <w:tc>
          <w:tcPr>
            <w:tcW w:w="972" w:type="dxa"/>
            <w:vMerge w:val="continue"/>
            <w:tcBorders>
              <w:left w:val="single" w:color="auto" w:sz="12" w:space="0"/>
            </w:tcBorders>
            <w:vAlign w:val="center"/>
          </w:tcPr>
          <w:p w14:paraId="1270A6A6">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7E936441">
            <w:pPr>
              <w:adjustRightInd w:val="0"/>
              <w:snapToGrid w:val="0"/>
              <w:jc w:val="center"/>
              <w:rPr>
                <w:rFonts w:ascii="Times New Roman" w:hAnsi="Times New Roman" w:eastAsia="宋体" w:cs="宋体"/>
                <w:color w:val="auto"/>
                <w:sz w:val="21"/>
                <w:szCs w:val="21"/>
              </w:rPr>
            </w:pPr>
          </w:p>
        </w:tc>
        <w:tc>
          <w:tcPr>
            <w:tcW w:w="567" w:type="dxa"/>
            <w:vMerge w:val="continue"/>
            <w:vAlign w:val="center"/>
          </w:tcPr>
          <w:p w14:paraId="0F12F589">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tcBorders>
            <w:vAlign w:val="center"/>
          </w:tcPr>
          <w:p w14:paraId="6E412EFE">
            <w:pPr>
              <w:adjustRightInd w:val="0"/>
              <w:snapToGrid w:val="0"/>
              <w:jc w:val="center"/>
              <w:rPr>
                <w:rFonts w:ascii="Times New Roman" w:hAnsi="Times New Roman" w:eastAsia="宋体" w:cs="宋体"/>
                <w:color w:val="auto"/>
                <w:sz w:val="21"/>
                <w:szCs w:val="21"/>
              </w:rPr>
            </w:pPr>
            <w:r>
              <w:rPr>
                <w:rFonts w:ascii="Times New Roman" w:hAnsi="Times New Roman" w:eastAsia="宋体" w:cs="宋体"/>
                <w:color w:val="auto"/>
                <w:sz w:val="21"/>
                <w:szCs w:val="21"/>
              </w:rPr>
              <w:t>臭气浓度</w:t>
            </w:r>
          </w:p>
        </w:tc>
        <w:tc>
          <w:tcPr>
            <w:tcW w:w="1985" w:type="dxa"/>
            <w:vMerge w:val="continue"/>
            <w:vAlign w:val="center"/>
          </w:tcPr>
          <w:p w14:paraId="20637139">
            <w:pPr>
              <w:adjustRightInd w:val="0"/>
              <w:snapToGrid w:val="0"/>
              <w:spacing w:line="360" w:lineRule="auto"/>
              <w:jc w:val="center"/>
              <w:rPr>
                <w:rFonts w:ascii="Times New Roman" w:hAnsi="Times New Roman" w:eastAsia="宋体" w:cs="宋体"/>
                <w:color w:val="auto"/>
                <w:sz w:val="21"/>
                <w:szCs w:val="21"/>
              </w:rPr>
            </w:pPr>
          </w:p>
        </w:tc>
        <w:tc>
          <w:tcPr>
            <w:tcW w:w="2868" w:type="dxa"/>
            <w:tcBorders>
              <w:right w:val="single" w:color="auto" w:sz="12" w:space="0"/>
            </w:tcBorders>
            <w:vAlign w:val="center"/>
          </w:tcPr>
          <w:p w14:paraId="5DA38E5D">
            <w:pPr>
              <w:adjustRightInd w:val="0"/>
              <w:snapToGrid w:val="0"/>
              <w:spacing w:line="360" w:lineRule="auto"/>
              <w:jc w:val="center"/>
              <w:rPr>
                <w:rFonts w:ascii="Times New Roman" w:hAnsi="Times New Roman" w:eastAsia="宋体" w:cs="宋体"/>
                <w:color w:val="auto"/>
                <w:sz w:val="21"/>
                <w:szCs w:val="21"/>
              </w:rPr>
            </w:pPr>
            <w:r>
              <w:rPr>
                <w:color w:val="auto"/>
              </w:rPr>
              <w:t>《恶臭污染物排放标准》（GB14554-93）表1恶臭污染物厂界标准值</w:t>
            </w:r>
          </w:p>
        </w:tc>
      </w:tr>
      <w:tr w14:paraId="796FDB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786" w:hRule="atLeast"/>
          <w:jc w:val="center"/>
        </w:trPr>
        <w:tc>
          <w:tcPr>
            <w:tcW w:w="972" w:type="dxa"/>
            <w:vMerge w:val="continue"/>
            <w:tcBorders>
              <w:left w:val="single" w:color="auto" w:sz="12" w:space="0"/>
            </w:tcBorders>
            <w:vAlign w:val="center"/>
          </w:tcPr>
          <w:p w14:paraId="4233DB9C">
            <w:pPr>
              <w:adjustRightInd w:val="0"/>
              <w:snapToGrid w:val="0"/>
              <w:jc w:val="center"/>
              <w:rPr>
                <w:rFonts w:ascii="Times New Roman" w:hAnsi="Times New Roman" w:eastAsia="宋体" w:cs="宋体"/>
                <w:color w:val="auto"/>
                <w:sz w:val="21"/>
                <w:szCs w:val="21"/>
              </w:rPr>
            </w:pPr>
          </w:p>
        </w:tc>
        <w:tc>
          <w:tcPr>
            <w:tcW w:w="1417" w:type="dxa"/>
            <w:gridSpan w:val="2"/>
            <w:vAlign w:val="center"/>
          </w:tcPr>
          <w:p w14:paraId="28DB7BFF">
            <w:pPr>
              <w:adjustRightInd w:val="0"/>
              <w:snapToGrid w:val="0"/>
              <w:jc w:val="center"/>
              <w:rPr>
                <w:rFonts w:hint="default" w:ascii="Times New Roman" w:hAnsi="Times New Roman" w:eastAsia="宋体" w:cs="宋体"/>
                <w:color w:val="auto"/>
                <w:sz w:val="21"/>
                <w:szCs w:val="21"/>
                <w:lang w:val="en-US" w:eastAsia="zh-CN"/>
              </w:rPr>
            </w:pPr>
            <w:r>
              <w:rPr>
                <w:rFonts w:hint="eastAsia" w:cs="宋体"/>
                <w:color w:val="auto"/>
                <w:sz w:val="21"/>
                <w:szCs w:val="21"/>
                <w:lang w:val="en-US" w:eastAsia="zh-CN"/>
              </w:rPr>
              <w:t>厂区无组织</w:t>
            </w:r>
          </w:p>
        </w:tc>
        <w:tc>
          <w:tcPr>
            <w:tcW w:w="1559" w:type="dxa"/>
            <w:tcBorders>
              <w:top w:val="single" w:color="auto" w:sz="4" w:space="0"/>
            </w:tcBorders>
            <w:vAlign w:val="center"/>
          </w:tcPr>
          <w:p w14:paraId="197E8562">
            <w:pPr>
              <w:adjustRightInd w:val="0"/>
              <w:snapToGrid w:val="0"/>
              <w:jc w:val="center"/>
              <w:rPr>
                <w:rFonts w:hint="default" w:ascii="Times New Roman" w:hAnsi="Times New Roman" w:eastAsia="宋体" w:cs="宋体"/>
                <w:color w:val="auto"/>
                <w:sz w:val="21"/>
                <w:szCs w:val="21"/>
                <w:lang w:val="en-US" w:eastAsia="zh-CN"/>
              </w:rPr>
            </w:pPr>
            <w:r>
              <w:rPr>
                <w:rFonts w:hint="eastAsia" w:cs="宋体"/>
                <w:color w:val="auto"/>
                <w:sz w:val="21"/>
                <w:szCs w:val="21"/>
                <w:lang w:val="en-US" w:eastAsia="zh-CN"/>
              </w:rPr>
              <w:t>非甲烷总烃</w:t>
            </w:r>
          </w:p>
        </w:tc>
        <w:tc>
          <w:tcPr>
            <w:tcW w:w="1985" w:type="dxa"/>
            <w:vAlign w:val="center"/>
          </w:tcPr>
          <w:p w14:paraId="57B505D5">
            <w:pPr>
              <w:adjustRightInd w:val="0"/>
              <w:snapToGrid w:val="0"/>
              <w:spacing w:line="360" w:lineRule="auto"/>
              <w:jc w:val="center"/>
              <w:rPr>
                <w:rFonts w:hint="eastAsia" w:ascii="Times New Roman" w:hAnsi="Times New Roman" w:eastAsia="宋体" w:cs="宋体"/>
                <w:color w:val="auto"/>
                <w:sz w:val="21"/>
                <w:szCs w:val="21"/>
                <w:lang w:val="en-US" w:eastAsia="zh-CN"/>
              </w:rPr>
            </w:pPr>
            <w:r>
              <w:rPr>
                <w:rFonts w:hint="eastAsia" w:cs="宋体"/>
                <w:color w:val="auto"/>
                <w:sz w:val="21"/>
                <w:szCs w:val="21"/>
                <w:lang w:val="en-US" w:eastAsia="zh-CN"/>
              </w:rPr>
              <w:t>/</w:t>
            </w:r>
          </w:p>
        </w:tc>
        <w:tc>
          <w:tcPr>
            <w:tcW w:w="2868" w:type="dxa"/>
            <w:tcBorders>
              <w:right w:val="single" w:color="auto" w:sz="12" w:space="0"/>
            </w:tcBorders>
            <w:vAlign w:val="center"/>
          </w:tcPr>
          <w:p w14:paraId="50A9E35F">
            <w:pPr>
              <w:adjustRightInd w:val="0"/>
              <w:snapToGrid w:val="0"/>
              <w:spacing w:line="360" w:lineRule="auto"/>
              <w:jc w:val="center"/>
              <w:rPr>
                <w:rFonts w:hint="eastAsia" w:ascii="Times New Roman" w:hAnsi="Times New Roman" w:eastAsia="宋体"/>
                <w:color w:val="auto"/>
                <w:sz w:val="21"/>
                <w:szCs w:val="21"/>
              </w:rPr>
            </w:pPr>
            <w:r>
              <w:rPr>
                <w:rFonts w:hint="eastAsia" w:ascii="Times New Roman" w:hAnsi="Times New Roman" w:cs="Times New Roman"/>
                <w:color w:val="auto"/>
                <w:sz w:val="21"/>
                <w:szCs w:val="21"/>
                <w:highlight w:val="none"/>
                <w:lang w:eastAsia="zh-CN"/>
              </w:rPr>
              <w:t>广东省地方标准《固定污染源挥发性有机物综合排放标准》（DB44/2367-2022）表3厂区内VOCs无组织排放限值</w:t>
            </w:r>
          </w:p>
        </w:tc>
      </w:tr>
      <w:tr w14:paraId="73B0A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restart"/>
            <w:tcBorders>
              <w:top w:val="single" w:color="auto" w:sz="4" w:space="0"/>
              <w:left w:val="single" w:color="auto" w:sz="12" w:space="0"/>
            </w:tcBorders>
            <w:vAlign w:val="center"/>
          </w:tcPr>
          <w:p w14:paraId="54FB0A47">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地表水环境</w:t>
            </w:r>
          </w:p>
        </w:tc>
        <w:tc>
          <w:tcPr>
            <w:tcW w:w="1417" w:type="dxa"/>
            <w:gridSpan w:val="2"/>
            <w:vMerge w:val="restart"/>
            <w:tcBorders>
              <w:top w:val="single" w:color="auto" w:sz="4" w:space="0"/>
            </w:tcBorders>
            <w:vAlign w:val="center"/>
          </w:tcPr>
          <w:p w14:paraId="66BDC38B">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生活污水</w:t>
            </w:r>
          </w:p>
        </w:tc>
        <w:tc>
          <w:tcPr>
            <w:tcW w:w="1559" w:type="dxa"/>
            <w:tcBorders>
              <w:top w:val="single" w:color="auto" w:sz="4" w:space="0"/>
              <w:bottom w:val="single" w:color="auto" w:sz="4" w:space="0"/>
            </w:tcBorders>
            <w:vAlign w:val="center"/>
          </w:tcPr>
          <w:p w14:paraId="1B6C7315">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szCs w:val="21"/>
              </w:rPr>
              <w:t>CODcr</w:t>
            </w:r>
          </w:p>
        </w:tc>
        <w:tc>
          <w:tcPr>
            <w:tcW w:w="1985" w:type="dxa"/>
            <w:vMerge w:val="restart"/>
            <w:tcBorders>
              <w:top w:val="single" w:color="auto" w:sz="4" w:space="0"/>
            </w:tcBorders>
            <w:vAlign w:val="center"/>
          </w:tcPr>
          <w:p w14:paraId="1F6A61FD">
            <w:pPr>
              <w:adjustRightInd w:val="0"/>
              <w:snapToGrid w:val="0"/>
              <w:spacing w:line="360" w:lineRule="auto"/>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经化粪池预处理后进入</w:t>
            </w:r>
            <w:r>
              <w:rPr>
                <w:rFonts w:hint="eastAsia" w:cs="宋体"/>
                <w:color w:val="auto"/>
                <w:sz w:val="21"/>
                <w:szCs w:val="21"/>
                <w:u w:color="FF0000"/>
                <w:lang w:eastAsia="zh-CN"/>
              </w:rPr>
              <w:t>南朗横门污水处理厂</w:t>
            </w:r>
            <w:r>
              <w:rPr>
                <w:rFonts w:hint="eastAsia" w:ascii="Times New Roman" w:hAnsi="Times New Roman" w:eastAsia="宋体" w:cs="宋体"/>
                <w:color w:val="auto"/>
                <w:sz w:val="21"/>
                <w:szCs w:val="21"/>
              </w:rPr>
              <w:t>处理</w:t>
            </w:r>
          </w:p>
        </w:tc>
        <w:tc>
          <w:tcPr>
            <w:tcW w:w="2868" w:type="dxa"/>
            <w:vMerge w:val="restart"/>
            <w:tcBorders>
              <w:top w:val="single" w:color="auto" w:sz="4" w:space="0"/>
              <w:right w:val="single" w:color="auto" w:sz="12" w:space="0"/>
            </w:tcBorders>
            <w:vAlign w:val="center"/>
          </w:tcPr>
          <w:p w14:paraId="06265012">
            <w:pPr>
              <w:adjustRightInd w:val="0"/>
              <w:snapToGrid w:val="0"/>
              <w:spacing w:line="360" w:lineRule="auto"/>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广东省地方标准《水污染物排放限值》(DB44/26－2001)三级标准（第二时段）</w:t>
            </w:r>
          </w:p>
        </w:tc>
      </w:tr>
      <w:tr w14:paraId="484AE6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tcBorders>
            <w:vAlign w:val="center"/>
          </w:tcPr>
          <w:p w14:paraId="0FC1B258">
            <w:pPr>
              <w:adjustRightInd w:val="0"/>
              <w:snapToGrid w:val="0"/>
              <w:jc w:val="center"/>
              <w:rPr>
                <w:rFonts w:ascii="Times New Roman" w:hAnsi="Times New Roman" w:eastAsia="宋体" w:cs="宋体"/>
                <w:color w:val="auto"/>
                <w:sz w:val="21"/>
                <w:szCs w:val="21"/>
              </w:rPr>
            </w:pPr>
          </w:p>
        </w:tc>
        <w:tc>
          <w:tcPr>
            <w:tcW w:w="1417" w:type="dxa"/>
            <w:gridSpan w:val="2"/>
            <w:vMerge w:val="continue"/>
            <w:vAlign w:val="center"/>
          </w:tcPr>
          <w:p w14:paraId="1C6A9F73">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bottom w:val="single" w:color="auto" w:sz="4" w:space="0"/>
            </w:tcBorders>
            <w:vAlign w:val="center"/>
          </w:tcPr>
          <w:p w14:paraId="0D520D90">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szCs w:val="21"/>
              </w:rPr>
              <w:t>BOD</w:t>
            </w:r>
            <w:r>
              <w:rPr>
                <w:rFonts w:ascii="Times New Roman" w:hAnsi="Times New Roman" w:eastAsia="宋体"/>
                <w:color w:val="auto"/>
                <w:sz w:val="21"/>
                <w:szCs w:val="21"/>
                <w:vertAlign w:val="subscript"/>
              </w:rPr>
              <w:t>5</w:t>
            </w:r>
          </w:p>
        </w:tc>
        <w:tc>
          <w:tcPr>
            <w:tcW w:w="1985" w:type="dxa"/>
            <w:vMerge w:val="continue"/>
            <w:vAlign w:val="center"/>
          </w:tcPr>
          <w:p w14:paraId="7F04720E">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63A30D86">
            <w:pPr>
              <w:adjustRightInd w:val="0"/>
              <w:snapToGrid w:val="0"/>
              <w:spacing w:line="360" w:lineRule="auto"/>
              <w:jc w:val="center"/>
              <w:rPr>
                <w:rFonts w:ascii="Times New Roman" w:hAnsi="Times New Roman" w:eastAsia="宋体" w:cs="宋体"/>
                <w:color w:val="auto"/>
                <w:sz w:val="21"/>
                <w:szCs w:val="21"/>
              </w:rPr>
            </w:pPr>
          </w:p>
        </w:tc>
      </w:tr>
      <w:tr w14:paraId="7B22F5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tcBorders>
            <w:vAlign w:val="center"/>
          </w:tcPr>
          <w:p w14:paraId="39DE1B33">
            <w:pPr>
              <w:adjustRightInd w:val="0"/>
              <w:snapToGrid w:val="0"/>
              <w:jc w:val="center"/>
              <w:rPr>
                <w:rFonts w:ascii="Times New Roman" w:hAnsi="Times New Roman" w:eastAsia="宋体" w:cs="宋体"/>
                <w:color w:val="auto"/>
                <w:sz w:val="21"/>
                <w:szCs w:val="21"/>
              </w:rPr>
            </w:pPr>
          </w:p>
        </w:tc>
        <w:tc>
          <w:tcPr>
            <w:tcW w:w="1417" w:type="dxa"/>
            <w:gridSpan w:val="2"/>
            <w:vMerge w:val="continue"/>
            <w:vAlign w:val="center"/>
          </w:tcPr>
          <w:p w14:paraId="61B67F74">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bottom w:val="single" w:color="auto" w:sz="4" w:space="0"/>
            </w:tcBorders>
            <w:vAlign w:val="center"/>
          </w:tcPr>
          <w:p w14:paraId="734FDB3C">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szCs w:val="21"/>
              </w:rPr>
              <w:t>SS</w:t>
            </w:r>
          </w:p>
        </w:tc>
        <w:tc>
          <w:tcPr>
            <w:tcW w:w="1985" w:type="dxa"/>
            <w:vMerge w:val="continue"/>
            <w:vAlign w:val="center"/>
          </w:tcPr>
          <w:p w14:paraId="7AE7E1AD">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2EE325AC">
            <w:pPr>
              <w:adjustRightInd w:val="0"/>
              <w:snapToGrid w:val="0"/>
              <w:spacing w:line="360" w:lineRule="auto"/>
              <w:jc w:val="center"/>
              <w:rPr>
                <w:rFonts w:ascii="Times New Roman" w:hAnsi="Times New Roman" w:eastAsia="宋体" w:cs="宋体"/>
                <w:color w:val="auto"/>
                <w:sz w:val="21"/>
                <w:szCs w:val="21"/>
              </w:rPr>
            </w:pPr>
          </w:p>
        </w:tc>
      </w:tr>
      <w:tr w14:paraId="3CD976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tcBorders>
            <w:vAlign w:val="center"/>
          </w:tcPr>
          <w:p w14:paraId="5B09659B">
            <w:pPr>
              <w:adjustRightInd w:val="0"/>
              <w:snapToGrid w:val="0"/>
              <w:jc w:val="center"/>
              <w:rPr>
                <w:rFonts w:ascii="Times New Roman" w:hAnsi="Times New Roman" w:eastAsia="宋体" w:cs="宋体"/>
                <w:color w:val="auto"/>
                <w:sz w:val="21"/>
                <w:szCs w:val="21"/>
              </w:rPr>
            </w:pPr>
          </w:p>
        </w:tc>
        <w:tc>
          <w:tcPr>
            <w:tcW w:w="1417" w:type="dxa"/>
            <w:gridSpan w:val="2"/>
            <w:vMerge w:val="continue"/>
            <w:tcBorders>
              <w:bottom w:val="single" w:color="auto" w:sz="4" w:space="0"/>
            </w:tcBorders>
            <w:vAlign w:val="center"/>
          </w:tcPr>
          <w:p w14:paraId="6A661E2D">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bottom w:val="single" w:color="auto" w:sz="4" w:space="0"/>
            </w:tcBorders>
            <w:vAlign w:val="center"/>
          </w:tcPr>
          <w:p w14:paraId="21C35592">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szCs w:val="21"/>
              </w:rPr>
              <w:t>NH</w:t>
            </w:r>
            <w:r>
              <w:rPr>
                <w:rFonts w:ascii="Times New Roman" w:hAnsi="Times New Roman" w:eastAsia="宋体"/>
                <w:color w:val="auto"/>
                <w:sz w:val="21"/>
                <w:szCs w:val="21"/>
                <w:vertAlign w:val="subscript"/>
              </w:rPr>
              <w:t>3</w:t>
            </w:r>
            <w:r>
              <w:rPr>
                <w:rFonts w:ascii="Times New Roman" w:hAnsi="Times New Roman" w:eastAsia="宋体"/>
                <w:color w:val="auto"/>
                <w:sz w:val="21"/>
                <w:szCs w:val="21"/>
              </w:rPr>
              <w:t>-N</w:t>
            </w:r>
          </w:p>
        </w:tc>
        <w:tc>
          <w:tcPr>
            <w:tcW w:w="1985" w:type="dxa"/>
            <w:vMerge w:val="continue"/>
            <w:tcBorders>
              <w:bottom w:val="single" w:color="auto" w:sz="4" w:space="0"/>
            </w:tcBorders>
            <w:vAlign w:val="center"/>
          </w:tcPr>
          <w:p w14:paraId="58C39ABC">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bottom w:val="single" w:color="auto" w:sz="4" w:space="0"/>
              <w:right w:val="single" w:color="auto" w:sz="12" w:space="0"/>
            </w:tcBorders>
            <w:vAlign w:val="center"/>
          </w:tcPr>
          <w:p w14:paraId="79A3F5CD">
            <w:pPr>
              <w:adjustRightInd w:val="0"/>
              <w:snapToGrid w:val="0"/>
              <w:spacing w:line="360" w:lineRule="auto"/>
              <w:jc w:val="center"/>
              <w:rPr>
                <w:rFonts w:ascii="Times New Roman" w:hAnsi="Times New Roman" w:eastAsia="宋体" w:cs="宋体"/>
                <w:color w:val="auto"/>
                <w:sz w:val="21"/>
                <w:szCs w:val="21"/>
              </w:rPr>
            </w:pPr>
          </w:p>
        </w:tc>
      </w:tr>
      <w:tr w14:paraId="7AED9E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tcBorders>
            <w:vAlign w:val="center"/>
          </w:tcPr>
          <w:p w14:paraId="08490BA1">
            <w:pPr>
              <w:adjustRightInd w:val="0"/>
              <w:snapToGrid w:val="0"/>
              <w:jc w:val="center"/>
              <w:rPr>
                <w:rFonts w:ascii="Times New Roman" w:hAnsi="Times New Roman" w:eastAsia="宋体" w:cs="宋体"/>
                <w:color w:val="auto"/>
                <w:sz w:val="21"/>
                <w:szCs w:val="21"/>
              </w:rPr>
            </w:pPr>
          </w:p>
        </w:tc>
        <w:tc>
          <w:tcPr>
            <w:tcW w:w="1417" w:type="dxa"/>
            <w:gridSpan w:val="2"/>
            <w:vMerge w:val="restart"/>
            <w:vAlign w:val="center"/>
          </w:tcPr>
          <w:p w14:paraId="35160A70">
            <w:pPr>
              <w:adjustRightInd w:val="0"/>
              <w:snapToGrid w:val="0"/>
              <w:jc w:val="center"/>
              <w:rPr>
                <w:rFonts w:ascii="Times New Roman" w:hAnsi="Times New Roman" w:eastAsia="宋体" w:cs="宋体"/>
                <w:color w:val="auto"/>
                <w:sz w:val="21"/>
                <w:szCs w:val="21"/>
              </w:rPr>
            </w:pPr>
            <w:r>
              <w:rPr>
                <w:rFonts w:ascii="Times New Roman" w:hAnsi="Times New Roman" w:eastAsia="宋体" w:cs="宋体"/>
                <w:color w:val="auto"/>
                <w:sz w:val="21"/>
                <w:szCs w:val="21"/>
              </w:rPr>
              <w:t>生产废水</w:t>
            </w:r>
          </w:p>
        </w:tc>
        <w:tc>
          <w:tcPr>
            <w:tcW w:w="1559" w:type="dxa"/>
            <w:tcBorders>
              <w:top w:val="single" w:color="auto" w:sz="4" w:space="0"/>
              <w:bottom w:val="single" w:color="auto" w:sz="4" w:space="0"/>
            </w:tcBorders>
            <w:vAlign w:val="center"/>
          </w:tcPr>
          <w:p w14:paraId="7411A3D9">
            <w:pPr>
              <w:adjustRightInd w:val="0"/>
              <w:snapToGrid w:val="0"/>
              <w:jc w:val="center"/>
              <w:rPr>
                <w:rFonts w:ascii="Times New Roman" w:hAnsi="Times New Roman" w:eastAsia="宋体"/>
                <w:color w:val="auto"/>
                <w:sz w:val="21"/>
                <w:szCs w:val="21"/>
              </w:rPr>
            </w:pPr>
            <w:r>
              <w:rPr>
                <w:rFonts w:ascii="Times New Roman" w:hAnsi="Times New Roman" w:eastAsia="宋体"/>
                <w:color w:val="auto"/>
                <w:kern w:val="0"/>
                <w:sz w:val="21"/>
                <w:szCs w:val="21"/>
              </w:rPr>
              <w:t>PH</w:t>
            </w:r>
          </w:p>
        </w:tc>
        <w:tc>
          <w:tcPr>
            <w:tcW w:w="4853" w:type="dxa"/>
            <w:gridSpan w:val="2"/>
            <w:vMerge w:val="restart"/>
            <w:tcBorders>
              <w:right w:val="single" w:color="auto" w:sz="12" w:space="0"/>
            </w:tcBorders>
            <w:vAlign w:val="center"/>
          </w:tcPr>
          <w:p w14:paraId="25B7BD9A">
            <w:pPr>
              <w:adjustRightInd w:val="0"/>
              <w:snapToGrid w:val="0"/>
              <w:spacing w:line="360" w:lineRule="auto"/>
              <w:jc w:val="center"/>
              <w:rPr>
                <w:rFonts w:ascii="Times New Roman" w:hAnsi="Times New Roman" w:eastAsia="宋体" w:cs="宋体"/>
                <w:color w:val="auto"/>
                <w:sz w:val="21"/>
                <w:szCs w:val="21"/>
              </w:rPr>
            </w:pPr>
            <w:r>
              <w:rPr>
                <w:rFonts w:hint="eastAsia" w:ascii="Times New Roman" w:hAnsi="Times New Roman" w:eastAsia="宋体"/>
                <w:color w:val="auto"/>
                <w:kern w:val="0"/>
                <w:sz w:val="21"/>
                <w:szCs w:val="21"/>
              </w:rPr>
              <w:t>定期委托给有处理能力的废水处理机构处理</w:t>
            </w:r>
          </w:p>
        </w:tc>
      </w:tr>
      <w:tr w14:paraId="40E5C1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tcBorders>
            <w:vAlign w:val="center"/>
          </w:tcPr>
          <w:p w14:paraId="18F0E782">
            <w:pPr>
              <w:adjustRightInd w:val="0"/>
              <w:snapToGrid w:val="0"/>
              <w:jc w:val="center"/>
              <w:rPr>
                <w:rFonts w:ascii="Times New Roman" w:hAnsi="Times New Roman" w:eastAsia="宋体" w:cs="宋体"/>
                <w:color w:val="auto"/>
                <w:sz w:val="21"/>
                <w:szCs w:val="21"/>
              </w:rPr>
            </w:pPr>
          </w:p>
        </w:tc>
        <w:tc>
          <w:tcPr>
            <w:tcW w:w="1417" w:type="dxa"/>
            <w:gridSpan w:val="2"/>
            <w:vMerge w:val="continue"/>
            <w:vAlign w:val="center"/>
          </w:tcPr>
          <w:p w14:paraId="6CB981C9">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bottom w:val="single" w:color="auto" w:sz="4" w:space="0"/>
            </w:tcBorders>
            <w:vAlign w:val="center"/>
          </w:tcPr>
          <w:p w14:paraId="2A5D40B7">
            <w:pPr>
              <w:adjustRightInd w:val="0"/>
              <w:snapToGrid w:val="0"/>
              <w:jc w:val="center"/>
              <w:rPr>
                <w:rFonts w:ascii="Times New Roman" w:hAnsi="Times New Roman" w:eastAsia="宋体"/>
                <w:color w:val="auto"/>
                <w:sz w:val="21"/>
                <w:szCs w:val="21"/>
              </w:rPr>
            </w:pPr>
            <w:r>
              <w:rPr>
                <w:rFonts w:ascii="Times New Roman" w:hAnsi="Times New Roman" w:eastAsia="宋体"/>
                <w:color w:val="auto"/>
                <w:kern w:val="0"/>
                <w:sz w:val="21"/>
                <w:szCs w:val="21"/>
              </w:rPr>
              <w:t>CODcr</w:t>
            </w:r>
          </w:p>
        </w:tc>
        <w:tc>
          <w:tcPr>
            <w:tcW w:w="4853" w:type="dxa"/>
            <w:gridSpan w:val="2"/>
            <w:vMerge w:val="continue"/>
            <w:tcBorders>
              <w:right w:val="single" w:color="auto" w:sz="12" w:space="0"/>
            </w:tcBorders>
            <w:vAlign w:val="center"/>
          </w:tcPr>
          <w:p w14:paraId="5AB2C097">
            <w:pPr>
              <w:adjustRightInd w:val="0"/>
              <w:snapToGrid w:val="0"/>
              <w:spacing w:line="360" w:lineRule="auto"/>
              <w:jc w:val="center"/>
              <w:rPr>
                <w:rFonts w:ascii="Times New Roman" w:hAnsi="Times New Roman" w:eastAsia="宋体" w:cs="宋体"/>
                <w:color w:val="auto"/>
                <w:sz w:val="21"/>
                <w:szCs w:val="21"/>
              </w:rPr>
            </w:pPr>
          </w:p>
        </w:tc>
      </w:tr>
      <w:tr w14:paraId="069832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tcBorders>
            <w:vAlign w:val="center"/>
          </w:tcPr>
          <w:p w14:paraId="74A0710A">
            <w:pPr>
              <w:adjustRightInd w:val="0"/>
              <w:snapToGrid w:val="0"/>
              <w:jc w:val="center"/>
              <w:rPr>
                <w:rFonts w:ascii="Times New Roman" w:hAnsi="Times New Roman" w:eastAsia="宋体" w:cs="宋体"/>
                <w:color w:val="auto"/>
                <w:sz w:val="21"/>
                <w:szCs w:val="21"/>
              </w:rPr>
            </w:pPr>
          </w:p>
        </w:tc>
        <w:tc>
          <w:tcPr>
            <w:tcW w:w="1417" w:type="dxa"/>
            <w:gridSpan w:val="2"/>
            <w:vMerge w:val="continue"/>
            <w:vAlign w:val="center"/>
          </w:tcPr>
          <w:p w14:paraId="576ED46F">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bottom w:val="single" w:color="auto" w:sz="4" w:space="0"/>
            </w:tcBorders>
            <w:vAlign w:val="center"/>
          </w:tcPr>
          <w:p w14:paraId="4141E3B5">
            <w:pPr>
              <w:adjustRightInd w:val="0"/>
              <w:snapToGrid w:val="0"/>
              <w:jc w:val="center"/>
              <w:rPr>
                <w:rFonts w:ascii="Times New Roman" w:hAnsi="Times New Roman" w:eastAsia="宋体"/>
                <w:color w:val="auto"/>
                <w:sz w:val="21"/>
                <w:szCs w:val="21"/>
              </w:rPr>
            </w:pPr>
            <w:r>
              <w:rPr>
                <w:rFonts w:ascii="Times New Roman" w:hAnsi="Times New Roman" w:eastAsia="宋体"/>
                <w:color w:val="auto"/>
                <w:kern w:val="0"/>
                <w:sz w:val="21"/>
                <w:szCs w:val="21"/>
              </w:rPr>
              <w:t>BOD</w:t>
            </w:r>
            <w:r>
              <w:rPr>
                <w:rFonts w:ascii="Times New Roman" w:hAnsi="Times New Roman" w:eastAsia="宋体"/>
                <w:color w:val="auto"/>
                <w:kern w:val="0"/>
                <w:sz w:val="21"/>
                <w:szCs w:val="21"/>
                <w:vertAlign w:val="subscript"/>
              </w:rPr>
              <w:t>5</w:t>
            </w:r>
          </w:p>
        </w:tc>
        <w:tc>
          <w:tcPr>
            <w:tcW w:w="4853" w:type="dxa"/>
            <w:gridSpan w:val="2"/>
            <w:vMerge w:val="continue"/>
            <w:tcBorders>
              <w:right w:val="single" w:color="auto" w:sz="12" w:space="0"/>
            </w:tcBorders>
            <w:vAlign w:val="center"/>
          </w:tcPr>
          <w:p w14:paraId="55D722F6">
            <w:pPr>
              <w:adjustRightInd w:val="0"/>
              <w:snapToGrid w:val="0"/>
              <w:spacing w:line="360" w:lineRule="auto"/>
              <w:jc w:val="center"/>
              <w:rPr>
                <w:rFonts w:ascii="Times New Roman" w:hAnsi="Times New Roman" w:eastAsia="宋体" w:cs="宋体"/>
                <w:color w:val="auto"/>
                <w:sz w:val="21"/>
                <w:szCs w:val="21"/>
              </w:rPr>
            </w:pPr>
          </w:p>
        </w:tc>
      </w:tr>
      <w:tr w14:paraId="5BDF4C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tcBorders>
            <w:vAlign w:val="center"/>
          </w:tcPr>
          <w:p w14:paraId="7029D21E">
            <w:pPr>
              <w:adjustRightInd w:val="0"/>
              <w:snapToGrid w:val="0"/>
              <w:jc w:val="center"/>
              <w:rPr>
                <w:rFonts w:ascii="Times New Roman" w:hAnsi="Times New Roman" w:eastAsia="宋体" w:cs="宋体"/>
                <w:color w:val="auto"/>
                <w:sz w:val="21"/>
                <w:szCs w:val="21"/>
              </w:rPr>
            </w:pPr>
          </w:p>
        </w:tc>
        <w:tc>
          <w:tcPr>
            <w:tcW w:w="1417" w:type="dxa"/>
            <w:gridSpan w:val="2"/>
            <w:vMerge w:val="continue"/>
            <w:vAlign w:val="center"/>
          </w:tcPr>
          <w:p w14:paraId="3C952F5F">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bottom w:val="single" w:color="auto" w:sz="4" w:space="0"/>
            </w:tcBorders>
            <w:vAlign w:val="center"/>
          </w:tcPr>
          <w:p w14:paraId="4C658FF7">
            <w:pPr>
              <w:adjustRightInd w:val="0"/>
              <w:snapToGrid w:val="0"/>
              <w:jc w:val="center"/>
              <w:rPr>
                <w:rFonts w:ascii="Times New Roman" w:hAnsi="Times New Roman" w:eastAsia="宋体"/>
                <w:color w:val="auto"/>
                <w:sz w:val="21"/>
                <w:szCs w:val="21"/>
              </w:rPr>
            </w:pPr>
            <w:r>
              <w:rPr>
                <w:rFonts w:hint="eastAsia" w:ascii="Times New Roman" w:hAnsi="Times New Roman" w:eastAsia="宋体"/>
                <w:color w:val="auto"/>
                <w:sz w:val="21"/>
                <w:szCs w:val="21"/>
              </w:rPr>
              <w:t>S</w:t>
            </w:r>
            <w:r>
              <w:rPr>
                <w:rFonts w:ascii="Times New Roman" w:hAnsi="Times New Roman" w:eastAsia="宋体"/>
                <w:color w:val="auto"/>
                <w:sz w:val="21"/>
                <w:szCs w:val="21"/>
              </w:rPr>
              <w:t>S</w:t>
            </w:r>
          </w:p>
        </w:tc>
        <w:tc>
          <w:tcPr>
            <w:tcW w:w="4853" w:type="dxa"/>
            <w:gridSpan w:val="2"/>
            <w:vMerge w:val="continue"/>
            <w:tcBorders>
              <w:right w:val="single" w:color="auto" w:sz="12" w:space="0"/>
            </w:tcBorders>
            <w:vAlign w:val="center"/>
          </w:tcPr>
          <w:p w14:paraId="5DCAC743">
            <w:pPr>
              <w:adjustRightInd w:val="0"/>
              <w:snapToGrid w:val="0"/>
              <w:spacing w:line="360" w:lineRule="auto"/>
              <w:jc w:val="center"/>
              <w:rPr>
                <w:rFonts w:ascii="Times New Roman" w:hAnsi="Times New Roman" w:eastAsia="宋体" w:cs="宋体"/>
                <w:color w:val="auto"/>
                <w:sz w:val="21"/>
                <w:szCs w:val="21"/>
              </w:rPr>
            </w:pPr>
          </w:p>
        </w:tc>
      </w:tr>
      <w:tr w14:paraId="1BC3F0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tcBorders>
            <w:vAlign w:val="center"/>
          </w:tcPr>
          <w:p w14:paraId="4807D3E2">
            <w:pPr>
              <w:adjustRightInd w:val="0"/>
              <w:snapToGrid w:val="0"/>
              <w:jc w:val="center"/>
              <w:rPr>
                <w:rFonts w:ascii="Times New Roman" w:hAnsi="Times New Roman" w:eastAsia="宋体" w:cs="宋体"/>
                <w:color w:val="auto"/>
                <w:sz w:val="21"/>
                <w:szCs w:val="21"/>
              </w:rPr>
            </w:pPr>
          </w:p>
        </w:tc>
        <w:tc>
          <w:tcPr>
            <w:tcW w:w="1417" w:type="dxa"/>
            <w:gridSpan w:val="2"/>
            <w:vMerge w:val="continue"/>
            <w:vAlign w:val="center"/>
          </w:tcPr>
          <w:p w14:paraId="5B25A5A4">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bottom w:val="single" w:color="auto" w:sz="4" w:space="0"/>
            </w:tcBorders>
            <w:vAlign w:val="center"/>
          </w:tcPr>
          <w:p w14:paraId="4AA06A3B">
            <w:pPr>
              <w:adjustRightInd w:val="0"/>
              <w:snapToGrid w:val="0"/>
              <w:jc w:val="center"/>
              <w:rPr>
                <w:rFonts w:ascii="Times New Roman" w:hAnsi="Times New Roman" w:eastAsia="宋体"/>
                <w:color w:val="auto"/>
                <w:sz w:val="21"/>
                <w:szCs w:val="21"/>
              </w:rPr>
            </w:pPr>
            <w:r>
              <w:rPr>
                <w:rFonts w:hint="eastAsia" w:ascii="Times New Roman" w:hAnsi="Times New Roman" w:eastAsia="宋体"/>
                <w:color w:val="auto"/>
                <w:kern w:val="0"/>
                <w:sz w:val="21"/>
                <w:szCs w:val="21"/>
              </w:rPr>
              <w:t>氨氮</w:t>
            </w:r>
          </w:p>
        </w:tc>
        <w:tc>
          <w:tcPr>
            <w:tcW w:w="4853" w:type="dxa"/>
            <w:gridSpan w:val="2"/>
            <w:vMerge w:val="continue"/>
            <w:tcBorders>
              <w:right w:val="single" w:color="auto" w:sz="12" w:space="0"/>
            </w:tcBorders>
            <w:vAlign w:val="center"/>
          </w:tcPr>
          <w:p w14:paraId="69919359">
            <w:pPr>
              <w:adjustRightInd w:val="0"/>
              <w:snapToGrid w:val="0"/>
              <w:spacing w:line="360" w:lineRule="auto"/>
              <w:jc w:val="center"/>
              <w:rPr>
                <w:rFonts w:ascii="Times New Roman" w:hAnsi="Times New Roman" w:eastAsia="宋体" w:cs="宋体"/>
                <w:color w:val="auto"/>
                <w:sz w:val="21"/>
                <w:szCs w:val="21"/>
              </w:rPr>
            </w:pPr>
          </w:p>
        </w:tc>
      </w:tr>
      <w:tr w14:paraId="699126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72" w:type="dxa"/>
            <w:vMerge w:val="continue"/>
            <w:tcBorders>
              <w:left w:val="single" w:color="auto" w:sz="12" w:space="0"/>
              <w:bottom w:val="single" w:color="auto" w:sz="4" w:space="0"/>
            </w:tcBorders>
            <w:vAlign w:val="center"/>
          </w:tcPr>
          <w:p w14:paraId="220A6695">
            <w:pPr>
              <w:adjustRightInd w:val="0"/>
              <w:snapToGrid w:val="0"/>
              <w:jc w:val="center"/>
              <w:rPr>
                <w:rFonts w:ascii="Times New Roman" w:hAnsi="Times New Roman" w:eastAsia="宋体" w:cs="宋体"/>
                <w:color w:val="auto"/>
                <w:sz w:val="21"/>
                <w:szCs w:val="21"/>
              </w:rPr>
            </w:pPr>
          </w:p>
        </w:tc>
        <w:tc>
          <w:tcPr>
            <w:tcW w:w="1417" w:type="dxa"/>
            <w:gridSpan w:val="2"/>
            <w:vMerge w:val="continue"/>
            <w:tcBorders>
              <w:bottom w:val="single" w:color="auto" w:sz="4" w:space="0"/>
            </w:tcBorders>
            <w:vAlign w:val="center"/>
          </w:tcPr>
          <w:p w14:paraId="1CA8D107">
            <w:pPr>
              <w:adjustRightInd w:val="0"/>
              <w:snapToGrid w:val="0"/>
              <w:jc w:val="center"/>
              <w:rPr>
                <w:rFonts w:ascii="Times New Roman" w:hAnsi="Times New Roman" w:eastAsia="宋体" w:cs="宋体"/>
                <w:color w:val="auto"/>
                <w:sz w:val="21"/>
                <w:szCs w:val="21"/>
              </w:rPr>
            </w:pPr>
          </w:p>
        </w:tc>
        <w:tc>
          <w:tcPr>
            <w:tcW w:w="1559" w:type="dxa"/>
            <w:tcBorders>
              <w:top w:val="single" w:color="auto" w:sz="4" w:space="0"/>
              <w:bottom w:val="single" w:color="auto" w:sz="4" w:space="0"/>
            </w:tcBorders>
            <w:vAlign w:val="center"/>
          </w:tcPr>
          <w:p w14:paraId="499D31AB">
            <w:pPr>
              <w:adjustRightInd w:val="0"/>
              <w:snapToGrid w:val="0"/>
              <w:jc w:val="center"/>
              <w:rPr>
                <w:rFonts w:ascii="Times New Roman" w:hAnsi="Times New Roman" w:eastAsia="宋体"/>
                <w:color w:val="auto"/>
                <w:sz w:val="21"/>
                <w:szCs w:val="21"/>
              </w:rPr>
            </w:pPr>
            <w:r>
              <w:rPr>
                <w:rFonts w:hint="eastAsia" w:ascii="Times New Roman" w:hAnsi="Times New Roman" w:eastAsia="宋体"/>
                <w:color w:val="auto"/>
                <w:kern w:val="0"/>
                <w:sz w:val="21"/>
                <w:szCs w:val="21"/>
              </w:rPr>
              <w:t>石油类</w:t>
            </w:r>
          </w:p>
        </w:tc>
        <w:tc>
          <w:tcPr>
            <w:tcW w:w="4853" w:type="dxa"/>
            <w:gridSpan w:val="2"/>
            <w:vMerge w:val="continue"/>
            <w:tcBorders>
              <w:bottom w:val="single" w:color="auto" w:sz="4" w:space="0"/>
              <w:right w:val="single" w:color="auto" w:sz="12" w:space="0"/>
            </w:tcBorders>
            <w:vAlign w:val="center"/>
          </w:tcPr>
          <w:p w14:paraId="2F6B5F81">
            <w:pPr>
              <w:adjustRightInd w:val="0"/>
              <w:snapToGrid w:val="0"/>
              <w:spacing w:line="360" w:lineRule="auto"/>
              <w:jc w:val="center"/>
              <w:rPr>
                <w:rFonts w:ascii="Times New Roman" w:hAnsi="Times New Roman" w:eastAsia="宋体" w:cs="宋体"/>
                <w:color w:val="auto"/>
                <w:sz w:val="21"/>
                <w:szCs w:val="21"/>
              </w:rPr>
            </w:pPr>
          </w:p>
        </w:tc>
      </w:tr>
      <w:tr w14:paraId="5D315D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4" w:hRule="atLeast"/>
          <w:jc w:val="center"/>
        </w:trPr>
        <w:tc>
          <w:tcPr>
            <w:tcW w:w="972" w:type="dxa"/>
            <w:tcBorders>
              <w:top w:val="single" w:color="auto" w:sz="4" w:space="0"/>
              <w:left w:val="single" w:color="auto" w:sz="12" w:space="0"/>
              <w:bottom w:val="single" w:color="auto" w:sz="4" w:space="0"/>
            </w:tcBorders>
            <w:vAlign w:val="center"/>
          </w:tcPr>
          <w:p w14:paraId="59D2C6D2">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声环境</w:t>
            </w:r>
          </w:p>
        </w:tc>
        <w:tc>
          <w:tcPr>
            <w:tcW w:w="7829" w:type="dxa"/>
            <w:gridSpan w:val="5"/>
            <w:tcBorders>
              <w:top w:val="single" w:color="auto" w:sz="4" w:space="0"/>
              <w:right w:val="single" w:color="auto" w:sz="12" w:space="0"/>
            </w:tcBorders>
            <w:vAlign w:val="center"/>
          </w:tcPr>
          <w:p w14:paraId="7091BEBC">
            <w:pPr>
              <w:adjustRightInd w:val="0"/>
              <w:snapToGrid w:val="0"/>
              <w:spacing w:line="360" w:lineRule="auto"/>
              <w:jc w:val="center"/>
              <w:rPr>
                <w:rFonts w:hint="eastAsia" w:ascii="Times New Roman" w:hAnsi="Times New Roman" w:eastAsia="宋体"/>
                <w:color w:val="auto"/>
                <w:sz w:val="21"/>
              </w:rPr>
            </w:pPr>
            <w:r>
              <w:rPr>
                <w:rFonts w:hint="eastAsia" w:ascii="Times New Roman" w:hAnsi="Times New Roman" w:eastAsia="宋体" w:cs="宋体"/>
                <w:color w:val="auto"/>
                <w:sz w:val="21"/>
                <w:szCs w:val="21"/>
              </w:rPr>
              <w:t>采用有效的隔音、消声措施，运营期厂界噪声执行《工业企业厂界环境噪声排放标准》（GB 12348-2008）</w:t>
            </w:r>
            <w:r>
              <w:rPr>
                <w:rFonts w:hint="eastAsia" w:cs="宋体"/>
                <w:color w:val="auto"/>
                <w:sz w:val="21"/>
                <w:szCs w:val="21"/>
                <w:lang w:val="en-US" w:eastAsia="zh-CN"/>
              </w:rPr>
              <w:t>3</w:t>
            </w:r>
            <w:r>
              <w:rPr>
                <w:rFonts w:hint="eastAsia" w:ascii="Times New Roman" w:hAnsi="Times New Roman" w:eastAsia="宋体" w:cs="宋体"/>
                <w:color w:val="auto"/>
                <w:sz w:val="21"/>
                <w:szCs w:val="21"/>
              </w:rPr>
              <w:t>类标准</w:t>
            </w:r>
          </w:p>
        </w:tc>
      </w:tr>
      <w:tr w14:paraId="3B8C4E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972" w:type="dxa"/>
            <w:vMerge w:val="restart"/>
            <w:tcBorders>
              <w:top w:val="single" w:color="auto" w:sz="4" w:space="0"/>
              <w:left w:val="single" w:color="auto" w:sz="12" w:space="0"/>
            </w:tcBorders>
            <w:vAlign w:val="center"/>
          </w:tcPr>
          <w:p w14:paraId="43CCB1B4">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固体废物</w:t>
            </w:r>
          </w:p>
        </w:tc>
        <w:tc>
          <w:tcPr>
            <w:tcW w:w="850" w:type="dxa"/>
            <w:tcBorders>
              <w:top w:val="single" w:color="auto" w:sz="4" w:space="0"/>
              <w:bottom w:val="single" w:color="auto" w:sz="4" w:space="0"/>
            </w:tcBorders>
            <w:vAlign w:val="center"/>
          </w:tcPr>
          <w:p w14:paraId="44F44425">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kern w:val="0"/>
                <w:sz w:val="21"/>
                <w:szCs w:val="21"/>
              </w:rPr>
              <w:t>办公生活</w:t>
            </w:r>
          </w:p>
        </w:tc>
        <w:tc>
          <w:tcPr>
            <w:tcW w:w="2126" w:type="dxa"/>
            <w:gridSpan w:val="2"/>
            <w:tcBorders>
              <w:top w:val="single" w:color="auto" w:sz="4" w:space="0"/>
              <w:bottom w:val="single" w:color="auto" w:sz="4" w:space="0"/>
            </w:tcBorders>
            <w:vAlign w:val="center"/>
          </w:tcPr>
          <w:p w14:paraId="5AEDB6F2">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szCs w:val="21"/>
              </w:rPr>
              <w:t>生活垃圾</w:t>
            </w:r>
          </w:p>
        </w:tc>
        <w:tc>
          <w:tcPr>
            <w:tcW w:w="1985" w:type="dxa"/>
            <w:tcBorders>
              <w:top w:val="single" w:color="auto" w:sz="4" w:space="0"/>
              <w:bottom w:val="single" w:color="auto" w:sz="4" w:space="0"/>
            </w:tcBorders>
            <w:vAlign w:val="center"/>
          </w:tcPr>
          <w:p w14:paraId="698E7948">
            <w:pPr>
              <w:adjustRightInd w:val="0"/>
              <w:snapToGrid w:val="0"/>
              <w:spacing w:line="360" w:lineRule="auto"/>
              <w:jc w:val="center"/>
              <w:rPr>
                <w:rFonts w:ascii="Times New Roman" w:hAnsi="Times New Roman" w:eastAsia="宋体" w:cs="宋体"/>
                <w:color w:val="auto"/>
                <w:sz w:val="21"/>
                <w:szCs w:val="21"/>
              </w:rPr>
            </w:pPr>
            <w:r>
              <w:rPr>
                <w:rFonts w:ascii="Times New Roman" w:hAnsi="Times New Roman" w:eastAsia="宋体"/>
                <w:color w:val="auto"/>
                <w:kern w:val="0"/>
                <w:sz w:val="21"/>
                <w:szCs w:val="21"/>
              </w:rPr>
              <w:t>交由环卫部门清运处理</w:t>
            </w:r>
          </w:p>
        </w:tc>
        <w:tc>
          <w:tcPr>
            <w:tcW w:w="2868" w:type="dxa"/>
            <w:vMerge w:val="restart"/>
            <w:tcBorders>
              <w:top w:val="single" w:color="auto" w:sz="4" w:space="0"/>
              <w:right w:val="single" w:color="auto" w:sz="12" w:space="0"/>
            </w:tcBorders>
            <w:vAlign w:val="center"/>
          </w:tcPr>
          <w:p w14:paraId="40679685">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kern w:val="0"/>
                <w:sz w:val="21"/>
                <w:szCs w:val="21"/>
              </w:rPr>
              <w:t>符合环保要求，对周围环境不造成明显影响</w:t>
            </w:r>
          </w:p>
        </w:tc>
      </w:tr>
      <w:tr w14:paraId="3F57C2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72" w:type="dxa"/>
            <w:vMerge w:val="continue"/>
            <w:tcBorders>
              <w:left w:val="single" w:color="auto" w:sz="12" w:space="0"/>
            </w:tcBorders>
            <w:vAlign w:val="center"/>
          </w:tcPr>
          <w:p w14:paraId="3E212E3F">
            <w:pPr>
              <w:adjustRightInd w:val="0"/>
              <w:snapToGrid w:val="0"/>
              <w:jc w:val="center"/>
              <w:rPr>
                <w:rFonts w:ascii="Times New Roman" w:hAnsi="Times New Roman" w:eastAsia="宋体" w:cs="宋体"/>
                <w:color w:val="auto"/>
                <w:sz w:val="21"/>
                <w:szCs w:val="21"/>
              </w:rPr>
            </w:pPr>
          </w:p>
        </w:tc>
        <w:tc>
          <w:tcPr>
            <w:tcW w:w="850" w:type="dxa"/>
            <w:vMerge w:val="restart"/>
            <w:vAlign w:val="center"/>
          </w:tcPr>
          <w:p w14:paraId="71611D4D">
            <w:pPr>
              <w:adjustRightInd w:val="0"/>
              <w:snapToGrid w:val="0"/>
              <w:jc w:val="center"/>
              <w:rPr>
                <w:rFonts w:hint="default" w:ascii="Times New Roman" w:hAnsi="Times New Roman" w:eastAsia="宋体"/>
                <w:color w:val="auto"/>
                <w:kern w:val="0"/>
                <w:sz w:val="21"/>
                <w:szCs w:val="21"/>
                <w:lang w:val="en-US" w:eastAsia="zh-CN"/>
              </w:rPr>
            </w:pPr>
            <w:r>
              <w:rPr>
                <w:rFonts w:hint="eastAsia"/>
                <w:color w:val="auto"/>
                <w:kern w:val="0"/>
                <w:sz w:val="21"/>
                <w:szCs w:val="21"/>
                <w:lang w:val="en-US" w:eastAsia="zh-CN"/>
              </w:rPr>
              <w:t>一般工业固废</w:t>
            </w:r>
          </w:p>
        </w:tc>
        <w:tc>
          <w:tcPr>
            <w:tcW w:w="2126" w:type="dxa"/>
            <w:gridSpan w:val="2"/>
            <w:tcBorders>
              <w:top w:val="single" w:color="auto" w:sz="4" w:space="0"/>
            </w:tcBorders>
            <w:vAlign w:val="center"/>
          </w:tcPr>
          <w:p w14:paraId="23236EFC">
            <w:pPr>
              <w:adjustRightInd w:val="0"/>
              <w:snapToGrid w:val="0"/>
              <w:jc w:val="center"/>
              <w:rPr>
                <w:rFonts w:hint="default"/>
                <w:color w:val="auto"/>
                <w:sz w:val="21"/>
                <w:szCs w:val="21"/>
                <w:lang w:val="en-US" w:eastAsia="zh-CN"/>
              </w:rPr>
            </w:pPr>
            <w:r>
              <w:rPr>
                <w:rFonts w:hint="eastAsia"/>
                <w:color w:val="auto"/>
                <w:sz w:val="21"/>
                <w:szCs w:val="21"/>
                <w:lang w:val="en-US" w:eastAsia="zh-CN"/>
              </w:rPr>
              <w:t>废粉尘</w:t>
            </w:r>
          </w:p>
        </w:tc>
        <w:tc>
          <w:tcPr>
            <w:tcW w:w="1985" w:type="dxa"/>
            <w:vMerge w:val="restart"/>
            <w:vAlign w:val="center"/>
          </w:tcPr>
          <w:p w14:paraId="309617A9">
            <w:pPr>
              <w:adjustRightInd w:val="0"/>
              <w:snapToGrid w:val="0"/>
              <w:spacing w:line="360" w:lineRule="auto"/>
              <w:jc w:val="center"/>
              <w:rPr>
                <w:rFonts w:ascii="Times New Roman" w:hAnsi="Times New Roman" w:eastAsia="宋体"/>
                <w:color w:val="auto"/>
                <w:sz w:val="21"/>
                <w:szCs w:val="21"/>
              </w:rPr>
            </w:pPr>
            <w:r>
              <w:rPr>
                <w:rFonts w:ascii="Times New Roman" w:hAnsi="Times New Roman" w:eastAsia="宋体"/>
                <w:color w:val="auto"/>
                <w:sz w:val="21"/>
                <w:szCs w:val="21"/>
              </w:rPr>
              <w:t>集中收集后交给有一般固体废物处理能力的单位处理</w:t>
            </w:r>
          </w:p>
        </w:tc>
        <w:tc>
          <w:tcPr>
            <w:tcW w:w="2868" w:type="dxa"/>
            <w:vMerge w:val="continue"/>
            <w:tcBorders>
              <w:right w:val="single" w:color="auto" w:sz="12" w:space="0"/>
            </w:tcBorders>
            <w:vAlign w:val="center"/>
          </w:tcPr>
          <w:p w14:paraId="537A5213">
            <w:pPr>
              <w:adjustRightInd w:val="0"/>
              <w:snapToGrid w:val="0"/>
              <w:jc w:val="center"/>
              <w:rPr>
                <w:rFonts w:ascii="Times New Roman" w:hAnsi="Times New Roman" w:eastAsia="宋体" w:cs="宋体"/>
                <w:color w:val="auto"/>
                <w:sz w:val="21"/>
                <w:szCs w:val="21"/>
              </w:rPr>
            </w:pPr>
          </w:p>
        </w:tc>
      </w:tr>
      <w:tr w14:paraId="4AA723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972" w:type="dxa"/>
            <w:vMerge w:val="continue"/>
            <w:tcBorders>
              <w:left w:val="single" w:color="auto" w:sz="12" w:space="0"/>
            </w:tcBorders>
            <w:vAlign w:val="center"/>
          </w:tcPr>
          <w:p w14:paraId="0E4FA0DE">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44EF2E9F">
            <w:pPr>
              <w:adjustRightInd w:val="0"/>
              <w:snapToGrid w:val="0"/>
              <w:jc w:val="center"/>
              <w:rPr>
                <w:rFonts w:ascii="Times New Roman" w:hAnsi="Times New Roman" w:eastAsia="宋体" w:cs="宋体"/>
                <w:color w:val="auto"/>
                <w:sz w:val="21"/>
                <w:szCs w:val="21"/>
              </w:rPr>
            </w:pPr>
          </w:p>
        </w:tc>
        <w:tc>
          <w:tcPr>
            <w:tcW w:w="2126" w:type="dxa"/>
            <w:gridSpan w:val="2"/>
            <w:tcBorders>
              <w:top w:val="single" w:color="auto" w:sz="4" w:space="0"/>
              <w:bottom w:val="single" w:color="auto" w:sz="4" w:space="0"/>
            </w:tcBorders>
            <w:vAlign w:val="center"/>
          </w:tcPr>
          <w:p w14:paraId="3BE11BD3">
            <w:pPr>
              <w:adjustRightInd w:val="0"/>
              <w:snapToGrid w:val="0"/>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rPr>
              <w:t>废包装</w:t>
            </w:r>
            <w:r>
              <w:rPr>
                <w:rFonts w:hint="eastAsia"/>
                <w:color w:val="auto"/>
                <w:sz w:val="21"/>
                <w:szCs w:val="21"/>
                <w:lang w:val="en-US" w:eastAsia="zh-CN"/>
              </w:rPr>
              <w:t>材料</w:t>
            </w:r>
          </w:p>
        </w:tc>
        <w:tc>
          <w:tcPr>
            <w:tcW w:w="1985" w:type="dxa"/>
            <w:vMerge w:val="continue"/>
            <w:vAlign w:val="center"/>
          </w:tcPr>
          <w:p w14:paraId="27DEA927">
            <w:pPr>
              <w:adjustRightInd w:val="0"/>
              <w:snapToGrid w:val="0"/>
              <w:spacing w:line="360" w:lineRule="auto"/>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1A866D5D">
            <w:pPr>
              <w:adjustRightInd w:val="0"/>
              <w:snapToGrid w:val="0"/>
              <w:jc w:val="center"/>
              <w:rPr>
                <w:rFonts w:ascii="Times New Roman" w:hAnsi="Times New Roman" w:eastAsia="宋体" w:cs="宋体"/>
                <w:color w:val="auto"/>
                <w:sz w:val="21"/>
                <w:szCs w:val="21"/>
              </w:rPr>
            </w:pPr>
          </w:p>
        </w:tc>
      </w:tr>
      <w:tr w14:paraId="53637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972" w:type="dxa"/>
            <w:vMerge w:val="continue"/>
            <w:tcBorders>
              <w:left w:val="single" w:color="auto" w:sz="12" w:space="0"/>
            </w:tcBorders>
            <w:vAlign w:val="center"/>
          </w:tcPr>
          <w:p w14:paraId="592F123D">
            <w:pPr>
              <w:adjustRightInd w:val="0"/>
              <w:snapToGrid w:val="0"/>
              <w:jc w:val="center"/>
              <w:rPr>
                <w:rFonts w:ascii="Times New Roman" w:hAnsi="Times New Roman" w:eastAsia="宋体" w:cs="宋体"/>
                <w:color w:val="auto"/>
                <w:sz w:val="21"/>
                <w:szCs w:val="21"/>
              </w:rPr>
            </w:pPr>
          </w:p>
        </w:tc>
        <w:tc>
          <w:tcPr>
            <w:tcW w:w="850" w:type="dxa"/>
            <w:vMerge w:val="restart"/>
            <w:tcBorders>
              <w:top w:val="single" w:color="auto" w:sz="4" w:space="0"/>
            </w:tcBorders>
            <w:vAlign w:val="center"/>
          </w:tcPr>
          <w:p w14:paraId="4B06C534">
            <w:pPr>
              <w:adjustRightInd w:val="0"/>
              <w:snapToGrid w:val="0"/>
              <w:jc w:val="center"/>
              <w:rPr>
                <w:rFonts w:ascii="Times New Roman" w:hAnsi="Times New Roman" w:eastAsia="宋体" w:cs="宋体"/>
                <w:color w:val="auto"/>
                <w:sz w:val="21"/>
                <w:szCs w:val="21"/>
              </w:rPr>
            </w:pPr>
            <w:r>
              <w:rPr>
                <w:rFonts w:ascii="Times New Roman" w:hAnsi="Times New Roman" w:eastAsia="宋体"/>
                <w:color w:val="auto"/>
                <w:sz w:val="21"/>
                <w:szCs w:val="21"/>
              </w:rPr>
              <w:t>危险废物</w:t>
            </w:r>
          </w:p>
        </w:tc>
        <w:tc>
          <w:tcPr>
            <w:tcW w:w="2126" w:type="dxa"/>
            <w:gridSpan w:val="2"/>
            <w:tcBorders>
              <w:top w:val="single" w:color="auto" w:sz="4" w:space="0"/>
              <w:bottom w:val="single" w:color="auto" w:sz="4" w:space="0"/>
            </w:tcBorders>
            <w:vAlign w:val="center"/>
          </w:tcPr>
          <w:p w14:paraId="21B71BB5">
            <w:pPr>
              <w:adjustRightInd w:val="0"/>
              <w:snapToGrid w:val="0"/>
              <w:jc w:val="center"/>
              <w:rPr>
                <w:rFonts w:hint="eastAsia" w:ascii="Times New Roman" w:hAnsi="Times New Roman" w:eastAsia="宋体" w:cs="宋体"/>
                <w:color w:val="auto"/>
                <w:sz w:val="21"/>
                <w:szCs w:val="21"/>
                <w:lang w:eastAsia="zh-CN"/>
              </w:rPr>
            </w:pPr>
            <w:r>
              <w:rPr>
                <w:rFonts w:hint="eastAsia"/>
                <w:color w:val="auto"/>
                <w:sz w:val="21"/>
                <w:szCs w:val="21"/>
                <w:lang w:eastAsia="zh-CN"/>
              </w:rPr>
              <w:t>废活性炭</w:t>
            </w:r>
          </w:p>
        </w:tc>
        <w:tc>
          <w:tcPr>
            <w:tcW w:w="1985" w:type="dxa"/>
            <w:vMerge w:val="restart"/>
            <w:tcBorders>
              <w:top w:val="single" w:color="auto" w:sz="4" w:space="0"/>
            </w:tcBorders>
            <w:vAlign w:val="center"/>
          </w:tcPr>
          <w:p w14:paraId="6C80A277">
            <w:pPr>
              <w:adjustRightInd w:val="0"/>
              <w:snapToGrid w:val="0"/>
              <w:spacing w:line="360" w:lineRule="auto"/>
              <w:jc w:val="center"/>
              <w:rPr>
                <w:rFonts w:ascii="Times New Roman" w:hAnsi="Times New Roman" w:eastAsia="宋体" w:cs="宋体"/>
                <w:color w:val="auto"/>
                <w:sz w:val="21"/>
                <w:szCs w:val="21"/>
              </w:rPr>
            </w:pPr>
            <w:r>
              <w:rPr>
                <w:rFonts w:ascii="Times New Roman" w:hAnsi="Times New Roman" w:eastAsia="宋体"/>
                <w:color w:val="auto"/>
                <w:sz w:val="21"/>
                <w:szCs w:val="21"/>
              </w:rPr>
              <w:t>交由具有相关危险废物经营许可证的单位处理</w:t>
            </w:r>
          </w:p>
        </w:tc>
        <w:tc>
          <w:tcPr>
            <w:tcW w:w="2868" w:type="dxa"/>
            <w:vMerge w:val="continue"/>
            <w:tcBorders>
              <w:right w:val="single" w:color="auto" w:sz="12" w:space="0"/>
            </w:tcBorders>
            <w:vAlign w:val="center"/>
          </w:tcPr>
          <w:p w14:paraId="3514CA47">
            <w:pPr>
              <w:adjustRightInd w:val="0"/>
              <w:snapToGrid w:val="0"/>
              <w:jc w:val="center"/>
              <w:rPr>
                <w:rFonts w:ascii="Times New Roman" w:hAnsi="Times New Roman" w:eastAsia="宋体" w:cs="宋体"/>
                <w:color w:val="auto"/>
                <w:sz w:val="21"/>
                <w:szCs w:val="21"/>
              </w:rPr>
            </w:pPr>
          </w:p>
        </w:tc>
      </w:tr>
      <w:tr w14:paraId="15A665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972" w:type="dxa"/>
            <w:vMerge w:val="continue"/>
            <w:tcBorders>
              <w:left w:val="single" w:color="auto" w:sz="12" w:space="0"/>
            </w:tcBorders>
            <w:vAlign w:val="center"/>
          </w:tcPr>
          <w:p w14:paraId="6D57062C">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6D5ABFDB">
            <w:pPr>
              <w:adjustRightInd w:val="0"/>
              <w:snapToGrid w:val="0"/>
              <w:jc w:val="center"/>
              <w:rPr>
                <w:rFonts w:ascii="Times New Roman" w:hAnsi="Times New Roman" w:eastAsia="宋体" w:cs="宋体"/>
                <w:color w:val="auto"/>
                <w:sz w:val="21"/>
                <w:szCs w:val="21"/>
              </w:rPr>
            </w:pPr>
          </w:p>
        </w:tc>
        <w:tc>
          <w:tcPr>
            <w:tcW w:w="2126" w:type="dxa"/>
            <w:gridSpan w:val="2"/>
            <w:tcBorders>
              <w:top w:val="single" w:color="auto" w:sz="4" w:space="0"/>
              <w:bottom w:val="single" w:color="auto" w:sz="4" w:space="0"/>
            </w:tcBorders>
            <w:vAlign w:val="center"/>
          </w:tcPr>
          <w:p w14:paraId="73F79843">
            <w:pPr>
              <w:adjustRightInd w:val="0"/>
              <w:snapToGrid w:val="0"/>
              <w:jc w:val="center"/>
              <w:rPr>
                <w:rFonts w:ascii="Times New Roman" w:hAnsi="Times New Roman" w:eastAsia="宋体"/>
                <w:color w:val="auto"/>
                <w:sz w:val="21"/>
                <w:szCs w:val="21"/>
              </w:rPr>
            </w:pPr>
            <w:r>
              <w:rPr>
                <w:rFonts w:hint="eastAsia" w:ascii="Times New Roman" w:hAnsi="Times New Roman" w:eastAsia="宋体"/>
                <w:color w:val="auto"/>
                <w:sz w:val="21"/>
                <w:szCs w:val="21"/>
              </w:rPr>
              <w:t>废润滑油及其包装物</w:t>
            </w:r>
          </w:p>
        </w:tc>
        <w:tc>
          <w:tcPr>
            <w:tcW w:w="1985" w:type="dxa"/>
            <w:vMerge w:val="continue"/>
            <w:vAlign w:val="center"/>
          </w:tcPr>
          <w:p w14:paraId="44994029">
            <w:pPr>
              <w:adjustRightInd w:val="0"/>
              <w:snapToGrid w:val="0"/>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7DE61B44">
            <w:pPr>
              <w:adjustRightInd w:val="0"/>
              <w:snapToGrid w:val="0"/>
              <w:jc w:val="center"/>
              <w:rPr>
                <w:rFonts w:ascii="Times New Roman" w:hAnsi="Times New Roman" w:eastAsia="宋体" w:cs="宋体"/>
                <w:color w:val="auto"/>
                <w:sz w:val="21"/>
                <w:szCs w:val="21"/>
              </w:rPr>
            </w:pPr>
          </w:p>
        </w:tc>
      </w:tr>
      <w:tr w14:paraId="7BA3DD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972" w:type="dxa"/>
            <w:vMerge w:val="continue"/>
            <w:tcBorders>
              <w:left w:val="single" w:color="auto" w:sz="12" w:space="0"/>
            </w:tcBorders>
            <w:vAlign w:val="center"/>
          </w:tcPr>
          <w:p w14:paraId="41D5289C">
            <w:pPr>
              <w:adjustRightInd w:val="0"/>
              <w:snapToGrid w:val="0"/>
              <w:jc w:val="center"/>
              <w:rPr>
                <w:rFonts w:ascii="Times New Roman" w:hAnsi="Times New Roman" w:eastAsia="宋体" w:cs="宋体"/>
                <w:color w:val="auto"/>
                <w:sz w:val="21"/>
                <w:szCs w:val="21"/>
              </w:rPr>
            </w:pPr>
          </w:p>
        </w:tc>
        <w:tc>
          <w:tcPr>
            <w:tcW w:w="850" w:type="dxa"/>
            <w:vMerge w:val="continue"/>
            <w:vAlign w:val="center"/>
          </w:tcPr>
          <w:p w14:paraId="42547ACE">
            <w:pPr>
              <w:adjustRightInd w:val="0"/>
              <w:snapToGrid w:val="0"/>
              <w:jc w:val="center"/>
              <w:rPr>
                <w:rFonts w:ascii="Times New Roman" w:hAnsi="Times New Roman" w:eastAsia="宋体" w:cs="宋体"/>
                <w:color w:val="auto"/>
                <w:sz w:val="21"/>
                <w:szCs w:val="21"/>
              </w:rPr>
            </w:pPr>
          </w:p>
        </w:tc>
        <w:tc>
          <w:tcPr>
            <w:tcW w:w="2126" w:type="dxa"/>
            <w:gridSpan w:val="2"/>
            <w:tcBorders>
              <w:top w:val="single" w:color="auto" w:sz="4" w:space="0"/>
              <w:bottom w:val="single" w:color="auto" w:sz="4" w:space="0"/>
            </w:tcBorders>
            <w:vAlign w:val="center"/>
          </w:tcPr>
          <w:p w14:paraId="686948AC">
            <w:pPr>
              <w:adjustRightInd w:val="0"/>
              <w:snapToGrid w:val="0"/>
              <w:jc w:val="center"/>
              <w:rPr>
                <w:rFonts w:ascii="Times New Roman" w:hAnsi="Times New Roman" w:eastAsia="宋体"/>
                <w:color w:val="auto"/>
                <w:sz w:val="21"/>
                <w:szCs w:val="21"/>
              </w:rPr>
            </w:pPr>
            <w:r>
              <w:rPr>
                <w:rFonts w:hint="eastAsia" w:ascii="Times New Roman" w:hAnsi="Times New Roman" w:eastAsia="宋体"/>
                <w:color w:val="auto"/>
                <w:sz w:val="21"/>
                <w:szCs w:val="21"/>
              </w:rPr>
              <w:t>除油废液</w:t>
            </w:r>
          </w:p>
        </w:tc>
        <w:tc>
          <w:tcPr>
            <w:tcW w:w="1985" w:type="dxa"/>
            <w:vMerge w:val="continue"/>
            <w:vAlign w:val="center"/>
          </w:tcPr>
          <w:p w14:paraId="1827112D">
            <w:pPr>
              <w:adjustRightInd w:val="0"/>
              <w:snapToGrid w:val="0"/>
              <w:jc w:val="center"/>
              <w:rPr>
                <w:rFonts w:ascii="Times New Roman" w:hAnsi="Times New Roman" w:eastAsia="宋体" w:cs="宋体"/>
                <w:color w:val="auto"/>
                <w:sz w:val="21"/>
                <w:szCs w:val="21"/>
              </w:rPr>
            </w:pPr>
          </w:p>
        </w:tc>
        <w:tc>
          <w:tcPr>
            <w:tcW w:w="2868" w:type="dxa"/>
            <w:vMerge w:val="continue"/>
            <w:tcBorders>
              <w:right w:val="single" w:color="auto" w:sz="12" w:space="0"/>
            </w:tcBorders>
            <w:vAlign w:val="center"/>
          </w:tcPr>
          <w:p w14:paraId="69126259">
            <w:pPr>
              <w:adjustRightInd w:val="0"/>
              <w:snapToGrid w:val="0"/>
              <w:jc w:val="center"/>
              <w:rPr>
                <w:rFonts w:ascii="Times New Roman" w:hAnsi="Times New Roman" w:eastAsia="宋体" w:cs="宋体"/>
                <w:color w:val="auto"/>
                <w:sz w:val="21"/>
                <w:szCs w:val="21"/>
              </w:rPr>
            </w:pPr>
          </w:p>
        </w:tc>
      </w:tr>
      <w:tr w14:paraId="575641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972" w:type="dxa"/>
            <w:vMerge w:val="continue"/>
            <w:tcBorders>
              <w:left w:val="single" w:color="auto" w:sz="12" w:space="0"/>
              <w:bottom w:val="single" w:color="auto" w:sz="4" w:space="0"/>
            </w:tcBorders>
            <w:vAlign w:val="center"/>
          </w:tcPr>
          <w:p w14:paraId="4992A6E6">
            <w:pPr>
              <w:adjustRightInd w:val="0"/>
              <w:snapToGrid w:val="0"/>
              <w:jc w:val="center"/>
              <w:rPr>
                <w:rFonts w:ascii="Times New Roman" w:hAnsi="Times New Roman" w:eastAsia="宋体" w:cs="宋体"/>
                <w:color w:val="auto"/>
                <w:sz w:val="21"/>
                <w:szCs w:val="21"/>
              </w:rPr>
            </w:pPr>
          </w:p>
        </w:tc>
        <w:tc>
          <w:tcPr>
            <w:tcW w:w="850" w:type="dxa"/>
            <w:vMerge w:val="continue"/>
            <w:tcBorders>
              <w:bottom w:val="single" w:color="auto" w:sz="4" w:space="0"/>
            </w:tcBorders>
            <w:vAlign w:val="center"/>
          </w:tcPr>
          <w:p w14:paraId="22335364">
            <w:pPr>
              <w:adjustRightInd w:val="0"/>
              <w:snapToGrid w:val="0"/>
              <w:jc w:val="center"/>
              <w:rPr>
                <w:rFonts w:ascii="Times New Roman" w:hAnsi="Times New Roman" w:eastAsia="宋体" w:cs="宋体"/>
                <w:color w:val="auto"/>
                <w:sz w:val="21"/>
                <w:szCs w:val="21"/>
              </w:rPr>
            </w:pPr>
          </w:p>
        </w:tc>
        <w:tc>
          <w:tcPr>
            <w:tcW w:w="2126" w:type="dxa"/>
            <w:gridSpan w:val="2"/>
            <w:tcBorders>
              <w:top w:val="single" w:color="auto" w:sz="4" w:space="0"/>
              <w:bottom w:val="single" w:color="auto" w:sz="4" w:space="0"/>
            </w:tcBorders>
            <w:vAlign w:val="center"/>
          </w:tcPr>
          <w:p w14:paraId="18C66F32">
            <w:pPr>
              <w:adjustRightInd w:val="0"/>
              <w:snapToGrid w:val="0"/>
              <w:jc w:val="center"/>
              <w:rPr>
                <w:rFonts w:ascii="Times New Roman" w:hAnsi="Times New Roman" w:eastAsia="宋体"/>
                <w:color w:val="auto"/>
                <w:sz w:val="21"/>
                <w:szCs w:val="21"/>
              </w:rPr>
            </w:pPr>
            <w:r>
              <w:rPr>
                <w:rFonts w:hint="eastAsia" w:ascii="Times New Roman" w:hAnsi="Times New Roman" w:eastAsia="宋体"/>
                <w:color w:val="auto"/>
                <w:sz w:val="21"/>
                <w:szCs w:val="21"/>
              </w:rPr>
              <w:t>陶化废液</w:t>
            </w:r>
          </w:p>
        </w:tc>
        <w:tc>
          <w:tcPr>
            <w:tcW w:w="1985" w:type="dxa"/>
            <w:vMerge w:val="continue"/>
            <w:tcBorders>
              <w:bottom w:val="single" w:color="auto" w:sz="4" w:space="0"/>
            </w:tcBorders>
            <w:vAlign w:val="center"/>
          </w:tcPr>
          <w:p w14:paraId="4886FE23">
            <w:pPr>
              <w:adjustRightInd w:val="0"/>
              <w:snapToGrid w:val="0"/>
              <w:jc w:val="center"/>
              <w:rPr>
                <w:rFonts w:ascii="Times New Roman" w:hAnsi="Times New Roman" w:eastAsia="宋体" w:cs="宋体"/>
                <w:color w:val="auto"/>
                <w:sz w:val="21"/>
                <w:szCs w:val="21"/>
              </w:rPr>
            </w:pPr>
          </w:p>
        </w:tc>
        <w:tc>
          <w:tcPr>
            <w:tcW w:w="2868" w:type="dxa"/>
            <w:vMerge w:val="continue"/>
            <w:tcBorders>
              <w:bottom w:val="single" w:color="auto" w:sz="4" w:space="0"/>
              <w:right w:val="single" w:color="auto" w:sz="12" w:space="0"/>
            </w:tcBorders>
            <w:vAlign w:val="center"/>
          </w:tcPr>
          <w:p w14:paraId="651338C1">
            <w:pPr>
              <w:adjustRightInd w:val="0"/>
              <w:snapToGrid w:val="0"/>
              <w:jc w:val="center"/>
              <w:rPr>
                <w:rFonts w:ascii="Times New Roman" w:hAnsi="Times New Roman" w:eastAsia="宋体" w:cs="宋体"/>
                <w:color w:val="auto"/>
                <w:sz w:val="21"/>
                <w:szCs w:val="21"/>
              </w:rPr>
            </w:pPr>
          </w:p>
        </w:tc>
      </w:tr>
      <w:tr w14:paraId="51A210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86" w:hRule="atLeast"/>
          <w:jc w:val="center"/>
        </w:trPr>
        <w:tc>
          <w:tcPr>
            <w:tcW w:w="972" w:type="dxa"/>
            <w:tcBorders>
              <w:top w:val="single" w:color="auto" w:sz="4" w:space="0"/>
              <w:left w:val="single" w:color="auto" w:sz="12" w:space="0"/>
              <w:bottom w:val="single" w:color="auto" w:sz="4" w:space="0"/>
            </w:tcBorders>
            <w:vAlign w:val="center"/>
          </w:tcPr>
          <w:p w14:paraId="41F361AF">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土壤及地下水</w:t>
            </w:r>
          </w:p>
          <w:p w14:paraId="288B430D">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污染防治措施</w:t>
            </w:r>
          </w:p>
        </w:tc>
        <w:tc>
          <w:tcPr>
            <w:tcW w:w="7829" w:type="dxa"/>
            <w:gridSpan w:val="5"/>
            <w:tcBorders>
              <w:top w:val="single" w:color="auto" w:sz="4" w:space="0"/>
              <w:bottom w:val="single" w:color="auto" w:sz="4" w:space="0"/>
              <w:right w:val="single" w:color="auto" w:sz="12" w:space="0"/>
            </w:tcBorders>
            <w:vAlign w:val="center"/>
          </w:tcPr>
          <w:p w14:paraId="5C02573B">
            <w:pPr>
              <w:keepNext w:val="0"/>
              <w:keepLines w:val="0"/>
              <w:pageBreakBefore w:val="0"/>
              <w:widowControl w:val="0"/>
              <w:kinsoku w:val="0"/>
              <w:wordWrap w:val="0"/>
              <w:overflowPunct/>
              <w:topLinePunct w:val="0"/>
              <w:autoSpaceDE/>
              <w:bidi w:val="0"/>
              <w:adjustRightInd/>
              <w:snapToGrid/>
              <w:spacing w:line="360" w:lineRule="auto"/>
              <w:ind w:left="0" w:right="0" w:firstLine="420" w:firstLineChars="200"/>
              <w:jc w:val="both"/>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①对车间内排水系统及</w:t>
            </w:r>
            <w:r>
              <w:rPr>
                <w:rFonts w:hint="eastAsia" w:ascii="Times New Roman" w:hAnsi="Times New Roman" w:eastAsia="宋体" w:cs="Times New Roman"/>
                <w:color w:val="auto"/>
                <w:sz w:val="21"/>
                <w:szCs w:val="21"/>
                <w:highlight w:val="none"/>
                <w:lang w:eastAsia="zh-CN"/>
              </w:rPr>
              <w:t>排水管道</w:t>
            </w:r>
            <w:r>
              <w:rPr>
                <w:rFonts w:hint="default" w:ascii="Times New Roman" w:hAnsi="Times New Roman" w:eastAsia="宋体" w:cs="Times New Roman"/>
                <w:color w:val="auto"/>
                <w:sz w:val="21"/>
                <w:szCs w:val="21"/>
                <w:highlight w:val="none"/>
              </w:rPr>
              <w:t>均做防渗处理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在废水</w:t>
            </w:r>
            <w:r>
              <w:rPr>
                <w:rFonts w:hint="eastAsia" w:ascii="Times New Roman" w:hAnsi="Times New Roman" w:eastAsia="宋体" w:cs="Times New Roman"/>
                <w:color w:val="auto"/>
                <w:sz w:val="21"/>
                <w:szCs w:val="21"/>
                <w:highlight w:val="none"/>
                <w:lang w:val="en-US" w:eastAsia="zh-CN"/>
              </w:rPr>
              <w:t>处理站</w:t>
            </w:r>
            <w:r>
              <w:rPr>
                <w:rFonts w:hint="default" w:ascii="Times New Roman" w:hAnsi="Times New Roman" w:eastAsia="宋体" w:cs="Times New Roman"/>
                <w:color w:val="auto"/>
                <w:sz w:val="21"/>
                <w:szCs w:val="21"/>
                <w:highlight w:val="none"/>
                <w:lang w:val="en-US" w:eastAsia="zh-CN"/>
              </w:rPr>
              <w:t>周围</w:t>
            </w:r>
            <w:r>
              <w:rPr>
                <w:rFonts w:hint="default" w:ascii="Times New Roman" w:hAnsi="Times New Roman" w:eastAsia="宋体" w:cs="Times New Roman"/>
                <w:color w:val="auto"/>
                <w:sz w:val="21"/>
                <w:szCs w:val="21"/>
                <w:highlight w:val="none"/>
              </w:rPr>
              <w:t>设置围堰</w:t>
            </w:r>
            <w:r>
              <w:rPr>
                <w:rFonts w:hint="default"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定期巡查</w:t>
            </w:r>
            <w:r>
              <w:rPr>
                <w:rFonts w:hint="eastAsia" w:ascii="Times New Roman" w:hAnsi="Times New Roman" w:eastAsia="宋体" w:cs="Times New Roman"/>
                <w:color w:val="auto"/>
                <w:sz w:val="21"/>
                <w:szCs w:val="21"/>
                <w:highlight w:val="none"/>
                <w:lang w:eastAsia="zh-CN"/>
              </w:rPr>
              <w:t>。</w:t>
            </w:r>
          </w:p>
          <w:p w14:paraId="67750A66">
            <w:pPr>
              <w:keepNext w:val="0"/>
              <w:keepLines w:val="0"/>
              <w:pageBreakBefore w:val="0"/>
              <w:widowControl w:val="0"/>
              <w:kinsoku w:val="0"/>
              <w:wordWrap w:val="0"/>
              <w:overflowPunct/>
              <w:topLinePunct w:val="0"/>
              <w:autoSpaceDE/>
              <w:bidi w:val="0"/>
              <w:adjustRightInd/>
              <w:snapToGrid/>
              <w:spacing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②项目应设置专门的危废暂存间，严格按照</w:t>
            </w:r>
            <w:r>
              <w:rPr>
                <w:rFonts w:hint="eastAsia" w:ascii="Times New Roman" w:hAnsi="Times New Roman" w:eastAsia="宋体"/>
                <w:bCs/>
                <w:color w:val="auto"/>
                <w:sz w:val="21"/>
                <w:szCs w:val="21"/>
                <w:highlight w:val="none"/>
                <w:lang w:val="en-US" w:eastAsia="zh-CN"/>
              </w:rPr>
              <w:t>《危险废物贮存污染控制标准 》（GB 18597—2023）</w:t>
            </w:r>
            <w:r>
              <w:rPr>
                <w:rFonts w:hint="default" w:ascii="Times New Roman" w:hAnsi="Times New Roman" w:eastAsia="宋体" w:cs="Times New Roman"/>
                <w:color w:val="auto"/>
                <w:sz w:val="21"/>
                <w:szCs w:val="21"/>
                <w:highlight w:val="none"/>
              </w:rPr>
              <w:t>中规定的要求，采取“防渗、防雨、防流失”等措施，设置明显的标识牌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并按照《危险废物转移联单管理办法》的有关要求规定填写</w:t>
            </w:r>
            <w:r>
              <w:rPr>
                <w:rFonts w:hint="eastAsia" w:ascii="Times New Roman" w:hAnsi="Times New Roman" w:eastAsia="宋体" w:cs="Times New Roman"/>
                <w:color w:val="auto"/>
                <w:sz w:val="21"/>
                <w:szCs w:val="21"/>
                <w:highlight w:val="none"/>
                <w:lang w:eastAsia="zh-CN"/>
              </w:rPr>
              <w:t>联</w:t>
            </w:r>
            <w:r>
              <w:rPr>
                <w:rFonts w:hint="default" w:ascii="Times New Roman" w:hAnsi="Times New Roman" w:eastAsia="宋体" w:cs="Times New Roman"/>
                <w:color w:val="auto"/>
                <w:sz w:val="21"/>
                <w:szCs w:val="21"/>
                <w:highlight w:val="none"/>
              </w:rPr>
              <w:t>单。加强</w:t>
            </w:r>
            <w:r>
              <w:rPr>
                <w:rFonts w:hint="default" w:ascii="Times New Roman" w:hAnsi="Times New Roman" w:eastAsia="宋体" w:cs="Times New Roman"/>
                <w:color w:val="auto"/>
                <w:sz w:val="21"/>
                <w:szCs w:val="21"/>
                <w:highlight w:val="none"/>
                <w:lang w:val="en-US" w:eastAsia="zh-CN"/>
              </w:rPr>
              <w:t>危废</w:t>
            </w:r>
            <w:r>
              <w:rPr>
                <w:rFonts w:hint="default" w:ascii="Times New Roman" w:hAnsi="Times New Roman" w:eastAsia="宋体" w:cs="Times New Roman"/>
                <w:color w:val="auto"/>
                <w:sz w:val="21"/>
                <w:szCs w:val="21"/>
                <w:highlight w:val="none"/>
              </w:rPr>
              <w:t>管理，并做好存放场所的防渗透和泄漏措施，严禁随意倾倒和混入生活垃圾中，避免污染周边环境</w:t>
            </w:r>
            <w:r>
              <w:rPr>
                <w:rFonts w:hint="eastAsia" w:ascii="Times New Roman" w:hAnsi="Times New Roman" w:eastAsia="宋体" w:cs="Times New Roman"/>
                <w:color w:val="auto"/>
                <w:sz w:val="21"/>
                <w:szCs w:val="21"/>
                <w:highlight w:val="none"/>
                <w:lang w:eastAsia="zh-CN"/>
              </w:rPr>
              <w:t>。</w:t>
            </w:r>
          </w:p>
          <w:p w14:paraId="772A89FB">
            <w:pPr>
              <w:adjustRightInd w:val="0"/>
              <w:snapToGrid w:val="0"/>
              <w:spacing w:line="360" w:lineRule="auto"/>
              <w:jc w:val="left"/>
              <w:rPr>
                <w:rFonts w:ascii="Times New Roman" w:hAnsi="Times New Roman" w:eastAsia="宋体" w:cs="宋体"/>
                <w:bCs/>
                <w:color w:val="auto"/>
                <w:spacing w:val="6"/>
                <w:sz w:val="21"/>
                <w:szCs w:val="21"/>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3 \* GB3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③</w:t>
            </w:r>
            <w:r>
              <w:rPr>
                <w:rFonts w:hint="default" w:ascii="Times New Roman" w:hAnsi="Times New Roman" w:eastAsia="宋体" w:cs="Times New Roman"/>
                <w:color w:val="auto"/>
                <w:sz w:val="21"/>
                <w:szCs w:val="21"/>
                <w:highlight w:val="none"/>
              </w:rPr>
              <w:fldChar w:fldCharType="end"/>
            </w:r>
            <w:r>
              <w:rPr>
                <w:rFonts w:hint="eastAsia" w:ascii="Times New Roman" w:hAnsi="Times New Roman" w:eastAsia="宋体" w:cs="宋体"/>
                <w:color w:val="auto"/>
                <w:sz w:val="21"/>
                <w:szCs w:val="21"/>
                <w:highlight w:val="none"/>
                <w:lang w:val="en-US" w:eastAsia="zh-CN"/>
              </w:rPr>
              <w:t>危废暂存区、生产废水处理站、化学品储存场所、生产车间采取严格的分区防腐防渗措施；</w:t>
            </w:r>
            <w:r>
              <w:rPr>
                <w:rFonts w:hint="default" w:ascii="Times New Roman" w:hAnsi="Times New Roman" w:eastAsia="宋体" w:cs="Times New Roman"/>
                <w:color w:val="auto"/>
                <w:sz w:val="21"/>
                <w:szCs w:val="21"/>
                <w:highlight w:val="none"/>
              </w:rPr>
              <w:t>各类污染物均采取了对应的污染治理措施，确保污染物的达标排放</w:t>
            </w:r>
            <w:r>
              <w:rPr>
                <w:rFonts w:hint="eastAsia" w:ascii="Times New Roman" w:hAnsi="Times New Roman" w:eastAsia="宋体" w:cs="Times New Roman"/>
                <w:color w:val="auto"/>
                <w:sz w:val="21"/>
                <w:szCs w:val="21"/>
                <w:highlight w:val="none"/>
                <w:lang w:eastAsia="zh-CN"/>
              </w:rPr>
              <w:t>；</w:t>
            </w:r>
          </w:p>
        </w:tc>
      </w:tr>
      <w:tr w14:paraId="27598C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972" w:type="dxa"/>
            <w:tcBorders>
              <w:top w:val="single" w:color="auto" w:sz="4" w:space="0"/>
              <w:left w:val="single" w:color="auto" w:sz="12" w:space="0"/>
              <w:bottom w:val="single" w:color="auto" w:sz="4" w:space="0"/>
            </w:tcBorders>
            <w:vAlign w:val="center"/>
          </w:tcPr>
          <w:p w14:paraId="7B61B9BF">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生</w:t>
            </w:r>
            <w:r>
              <w:rPr>
                <w:rFonts w:hint="eastAsia" w:cs="宋体"/>
                <w:color w:val="auto"/>
                <w:sz w:val="21"/>
                <w:szCs w:val="21"/>
                <w:lang w:eastAsia="zh-CN"/>
              </w:rPr>
              <w:t>态保</w:t>
            </w:r>
            <w:r>
              <w:rPr>
                <w:rFonts w:hint="eastAsia" w:ascii="Times New Roman" w:hAnsi="Times New Roman" w:eastAsia="宋体" w:cs="宋体"/>
                <w:color w:val="auto"/>
                <w:sz w:val="21"/>
                <w:szCs w:val="21"/>
              </w:rPr>
              <w:t>护措施</w:t>
            </w:r>
          </w:p>
        </w:tc>
        <w:tc>
          <w:tcPr>
            <w:tcW w:w="7829" w:type="dxa"/>
            <w:gridSpan w:val="5"/>
            <w:tcBorders>
              <w:top w:val="single" w:color="auto" w:sz="4" w:space="0"/>
              <w:bottom w:val="single" w:color="auto" w:sz="4" w:space="0"/>
              <w:right w:val="single" w:color="auto" w:sz="12" w:space="0"/>
            </w:tcBorders>
            <w:vAlign w:val="center"/>
          </w:tcPr>
          <w:p w14:paraId="710B10DA">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w:t>
            </w:r>
          </w:p>
        </w:tc>
      </w:tr>
      <w:tr w14:paraId="31D012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83" w:hRule="atLeast"/>
          <w:jc w:val="center"/>
        </w:trPr>
        <w:tc>
          <w:tcPr>
            <w:tcW w:w="972" w:type="dxa"/>
            <w:tcBorders>
              <w:top w:val="single" w:color="auto" w:sz="4" w:space="0"/>
              <w:left w:val="single" w:color="auto" w:sz="12" w:space="0"/>
              <w:bottom w:val="single" w:color="auto" w:sz="4" w:space="0"/>
            </w:tcBorders>
            <w:vAlign w:val="center"/>
          </w:tcPr>
          <w:p w14:paraId="186307D9">
            <w:pPr>
              <w:adjustRightInd w:val="0"/>
              <w:snapToGrid w:val="0"/>
              <w:jc w:val="center"/>
              <w:rPr>
                <w:rFonts w:ascii="Times New Roman" w:hAnsi="Times New Roman" w:eastAsia="宋体" w:cs="宋体"/>
                <w:color w:val="auto"/>
                <w:spacing w:val="-8"/>
                <w:sz w:val="21"/>
                <w:szCs w:val="21"/>
              </w:rPr>
            </w:pPr>
            <w:r>
              <w:rPr>
                <w:rFonts w:hint="eastAsia" w:ascii="Times New Roman" w:hAnsi="Times New Roman" w:eastAsia="宋体" w:cs="宋体"/>
                <w:color w:val="auto"/>
                <w:spacing w:val="-8"/>
                <w:sz w:val="21"/>
                <w:szCs w:val="21"/>
              </w:rPr>
              <w:t>环境风险防范措施</w:t>
            </w:r>
          </w:p>
        </w:tc>
        <w:tc>
          <w:tcPr>
            <w:tcW w:w="7829" w:type="dxa"/>
            <w:gridSpan w:val="5"/>
            <w:tcBorders>
              <w:top w:val="single" w:color="auto" w:sz="4" w:space="0"/>
              <w:bottom w:val="single" w:color="auto" w:sz="4" w:space="0"/>
              <w:right w:val="single" w:color="auto" w:sz="12" w:space="0"/>
            </w:tcBorders>
            <w:vAlign w:val="center"/>
          </w:tcPr>
          <w:p w14:paraId="06A51732">
            <w:pPr>
              <w:pStyle w:val="191"/>
              <w:keepNext w:val="0"/>
              <w:keepLines w:val="0"/>
              <w:pageBreakBefore w:val="0"/>
              <w:widowControl w:val="0"/>
              <w:kinsoku w:val="0"/>
              <w:wordWrap w:val="0"/>
              <w:overflowPunct/>
              <w:topLinePunct w:val="0"/>
              <w:autoSpaceDE/>
              <w:bidi w:val="0"/>
              <w:adjustRightInd/>
              <w:snapToGrid/>
              <w:spacing w:line="360" w:lineRule="auto"/>
              <w:ind w:left="0" w:right="0" w:firstLine="430"/>
              <w:jc w:val="both"/>
              <w:textAlignment w:val="auto"/>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①配备消防栓和消防灭火器材等灭火装置，预留安全疏散通道，对电路定期检查，严格控制用电负荷，并严格监督执行，以杜</w:t>
            </w:r>
            <w:r>
              <w:rPr>
                <w:rFonts w:ascii="Times New Roman" w:hAnsi="Times New Roman" w:eastAsia="宋体"/>
                <w:color w:val="auto"/>
                <w:spacing w:val="-1"/>
                <w:sz w:val="21"/>
                <w:szCs w:val="21"/>
                <w:highlight w:val="none"/>
              </w:rPr>
              <w:t>绝火灾隐患。</w:t>
            </w:r>
          </w:p>
          <w:p w14:paraId="2AF13540">
            <w:pPr>
              <w:pStyle w:val="191"/>
              <w:keepNext w:val="0"/>
              <w:keepLines w:val="0"/>
              <w:pageBreakBefore w:val="0"/>
              <w:widowControl w:val="0"/>
              <w:kinsoku w:val="0"/>
              <w:wordWrap w:val="0"/>
              <w:overflowPunct/>
              <w:topLinePunct w:val="0"/>
              <w:autoSpaceDE/>
              <w:bidi w:val="0"/>
              <w:adjustRightInd/>
              <w:snapToGrid/>
              <w:spacing w:line="360" w:lineRule="auto"/>
              <w:ind w:left="0" w:right="0" w:firstLine="423"/>
              <w:jc w:val="both"/>
              <w:textAlignment w:val="auto"/>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②化学品仓库、危险废物暂存仓、废水暂存区设置围堰、标识牌，做到防淋、</w:t>
            </w:r>
            <w:r>
              <w:rPr>
                <w:rFonts w:ascii="Times New Roman" w:hAnsi="Times New Roman" w:eastAsia="宋体"/>
                <w:color w:val="auto"/>
                <w:spacing w:val="-3"/>
                <w:sz w:val="21"/>
                <w:szCs w:val="21"/>
                <w:highlight w:val="none"/>
              </w:rPr>
              <w:t>防渗、防泄漏，防止泄漏下渗污染土壤、地下水</w:t>
            </w:r>
            <w:r>
              <w:rPr>
                <w:rFonts w:ascii="Times New Roman" w:hAnsi="Times New Roman" w:eastAsia="宋体"/>
                <w:color w:val="auto"/>
                <w:spacing w:val="-4"/>
                <w:sz w:val="21"/>
                <w:szCs w:val="21"/>
                <w:highlight w:val="none"/>
              </w:rPr>
              <w:t>环境。</w:t>
            </w:r>
          </w:p>
          <w:p w14:paraId="0504D453">
            <w:pPr>
              <w:pStyle w:val="191"/>
              <w:keepNext w:val="0"/>
              <w:keepLines w:val="0"/>
              <w:pageBreakBefore w:val="0"/>
              <w:widowControl w:val="0"/>
              <w:kinsoku w:val="0"/>
              <w:wordWrap w:val="0"/>
              <w:overflowPunct/>
              <w:topLinePunct w:val="0"/>
              <w:autoSpaceDE/>
              <w:bidi w:val="0"/>
              <w:adjustRightInd/>
              <w:snapToGrid/>
              <w:spacing w:line="360" w:lineRule="auto"/>
              <w:ind w:left="0" w:right="0" w:firstLine="449"/>
              <w:jc w:val="both"/>
              <w:textAlignment w:val="auto"/>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③加强</w:t>
            </w:r>
            <w:r>
              <w:rPr>
                <w:rFonts w:hint="eastAsia" w:ascii="Times New Roman" w:hAnsi="Times New Roman"/>
                <w:color w:val="auto"/>
                <w:sz w:val="21"/>
                <w:szCs w:val="21"/>
                <w:highlight w:val="none"/>
                <w:lang w:val="en-US" w:eastAsia="zh-CN"/>
              </w:rPr>
              <w:t>液化石油</w:t>
            </w:r>
            <w:r>
              <w:rPr>
                <w:rFonts w:ascii="Times New Roman" w:hAnsi="Times New Roman" w:eastAsia="宋体"/>
                <w:color w:val="auto"/>
                <w:sz w:val="21"/>
                <w:szCs w:val="21"/>
                <w:highlight w:val="none"/>
              </w:rPr>
              <w:t>气</w:t>
            </w:r>
            <w:r>
              <w:rPr>
                <w:rFonts w:ascii="Times New Roman" w:hAnsi="Times New Roman" w:eastAsia="宋体"/>
                <w:color w:val="auto"/>
                <w:sz w:val="21"/>
                <w:szCs w:val="21"/>
                <w:highlight w:val="none"/>
              </w:rPr>
              <w:t>管道的日常巡查，确保输</w:t>
            </w:r>
            <w:r>
              <w:rPr>
                <w:rFonts w:ascii="Times New Roman" w:hAnsi="Times New Roman" w:eastAsia="宋体"/>
                <w:color w:val="auto"/>
                <w:spacing w:val="-1"/>
                <w:sz w:val="21"/>
                <w:szCs w:val="21"/>
                <w:highlight w:val="none"/>
              </w:rPr>
              <w:t>送不发生腐蚀性泄</w:t>
            </w:r>
            <w:r>
              <w:rPr>
                <w:rFonts w:ascii="Times New Roman" w:hAnsi="Times New Roman" w:eastAsia="宋体"/>
                <w:color w:val="auto"/>
                <w:spacing w:val="1"/>
                <w:sz w:val="21"/>
                <w:szCs w:val="21"/>
                <w:highlight w:val="none"/>
              </w:rPr>
              <w:t>漏。特别是对两节管道之间的接头检查，防止</w:t>
            </w:r>
            <w:r>
              <w:rPr>
                <w:rFonts w:hint="eastAsia" w:ascii="Times New Roman" w:hAnsi="Times New Roman"/>
                <w:color w:val="auto"/>
                <w:spacing w:val="1"/>
                <w:sz w:val="21"/>
                <w:szCs w:val="21"/>
                <w:highlight w:val="none"/>
                <w:lang w:val="en-US" w:eastAsia="zh-CN"/>
              </w:rPr>
              <w:t>液化石油</w:t>
            </w:r>
            <w:r>
              <w:rPr>
                <w:rFonts w:ascii="Times New Roman" w:hAnsi="Times New Roman" w:eastAsia="宋体"/>
                <w:color w:val="auto"/>
                <w:spacing w:val="1"/>
                <w:sz w:val="21"/>
                <w:szCs w:val="21"/>
                <w:highlight w:val="none"/>
              </w:rPr>
              <w:t>气</w:t>
            </w:r>
            <w:r>
              <w:rPr>
                <w:rFonts w:ascii="Times New Roman" w:hAnsi="Times New Roman" w:eastAsia="宋体"/>
                <w:color w:val="auto"/>
                <w:spacing w:val="1"/>
                <w:sz w:val="21"/>
                <w:szCs w:val="21"/>
                <w:highlight w:val="none"/>
              </w:rPr>
              <w:t>在输送</w:t>
            </w:r>
            <w:r>
              <w:rPr>
                <w:rFonts w:ascii="Times New Roman" w:hAnsi="Times New Roman" w:eastAsia="宋体"/>
                <w:color w:val="auto"/>
                <w:sz w:val="21"/>
                <w:szCs w:val="21"/>
                <w:highlight w:val="none"/>
              </w:rPr>
              <w:t>过程中</w:t>
            </w:r>
            <w:r>
              <w:rPr>
                <w:rFonts w:ascii="Times New Roman" w:hAnsi="Times New Roman" w:eastAsia="宋体"/>
                <w:color w:val="auto"/>
                <w:spacing w:val="1"/>
                <w:sz w:val="21"/>
                <w:szCs w:val="21"/>
                <w:highlight w:val="none"/>
              </w:rPr>
              <w:t>泄漏。优选阀门位置，以便事故发生后尽快截</w:t>
            </w:r>
            <w:r>
              <w:rPr>
                <w:rFonts w:ascii="Times New Roman" w:hAnsi="Times New Roman" w:eastAsia="宋体"/>
                <w:color w:val="auto"/>
                <w:sz w:val="21"/>
                <w:szCs w:val="21"/>
                <w:highlight w:val="none"/>
              </w:rPr>
              <w:t>断危险源。管道防腐采用可靠的涂</w:t>
            </w:r>
            <w:r>
              <w:rPr>
                <w:rFonts w:ascii="Times New Roman" w:hAnsi="Times New Roman" w:eastAsia="宋体"/>
                <w:color w:val="auto"/>
                <w:spacing w:val="-1"/>
                <w:sz w:val="21"/>
                <w:szCs w:val="21"/>
                <w:highlight w:val="none"/>
              </w:rPr>
              <w:t>层和保护层。加强地面管线防护，设置警戒标志。</w:t>
            </w:r>
          </w:p>
          <w:p w14:paraId="533B0C12">
            <w:pPr>
              <w:adjustRightInd w:val="0"/>
              <w:snapToGrid w:val="0"/>
              <w:spacing w:line="360" w:lineRule="auto"/>
              <w:ind w:firstLine="420" w:firstLineChars="200"/>
              <w:jc w:val="left"/>
              <w:rPr>
                <w:rFonts w:ascii="Times New Roman" w:hAnsi="Times New Roman" w:eastAsia="宋体" w:cs="宋体"/>
                <w:color w:val="auto"/>
                <w:sz w:val="21"/>
                <w:szCs w:val="21"/>
              </w:rPr>
            </w:pPr>
            <w:r>
              <w:rPr>
                <w:rFonts w:ascii="Times New Roman" w:hAnsi="Times New Roman" w:eastAsia="宋体"/>
                <w:color w:val="auto"/>
                <w:sz w:val="21"/>
                <w:szCs w:val="21"/>
                <w:highlight w:val="none"/>
              </w:rPr>
              <w:t>④加强生产车间的管理。车间门口设置缓坡，预备沙包，如若</w:t>
            </w:r>
            <w:r>
              <w:rPr>
                <w:rFonts w:ascii="Times New Roman" w:hAnsi="Times New Roman" w:eastAsia="宋体"/>
                <w:color w:val="auto"/>
                <w:spacing w:val="-1"/>
                <w:sz w:val="21"/>
                <w:szCs w:val="21"/>
                <w:highlight w:val="none"/>
              </w:rPr>
              <w:t>发生火灾事故，尽可能将消防废水控制在车间内。</w:t>
            </w:r>
          </w:p>
        </w:tc>
      </w:tr>
      <w:tr w14:paraId="3B0E93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7" w:hRule="atLeast"/>
          <w:jc w:val="center"/>
        </w:trPr>
        <w:tc>
          <w:tcPr>
            <w:tcW w:w="972" w:type="dxa"/>
            <w:tcBorders>
              <w:top w:val="single" w:color="auto" w:sz="4" w:space="0"/>
              <w:left w:val="single" w:color="auto" w:sz="12" w:space="0"/>
              <w:bottom w:val="single" w:color="auto" w:sz="12" w:space="0"/>
            </w:tcBorders>
            <w:vAlign w:val="center"/>
          </w:tcPr>
          <w:p w14:paraId="167FF0A4">
            <w:pPr>
              <w:adjustRightInd w:val="0"/>
              <w:snapToGrid w:val="0"/>
              <w:jc w:val="center"/>
              <w:rPr>
                <w:rFonts w:ascii="Times New Roman" w:hAnsi="Times New Roman" w:eastAsia="宋体" w:cs="宋体"/>
                <w:color w:val="auto"/>
                <w:spacing w:val="-8"/>
                <w:sz w:val="21"/>
                <w:szCs w:val="21"/>
              </w:rPr>
            </w:pPr>
            <w:r>
              <w:rPr>
                <w:rFonts w:hint="eastAsia" w:ascii="Times New Roman" w:hAnsi="Times New Roman" w:eastAsia="宋体" w:cs="宋体"/>
                <w:color w:val="auto"/>
                <w:spacing w:val="-8"/>
                <w:sz w:val="21"/>
                <w:szCs w:val="21"/>
              </w:rPr>
              <w:t>其他环境管理要求</w:t>
            </w:r>
          </w:p>
        </w:tc>
        <w:tc>
          <w:tcPr>
            <w:tcW w:w="7829" w:type="dxa"/>
            <w:gridSpan w:val="5"/>
            <w:tcBorders>
              <w:top w:val="single" w:color="auto" w:sz="4" w:space="0"/>
              <w:bottom w:val="single" w:color="auto" w:sz="12" w:space="0"/>
              <w:right w:val="single" w:color="auto" w:sz="12" w:space="0"/>
            </w:tcBorders>
            <w:vAlign w:val="center"/>
          </w:tcPr>
          <w:p w14:paraId="29AA2475">
            <w:pPr>
              <w:adjustRightInd w:val="0"/>
              <w:snapToGrid w:val="0"/>
              <w:jc w:val="center"/>
              <w:rPr>
                <w:rFonts w:ascii="Times New Roman" w:hAnsi="Times New Roman" w:eastAsia="宋体" w:cs="宋体"/>
                <w:color w:val="auto"/>
                <w:sz w:val="21"/>
                <w:szCs w:val="21"/>
              </w:rPr>
            </w:pPr>
            <w:r>
              <w:rPr>
                <w:rFonts w:hint="eastAsia" w:ascii="Times New Roman" w:hAnsi="Times New Roman" w:eastAsia="宋体" w:cs="宋体"/>
                <w:color w:val="auto"/>
                <w:sz w:val="21"/>
                <w:szCs w:val="21"/>
              </w:rPr>
              <w:t>/</w:t>
            </w:r>
          </w:p>
        </w:tc>
      </w:tr>
    </w:tbl>
    <w:p w14:paraId="57DDE54E">
      <w:pPr>
        <w:pStyle w:val="31"/>
        <w:rPr>
          <w:color w:val="auto"/>
          <w:sz w:val="21"/>
          <w:szCs w:val="21"/>
        </w:rPr>
      </w:pPr>
      <w:r>
        <w:rPr>
          <w:snapToGrid w:val="0"/>
          <w:color w:val="auto"/>
          <w:sz w:val="21"/>
          <w:szCs w:val="21"/>
        </w:rPr>
        <w:br w:type="page"/>
      </w:r>
      <w:bookmarkStart w:id="16" w:name="_Toc72508648"/>
      <w:r>
        <w:rPr>
          <w:rFonts w:hint="eastAsia"/>
          <w:color w:val="auto"/>
          <w:sz w:val="30"/>
          <w:szCs w:val="30"/>
        </w:rPr>
        <w:t>六、结论</w:t>
      </w:r>
      <w:bookmarkEnd w:id="16"/>
    </w:p>
    <w:tbl>
      <w:tblPr>
        <w:tblStyle w:val="3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50BE4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4AAEAEB5">
            <w:pPr>
              <w:wordWrap w:val="0"/>
              <w:spacing w:line="360" w:lineRule="auto"/>
              <w:ind w:firstLine="420" w:firstLineChars="200"/>
              <w:jc w:val="center"/>
              <w:rPr>
                <w:color w:val="auto"/>
                <w:szCs w:val="21"/>
              </w:rPr>
            </w:pPr>
            <w:r>
              <w:rPr>
                <w:color w:val="auto"/>
                <w:szCs w:val="21"/>
              </w:rPr>
              <w:t>综上所述，</w:t>
            </w:r>
            <w:r>
              <w:rPr>
                <w:rFonts w:hint="eastAsia"/>
                <w:color w:val="auto"/>
                <w:szCs w:val="21"/>
              </w:rPr>
              <w:t>中山市南朗镇卓登五金加工厂新建项目</w:t>
            </w:r>
            <w:r>
              <w:rPr>
                <w:color w:val="auto"/>
                <w:szCs w:val="21"/>
              </w:rPr>
              <w:t>位于</w:t>
            </w:r>
            <w:r>
              <w:rPr>
                <w:rFonts w:hint="eastAsia"/>
                <w:color w:val="auto"/>
                <w:szCs w:val="21"/>
              </w:rPr>
              <w:t xml:space="preserve">中山市南朗镇第一工业区龙基路南燕玻璃马赛克有限公司6#厂房(原玻璃车间) </w:t>
            </w:r>
            <w:r>
              <w:rPr>
                <w:color w:val="auto"/>
                <w:szCs w:val="21"/>
              </w:rPr>
              <w:t>，所属行业为允许发展类，符合产业政策及镇区的总体规划，地理位置和开发建设条件优越，交通便利，不占用基本农田保护区、水源保护区等其它用途的用地，项目也不位于水源保护区、名胜风景区和农田保护区。其经营的范围符合国家的产业政策。项目按评价要求落实污染防治措施，可实现污染物达标排放和总控要求，对环境的影响在可接受水平内。从环境保护角度分析，本项目是可行的。</w:t>
            </w:r>
          </w:p>
        </w:tc>
      </w:tr>
    </w:tbl>
    <w:p w14:paraId="3416A291">
      <w:pPr>
        <w:rPr>
          <w:rFonts w:ascii="宋体"/>
          <w:color w:val="auto"/>
          <w:szCs w:val="21"/>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290CFFE">
      <w:pPr>
        <w:pStyle w:val="31"/>
        <w:rPr>
          <w:snapToGrid w:val="0"/>
          <w:color w:val="auto"/>
          <w:sz w:val="40"/>
          <w:szCs w:val="40"/>
        </w:rPr>
      </w:pPr>
      <w:bookmarkStart w:id="17" w:name="_Toc72508650"/>
      <w:r>
        <w:rPr>
          <w:rFonts w:hint="eastAsia"/>
          <w:snapToGrid w:val="0"/>
          <w:color w:val="auto"/>
          <w:sz w:val="40"/>
          <w:szCs w:val="40"/>
        </w:rPr>
        <w:t>建设项目污染物排放量汇总表</w:t>
      </w:r>
      <w:bookmarkEnd w:id="17"/>
    </w:p>
    <w:tbl>
      <w:tblPr>
        <w:tblStyle w:val="35"/>
        <w:tblW w:w="13637"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1432"/>
        <w:gridCol w:w="1170"/>
        <w:gridCol w:w="1610"/>
        <w:gridCol w:w="1463"/>
        <w:gridCol w:w="2049"/>
        <w:gridCol w:w="1463"/>
        <w:gridCol w:w="1902"/>
        <w:gridCol w:w="1463"/>
      </w:tblGrid>
      <w:tr w14:paraId="6E659B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trPr>
        <w:tc>
          <w:tcPr>
            <w:tcW w:w="1085" w:type="dxa"/>
            <w:tcBorders>
              <w:tl2br w:val="single" w:color="auto" w:sz="4" w:space="0"/>
            </w:tcBorders>
            <w:tcMar>
              <w:left w:w="28" w:type="dxa"/>
              <w:right w:w="28" w:type="dxa"/>
            </w:tcMar>
            <w:vAlign w:val="center"/>
          </w:tcPr>
          <w:p w14:paraId="5CB244CC">
            <w:pPr>
              <w:pStyle w:val="163"/>
              <w:keepNext w:val="0"/>
              <w:keepLines w:val="0"/>
              <w:pageBreakBefore w:val="0"/>
              <w:widowControl w:val="0"/>
              <w:kinsoku/>
              <w:wordWrap/>
              <w:overflowPunct/>
              <w:topLinePunct w:val="0"/>
              <w:autoSpaceDE/>
              <w:autoSpaceDN/>
              <w:bidi w:val="0"/>
              <w:adjustRightInd w:val="0"/>
              <w:snapToGrid w:val="0"/>
              <w:spacing w:beforeLines="0" w:afterLines="0" w:line="240" w:lineRule="auto"/>
              <w:ind w:right="0"/>
              <w:textAlignment w:val="auto"/>
              <w:rPr>
                <w:rFonts w:ascii="Times New Roman" w:hAnsi="Times New Roman" w:eastAsia="宋体" w:cs="宋体"/>
                <w:snapToGrid w:val="0"/>
                <w:color w:val="auto"/>
                <w:spacing w:val="-6"/>
                <w:kern w:val="21"/>
                <w:sz w:val="21"/>
                <w:szCs w:val="21"/>
              </w:rPr>
            </w:pPr>
            <w:r>
              <w:rPr>
                <w:rFonts w:hint="eastAsia" w:ascii="Times New Roman" w:hAnsi="Times New Roman" w:eastAsia="宋体" w:cs="宋体"/>
                <w:snapToGrid w:val="0"/>
                <w:color w:val="auto"/>
                <w:spacing w:val="-6"/>
                <w:kern w:val="21"/>
                <w:sz w:val="21"/>
                <w:szCs w:val="21"/>
                <w:lang w:val="en-US" w:eastAsia="zh-CN"/>
              </w:rPr>
              <w:t xml:space="preserve">  项</w:t>
            </w:r>
            <w:r>
              <w:rPr>
                <w:rFonts w:hint="eastAsia" w:ascii="Times New Roman" w:hAnsi="Times New Roman" w:eastAsia="宋体" w:cs="宋体"/>
                <w:snapToGrid w:val="0"/>
                <w:color w:val="auto"/>
                <w:spacing w:val="-6"/>
                <w:kern w:val="21"/>
                <w:sz w:val="21"/>
                <w:szCs w:val="21"/>
              </w:rPr>
              <w:t>目</w:t>
            </w:r>
          </w:p>
          <w:p w14:paraId="52731EDC">
            <w:pPr>
              <w:pStyle w:val="163"/>
              <w:keepNext w:val="0"/>
              <w:keepLines w:val="0"/>
              <w:pageBreakBefore w:val="0"/>
              <w:widowControl w:val="0"/>
              <w:kinsoku/>
              <w:wordWrap/>
              <w:overflowPunct/>
              <w:topLinePunct w:val="0"/>
              <w:autoSpaceDE/>
              <w:autoSpaceDN/>
              <w:bidi w:val="0"/>
              <w:adjustRightInd w:val="0"/>
              <w:snapToGrid w:val="0"/>
              <w:spacing w:beforeLines="0" w:afterLines="0" w:line="240" w:lineRule="auto"/>
              <w:ind w:right="0"/>
              <w:textAlignment w:val="auto"/>
              <w:rPr>
                <w:rFonts w:hint="eastAsia" w:ascii="Times New Roman" w:hAnsi="Times New Roman" w:eastAsia="宋体" w:cs="宋体"/>
                <w:snapToGrid w:val="0"/>
                <w:color w:val="auto"/>
                <w:spacing w:val="-6"/>
                <w:kern w:val="21"/>
                <w:sz w:val="21"/>
                <w:szCs w:val="21"/>
              </w:rPr>
            </w:pPr>
          </w:p>
          <w:p w14:paraId="2382B59E">
            <w:pPr>
              <w:pStyle w:val="163"/>
              <w:keepNext w:val="0"/>
              <w:keepLines w:val="0"/>
              <w:pageBreakBefore w:val="0"/>
              <w:widowControl w:val="0"/>
              <w:kinsoku/>
              <w:wordWrap/>
              <w:overflowPunct/>
              <w:topLinePunct w:val="0"/>
              <w:autoSpaceDE/>
              <w:autoSpaceDN/>
              <w:bidi w:val="0"/>
              <w:adjustRightInd w:val="0"/>
              <w:snapToGrid w:val="0"/>
              <w:spacing w:beforeLines="0" w:afterLines="0" w:line="240" w:lineRule="auto"/>
              <w:ind w:right="0"/>
              <w:jc w:val="both"/>
              <w:textAlignment w:val="auto"/>
              <w:rPr>
                <w:rFonts w:ascii="Times New Roman" w:hAnsi="Times New Roman" w:eastAsia="宋体" w:cs="宋体"/>
                <w:snapToGrid w:val="0"/>
                <w:color w:val="auto"/>
                <w:spacing w:val="-6"/>
                <w:kern w:val="21"/>
                <w:sz w:val="21"/>
                <w:szCs w:val="21"/>
              </w:rPr>
            </w:pPr>
            <w:r>
              <w:rPr>
                <w:rFonts w:hint="eastAsia" w:ascii="Times New Roman" w:hAnsi="Times New Roman" w:eastAsia="宋体" w:cs="宋体"/>
                <w:snapToGrid w:val="0"/>
                <w:color w:val="auto"/>
                <w:spacing w:val="-6"/>
                <w:kern w:val="21"/>
                <w:sz w:val="21"/>
                <w:szCs w:val="21"/>
              </w:rPr>
              <w:t>分类</w:t>
            </w:r>
          </w:p>
        </w:tc>
        <w:tc>
          <w:tcPr>
            <w:tcW w:w="1432" w:type="dxa"/>
            <w:vAlign w:val="center"/>
          </w:tcPr>
          <w:p w14:paraId="2CF18843">
            <w:pPr>
              <w:pStyle w:val="163"/>
              <w:spacing w:beforeLines="0" w:afterLines="0" w:line="240" w:lineRule="auto"/>
              <w:rPr>
                <w:rFonts w:hint="eastAsia" w:ascii="Times New Roman" w:hAnsi="Times New Roman" w:eastAsia="宋体"/>
                <w:snapToGrid w:val="0"/>
                <w:color w:val="auto"/>
                <w:spacing w:val="-6"/>
                <w:kern w:val="21"/>
                <w:sz w:val="21"/>
                <w:szCs w:val="21"/>
                <w:lang w:eastAsia="zh-CN"/>
              </w:rPr>
            </w:pPr>
            <w:r>
              <w:rPr>
                <w:rFonts w:ascii="Times New Roman" w:hAnsi="Times New Roman" w:eastAsia="宋体"/>
                <w:snapToGrid w:val="0"/>
                <w:color w:val="auto"/>
                <w:spacing w:val="-6"/>
                <w:kern w:val="21"/>
                <w:sz w:val="21"/>
                <w:szCs w:val="21"/>
              </w:rPr>
              <w:t>污染物</w:t>
            </w:r>
            <w:r>
              <w:rPr>
                <w:rFonts w:hint="eastAsia" w:ascii="Times New Roman"/>
                <w:snapToGrid w:val="0"/>
                <w:color w:val="auto"/>
                <w:spacing w:val="-6"/>
                <w:kern w:val="21"/>
                <w:sz w:val="21"/>
                <w:szCs w:val="21"/>
                <w:lang w:val="en-US" w:eastAsia="zh-CN"/>
              </w:rPr>
              <w:t>名称</w:t>
            </w:r>
          </w:p>
        </w:tc>
        <w:tc>
          <w:tcPr>
            <w:tcW w:w="1170" w:type="dxa"/>
            <w:tcMar>
              <w:left w:w="28" w:type="dxa"/>
              <w:right w:w="28" w:type="dxa"/>
            </w:tcMar>
            <w:vAlign w:val="center"/>
          </w:tcPr>
          <w:p w14:paraId="69BA6321">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现有工程</w:t>
            </w:r>
          </w:p>
          <w:p w14:paraId="72A68343">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排放量（固</w:t>
            </w:r>
            <w:r>
              <w:rPr>
                <w:rFonts w:hint="eastAsia" w:ascii="Times New Roman" w:hAnsi="Times New Roman" w:eastAsia="宋体"/>
                <w:snapToGrid w:val="0"/>
                <w:color w:val="auto"/>
                <w:spacing w:val="-6"/>
                <w:kern w:val="21"/>
                <w:sz w:val="21"/>
                <w:szCs w:val="21"/>
              </w:rPr>
              <w:t>体</w:t>
            </w:r>
            <w:r>
              <w:rPr>
                <w:rFonts w:ascii="Times New Roman" w:hAnsi="Times New Roman" w:eastAsia="宋体"/>
                <w:snapToGrid w:val="0"/>
                <w:color w:val="auto"/>
                <w:spacing w:val="-6"/>
                <w:kern w:val="21"/>
                <w:sz w:val="21"/>
                <w:szCs w:val="21"/>
              </w:rPr>
              <w:t>废</w:t>
            </w:r>
            <w:r>
              <w:rPr>
                <w:rFonts w:hint="eastAsia" w:ascii="Times New Roman" w:hAnsi="Times New Roman" w:eastAsia="宋体"/>
                <w:snapToGrid w:val="0"/>
                <w:color w:val="auto"/>
                <w:spacing w:val="-6"/>
                <w:kern w:val="21"/>
                <w:sz w:val="21"/>
                <w:szCs w:val="21"/>
              </w:rPr>
              <w:t>物</w:t>
            </w:r>
            <w:r>
              <w:rPr>
                <w:rFonts w:ascii="Times New Roman" w:hAnsi="Times New Roman" w:eastAsia="宋体"/>
                <w:snapToGrid w:val="0"/>
                <w:color w:val="auto"/>
                <w:spacing w:val="-6"/>
                <w:kern w:val="21"/>
                <w:sz w:val="21"/>
                <w:szCs w:val="21"/>
              </w:rPr>
              <w:t>产生量）</w:t>
            </w:r>
            <w:r>
              <w:rPr>
                <w:rFonts w:ascii="Times New Roman" w:hAnsi="Times New Roman" w:eastAsia="宋体"/>
                <w:snapToGrid w:val="0"/>
                <w:color w:val="auto"/>
                <w:spacing w:val="-6"/>
                <w:kern w:val="21"/>
                <w:sz w:val="21"/>
                <w:szCs w:val="21"/>
              </w:rPr>
              <w:fldChar w:fldCharType="begin"/>
            </w:r>
            <w:r>
              <w:rPr>
                <w:rFonts w:ascii="Times New Roman" w:hAnsi="Times New Roman" w:eastAsia="宋体"/>
                <w:snapToGrid w:val="0"/>
                <w:color w:val="auto"/>
                <w:spacing w:val="-6"/>
                <w:kern w:val="21"/>
                <w:sz w:val="21"/>
                <w:szCs w:val="21"/>
              </w:rPr>
              <w:instrText xml:space="preserve"> = 1 \* GB3 \* MERGEFORMAT </w:instrText>
            </w:r>
            <w:r>
              <w:rPr>
                <w:rFonts w:ascii="Times New Roman" w:hAnsi="Times New Roman" w:eastAsia="宋体"/>
                <w:snapToGrid w:val="0"/>
                <w:color w:val="auto"/>
                <w:spacing w:val="-6"/>
                <w:kern w:val="21"/>
                <w:sz w:val="21"/>
                <w:szCs w:val="21"/>
              </w:rPr>
              <w:fldChar w:fldCharType="separate"/>
            </w:r>
            <w:r>
              <w:rPr>
                <w:rFonts w:ascii="Times New Roman" w:hAnsi="Times New Roman" w:eastAsia="宋体" w:cs="宋体"/>
                <w:color w:val="auto"/>
                <w:kern w:val="2"/>
                <w:sz w:val="21"/>
                <w:szCs w:val="21"/>
              </w:rPr>
              <w:t>①</w:t>
            </w:r>
            <w:r>
              <w:rPr>
                <w:rFonts w:ascii="Times New Roman" w:hAnsi="Times New Roman" w:eastAsia="宋体"/>
                <w:snapToGrid w:val="0"/>
                <w:color w:val="auto"/>
                <w:spacing w:val="-6"/>
                <w:kern w:val="21"/>
                <w:sz w:val="21"/>
                <w:szCs w:val="21"/>
              </w:rPr>
              <w:fldChar w:fldCharType="end"/>
            </w:r>
          </w:p>
        </w:tc>
        <w:tc>
          <w:tcPr>
            <w:tcW w:w="1610" w:type="dxa"/>
            <w:tcMar>
              <w:left w:w="28" w:type="dxa"/>
              <w:right w:w="28" w:type="dxa"/>
            </w:tcMar>
            <w:vAlign w:val="center"/>
          </w:tcPr>
          <w:p w14:paraId="70D2AD38">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现有工程</w:t>
            </w:r>
          </w:p>
          <w:p w14:paraId="50C94C7A">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许可排放量</w:t>
            </w:r>
          </w:p>
          <w:p w14:paraId="34446277">
            <w:pPr>
              <w:pStyle w:val="163"/>
              <w:spacing w:beforeLines="0" w:afterLines="0"/>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fldChar w:fldCharType="begin"/>
            </w:r>
            <w:r>
              <w:rPr>
                <w:rFonts w:ascii="Times New Roman" w:hAnsi="Times New Roman" w:eastAsia="宋体"/>
                <w:snapToGrid w:val="0"/>
                <w:color w:val="auto"/>
                <w:spacing w:val="-6"/>
                <w:kern w:val="21"/>
                <w:sz w:val="21"/>
                <w:szCs w:val="21"/>
              </w:rPr>
              <w:instrText xml:space="preserve"> = 2 \* GB3 \* MERGEFORMAT </w:instrText>
            </w:r>
            <w:r>
              <w:rPr>
                <w:rFonts w:ascii="Times New Roman" w:hAnsi="Times New Roman" w:eastAsia="宋体"/>
                <w:snapToGrid w:val="0"/>
                <w:color w:val="auto"/>
                <w:spacing w:val="-6"/>
                <w:kern w:val="21"/>
                <w:sz w:val="21"/>
                <w:szCs w:val="21"/>
              </w:rPr>
              <w:fldChar w:fldCharType="separate"/>
            </w:r>
            <w:r>
              <w:rPr>
                <w:rFonts w:ascii="Times New Roman" w:hAnsi="Times New Roman" w:eastAsia="宋体" w:cs="宋体"/>
                <w:snapToGrid w:val="0"/>
                <w:color w:val="auto"/>
                <w:spacing w:val="-6"/>
                <w:kern w:val="21"/>
                <w:sz w:val="21"/>
                <w:szCs w:val="21"/>
              </w:rPr>
              <w:t>②</w:t>
            </w:r>
            <w:r>
              <w:rPr>
                <w:rFonts w:ascii="Times New Roman" w:hAnsi="Times New Roman" w:eastAsia="宋体"/>
                <w:snapToGrid w:val="0"/>
                <w:color w:val="auto"/>
                <w:spacing w:val="-6"/>
                <w:kern w:val="21"/>
                <w:sz w:val="21"/>
                <w:szCs w:val="21"/>
              </w:rPr>
              <w:fldChar w:fldCharType="end"/>
            </w:r>
          </w:p>
        </w:tc>
        <w:tc>
          <w:tcPr>
            <w:tcW w:w="1463" w:type="dxa"/>
            <w:tcMar>
              <w:left w:w="28" w:type="dxa"/>
              <w:right w:w="28" w:type="dxa"/>
            </w:tcMar>
            <w:vAlign w:val="center"/>
          </w:tcPr>
          <w:p w14:paraId="473AA1C4">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在建工程</w:t>
            </w:r>
          </w:p>
          <w:p w14:paraId="065584FA">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排放量（固</w:t>
            </w:r>
            <w:r>
              <w:rPr>
                <w:rFonts w:hint="eastAsia" w:ascii="Times New Roman" w:hAnsi="Times New Roman" w:eastAsia="宋体"/>
                <w:snapToGrid w:val="0"/>
                <w:color w:val="auto"/>
                <w:spacing w:val="-6"/>
                <w:kern w:val="21"/>
                <w:sz w:val="21"/>
                <w:szCs w:val="21"/>
              </w:rPr>
              <w:t>体</w:t>
            </w:r>
            <w:r>
              <w:rPr>
                <w:rFonts w:ascii="Times New Roman" w:hAnsi="Times New Roman" w:eastAsia="宋体"/>
                <w:snapToGrid w:val="0"/>
                <w:color w:val="auto"/>
                <w:spacing w:val="-6"/>
                <w:kern w:val="21"/>
                <w:sz w:val="21"/>
                <w:szCs w:val="21"/>
              </w:rPr>
              <w:t>废</w:t>
            </w:r>
            <w:r>
              <w:rPr>
                <w:rFonts w:hint="eastAsia" w:ascii="Times New Roman" w:hAnsi="Times New Roman" w:eastAsia="宋体"/>
                <w:snapToGrid w:val="0"/>
                <w:color w:val="auto"/>
                <w:spacing w:val="-6"/>
                <w:kern w:val="21"/>
                <w:sz w:val="21"/>
                <w:szCs w:val="21"/>
              </w:rPr>
              <w:t>物</w:t>
            </w:r>
            <w:r>
              <w:rPr>
                <w:rFonts w:ascii="Times New Roman" w:hAnsi="Times New Roman" w:eastAsia="宋体"/>
                <w:snapToGrid w:val="0"/>
                <w:color w:val="auto"/>
                <w:spacing w:val="-6"/>
                <w:kern w:val="21"/>
                <w:sz w:val="21"/>
                <w:szCs w:val="21"/>
              </w:rPr>
              <w:t>产生量）</w:t>
            </w:r>
            <w:r>
              <w:rPr>
                <w:rFonts w:ascii="Times New Roman" w:hAnsi="Times New Roman" w:eastAsia="宋体"/>
                <w:snapToGrid w:val="0"/>
                <w:color w:val="auto"/>
                <w:spacing w:val="-6"/>
                <w:kern w:val="21"/>
                <w:sz w:val="21"/>
                <w:szCs w:val="21"/>
              </w:rPr>
              <w:fldChar w:fldCharType="begin"/>
            </w:r>
            <w:r>
              <w:rPr>
                <w:rFonts w:ascii="Times New Roman" w:hAnsi="Times New Roman" w:eastAsia="宋体"/>
                <w:snapToGrid w:val="0"/>
                <w:color w:val="auto"/>
                <w:spacing w:val="-6"/>
                <w:kern w:val="21"/>
                <w:sz w:val="21"/>
                <w:szCs w:val="21"/>
              </w:rPr>
              <w:instrText xml:space="preserve"> = 3 \* GB3 \* MERGEFORMAT </w:instrText>
            </w:r>
            <w:r>
              <w:rPr>
                <w:rFonts w:ascii="Times New Roman" w:hAnsi="Times New Roman" w:eastAsia="宋体"/>
                <w:snapToGrid w:val="0"/>
                <w:color w:val="auto"/>
                <w:spacing w:val="-6"/>
                <w:kern w:val="21"/>
                <w:sz w:val="21"/>
                <w:szCs w:val="21"/>
              </w:rPr>
              <w:fldChar w:fldCharType="separate"/>
            </w:r>
            <w:r>
              <w:rPr>
                <w:rFonts w:ascii="Times New Roman" w:hAnsi="Times New Roman" w:eastAsia="宋体" w:cs="宋体"/>
                <w:color w:val="auto"/>
                <w:kern w:val="2"/>
                <w:sz w:val="21"/>
                <w:szCs w:val="21"/>
              </w:rPr>
              <w:t>③</w:t>
            </w:r>
            <w:r>
              <w:rPr>
                <w:rFonts w:ascii="Times New Roman" w:hAnsi="Times New Roman" w:eastAsia="宋体"/>
                <w:snapToGrid w:val="0"/>
                <w:color w:val="auto"/>
                <w:spacing w:val="-6"/>
                <w:kern w:val="21"/>
                <w:sz w:val="21"/>
                <w:szCs w:val="21"/>
              </w:rPr>
              <w:fldChar w:fldCharType="end"/>
            </w:r>
          </w:p>
        </w:tc>
        <w:tc>
          <w:tcPr>
            <w:tcW w:w="2049" w:type="dxa"/>
            <w:tcMar>
              <w:left w:w="28" w:type="dxa"/>
              <w:right w:w="28" w:type="dxa"/>
            </w:tcMar>
            <w:vAlign w:val="center"/>
          </w:tcPr>
          <w:p w14:paraId="27C64061">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本项目</w:t>
            </w:r>
          </w:p>
          <w:p w14:paraId="5A7B007B">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排放量（固</w:t>
            </w:r>
            <w:r>
              <w:rPr>
                <w:rFonts w:hint="eastAsia" w:ascii="Times New Roman" w:hAnsi="Times New Roman" w:eastAsia="宋体"/>
                <w:snapToGrid w:val="0"/>
                <w:color w:val="auto"/>
                <w:spacing w:val="-6"/>
                <w:kern w:val="21"/>
                <w:sz w:val="21"/>
                <w:szCs w:val="21"/>
              </w:rPr>
              <w:t>体</w:t>
            </w:r>
            <w:r>
              <w:rPr>
                <w:rFonts w:ascii="Times New Roman" w:hAnsi="Times New Roman" w:eastAsia="宋体"/>
                <w:snapToGrid w:val="0"/>
                <w:color w:val="auto"/>
                <w:spacing w:val="-6"/>
                <w:kern w:val="21"/>
                <w:sz w:val="21"/>
                <w:szCs w:val="21"/>
              </w:rPr>
              <w:t>废</w:t>
            </w:r>
            <w:r>
              <w:rPr>
                <w:rFonts w:hint="eastAsia" w:ascii="Times New Roman" w:hAnsi="Times New Roman" w:eastAsia="宋体"/>
                <w:snapToGrid w:val="0"/>
                <w:color w:val="auto"/>
                <w:spacing w:val="-6"/>
                <w:kern w:val="21"/>
                <w:sz w:val="21"/>
                <w:szCs w:val="21"/>
              </w:rPr>
              <w:t>物</w:t>
            </w:r>
            <w:r>
              <w:rPr>
                <w:rFonts w:ascii="Times New Roman" w:hAnsi="Times New Roman" w:eastAsia="宋体"/>
                <w:snapToGrid w:val="0"/>
                <w:color w:val="auto"/>
                <w:spacing w:val="-6"/>
                <w:kern w:val="21"/>
                <w:sz w:val="21"/>
                <w:szCs w:val="21"/>
              </w:rPr>
              <w:t>产生量）</w:t>
            </w:r>
            <w:r>
              <w:rPr>
                <w:rFonts w:ascii="Times New Roman" w:hAnsi="Times New Roman" w:eastAsia="宋体"/>
                <w:snapToGrid w:val="0"/>
                <w:color w:val="auto"/>
                <w:spacing w:val="-6"/>
                <w:kern w:val="21"/>
                <w:sz w:val="21"/>
                <w:szCs w:val="21"/>
              </w:rPr>
              <w:fldChar w:fldCharType="begin"/>
            </w:r>
            <w:r>
              <w:rPr>
                <w:rFonts w:ascii="Times New Roman" w:hAnsi="Times New Roman" w:eastAsia="宋体"/>
                <w:snapToGrid w:val="0"/>
                <w:color w:val="auto"/>
                <w:spacing w:val="-6"/>
                <w:kern w:val="21"/>
                <w:sz w:val="21"/>
                <w:szCs w:val="21"/>
              </w:rPr>
              <w:instrText xml:space="preserve"> = 4 \* GB3 \* MERGEFORMAT </w:instrText>
            </w:r>
            <w:r>
              <w:rPr>
                <w:rFonts w:ascii="Times New Roman" w:hAnsi="Times New Roman" w:eastAsia="宋体"/>
                <w:snapToGrid w:val="0"/>
                <w:color w:val="auto"/>
                <w:spacing w:val="-6"/>
                <w:kern w:val="21"/>
                <w:sz w:val="21"/>
                <w:szCs w:val="21"/>
              </w:rPr>
              <w:fldChar w:fldCharType="separate"/>
            </w:r>
            <w:r>
              <w:rPr>
                <w:rFonts w:ascii="Times New Roman" w:hAnsi="Times New Roman" w:eastAsia="宋体" w:cs="宋体"/>
                <w:color w:val="auto"/>
                <w:kern w:val="2"/>
                <w:sz w:val="21"/>
                <w:szCs w:val="21"/>
              </w:rPr>
              <w:t>④</w:t>
            </w:r>
            <w:r>
              <w:rPr>
                <w:rFonts w:ascii="Times New Roman" w:hAnsi="Times New Roman" w:eastAsia="宋体"/>
                <w:snapToGrid w:val="0"/>
                <w:color w:val="auto"/>
                <w:spacing w:val="-6"/>
                <w:kern w:val="21"/>
                <w:sz w:val="21"/>
                <w:szCs w:val="21"/>
              </w:rPr>
              <w:fldChar w:fldCharType="end"/>
            </w:r>
          </w:p>
        </w:tc>
        <w:tc>
          <w:tcPr>
            <w:tcW w:w="1463" w:type="dxa"/>
            <w:tcMar>
              <w:left w:w="28" w:type="dxa"/>
              <w:right w:w="28" w:type="dxa"/>
            </w:tcMar>
            <w:vAlign w:val="center"/>
          </w:tcPr>
          <w:p w14:paraId="74322ABA">
            <w:pPr>
              <w:pStyle w:val="163"/>
              <w:spacing w:beforeLines="0" w:afterLines="0" w:line="240" w:lineRule="auto"/>
              <w:rPr>
                <w:rFonts w:ascii="Times New Roman" w:hAnsi="Times New Roman" w:eastAsia="宋体"/>
                <w:snapToGrid w:val="0"/>
                <w:color w:val="auto"/>
                <w:spacing w:val="-16"/>
                <w:kern w:val="21"/>
                <w:sz w:val="21"/>
                <w:szCs w:val="21"/>
              </w:rPr>
            </w:pPr>
            <w:r>
              <w:rPr>
                <w:rFonts w:ascii="Times New Roman" w:hAnsi="Times New Roman" w:eastAsia="宋体"/>
                <w:snapToGrid w:val="0"/>
                <w:color w:val="auto"/>
                <w:spacing w:val="-16"/>
                <w:kern w:val="21"/>
                <w:sz w:val="21"/>
                <w:szCs w:val="21"/>
              </w:rPr>
              <w:t>以新带老削减量</w:t>
            </w:r>
          </w:p>
          <w:p w14:paraId="17E51FEC">
            <w:pPr>
              <w:pStyle w:val="163"/>
              <w:spacing w:beforeLines="0" w:afterLines="0" w:line="240" w:lineRule="auto"/>
              <w:rPr>
                <w:rFonts w:ascii="Times New Roman" w:hAnsi="Times New Roman" w:eastAsia="宋体"/>
                <w:snapToGrid w:val="0"/>
                <w:color w:val="auto"/>
                <w:spacing w:val="-16"/>
                <w:kern w:val="21"/>
                <w:sz w:val="21"/>
                <w:szCs w:val="21"/>
              </w:rPr>
            </w:pPr>
            <w:r>
              <w:rPr>
                <w:rFonts w:ascii="Times New Roman" w:hAnsi="Times New Roman" w:eastAsia="宋体"/>
                <w:snapToGrid w:val="0"/>
                <w:color w:val="auto"/>
                <w:spacing w:val="-16"/>
                <w:kern w:val="21"/>
                <w:sz w:val="21"/>
                <w:szCs w:val="21"/>
              </w:rPr>
              <w:t>（新建项目不填）</w:t>
            </w:r>
            <w:r>
              <w:rPr>
                <w:rFonts w:ascii="Times New Roman" w:hAnsi="Times New Roman" w:eastAsia="宋体"/>
                <w:snapToGrid w:val="0"/>
                <w:color w:val="auto"/>
                <w:spacing w:val="-16"/>
                <w:kern w:val="21"/>
                <w:sz w:val="21"/>
                <w:szCs w:val="21"/>
              </w:rPr>
              <w:fldChar w:fldCharType="begin"/>
            </w:r>
            <w:r>
              <w:rPr>
                <w:rFonts w:ascii="Times New Roman" w:hAnsi="Times New Roman" w:eastAsia="宋体"/>
                <w:snapToGrid w:val="0"/>
                <w:color w:val="auto"/>
                <w:spacing w:val="-16"/>
                <w:kern w:val="21"/>
                <w:sz w:val="21"/>
                <w:szCs w:val="21"/>
              </w:rPr>
              <w:instrText xml:space="preserve"> = 5 \* GB3 \* MERGEFORMAT </w:instrText>
            </w:r>
            <w:r>
              <w:rPr>
                <w:rFonts w:ascii="Times New Roman" w:hAnsi="Times New Roman" w:eastAsia="宋体"/>
                <w:snapToGrid w:val="0"/>
                <w:color w:val="auto"/>
                <w:spacing w:val="-16"/>
                <w:kern w:val="21"/>
                <w:sz w:val="21"/>
                <w:szCs w:val="21"/>
              </w:rPr>
              <w:fldChar w:fldCharType="separate"/>
            </w:r>
            <w:r>
              <w:rPr>
                <w:rFonts w:ascii="Times New Roman" w:hAnsi="Times New Roman" w:eastAsia="宋体" w:cs="宋体"/>
                <w:color w:val="auto"/>
                <w:kern w:val="2"/>
                <w:sz w:val="21"/>
                <w:szCs w:val="21"/>
              </w:rPr>
              <w:t>⑤</w:t>
            </w:r>
            <w:r>
              <w:rPr>
                <w:rFonts w:ascii="Times New Roman" w:hAnsi="Times New Roman" w:eastAsia="宋体"/>
                <w:snapToGrid w:val="0"/>
                <w:color w:val="auto"/>
                <w:spacing w:val="-16"/>
                <w:kern w:val="21"/>
                <w:sz w:val="21"/>
                <w:szCs w:val="21"/>
              </w:rPr>
              <w:fldChar w:fldCharType="end"/>
            </w:r>
          </w:p>
        </w:tc>
        <w:tc>
          <w:tcPr>
            <w:tcW w:w="1902" w:type="dxa"/>
            <w:tcMar>
              <w:left w:w="28" w:type="dxa"/>
              <w:right w:w="28" w:type="dxa"/>
            </w:tcMar>
            <w:vAlign w:val="center"/>
          </w:tcPr>
          <w:p w14:paraId="18521370">
            <w:pPr>
              <w:pStyle w:val="163"/>
              <w:spacing w:beforeLines="0" w:afterLines="0" w:line="240" w:lineRule="auto"/>
              <w:rPr>
                <w:rFonts w:ascii="Times New Roman" w:hAnsi="Times New Roman" w:eastAsia="宋体"/>
                <w:snapToGrid w:val="0"/>
                <w:color w:val="auto"/>
                <w:spacing w:val="-16"/>
                <w:kern w:val="21"/>
                <w:sz w:val="21"/>
                <w:szCs w:val="21"/>
              </w:rPr>
            </w:pPr>
            <w:r>
              <w:rPr>
                <w:rFonts w:ascii="Times New Roman" w:hAnsi="Times New Roman" w:eastAsia="宋体"/>
                <w:snapToGrid w:val="0"/>
                <w:color w:val="auto"/>
                <w:spacing w:val="-16"/>
                <w:kern w:val="21"/>
                <w:sz w:val="21"/>
                <w:szCs w:val="21"/>
              </w:rPr>
              <w:t>本项目建成后</w:t>
            </w:r>
          </w:p>
          <w:p w14:paraId="137DC44D">
            <w:pPr>
              <w:pStyle w:val="163"/>
              <w:spacing w:beforeLines="0" w:afterLines="0" w:line="240" w:lineRule="auto"/>
              <w:rPr>
                <w:rFonts w:ascii="Times New Roman" w:hAnsi="Times New Roman" w:eastAsia="宋体"/>
                <w:snapToGrid w:val="0"/>
                <w:color w:val="auto"/>
                <w:spacing w:val="-16"/>
                <w:kern w:val="21"/>
                <w:sz w:val="21"/>
                <w:szCs w:val="21"/>
              </w:rPr>
            </w:pPr>
            <w:r>
              <w:rPr>
                <w:rFonts w:hint="eastAsia" w:ascii="Times New Roman" w:hAnsi="Times New Roman" w:eastAsia="宋体"/>
                <w:snapToGrid w:val="0"/>
                <w:color w:val="auto"/>
                <w:spacing w:val="-16"/>
                <w:kern w:val="21"/>
                <w:sz w:val="21"/>
                <w:szCs w:val="21"/>
              </w:rPr>
              <w:t>全厂</w:t>
            </w:r>
            <w:r>
              <w:rPr>
                <w:rFonts w:ascii="Times New Roman" w:hAnsi="Times New Roman" w:eastAsia="宋体"/>
                <w:snapToGrid w:val="0"/>
                <w:color w:val="auto"/>
                <w:spacing w:val="-16"/>
                <w:kern w:val="21"/>
                <w:sz w:val="21"/>
                <w:szCs w:val="21"/>
              </w:rPr>
              <w:t>排放量（固</w:t>
            </w:r>
            <w:r>
              <w:rPr>
                <w:rFonts w:hint="eastAsia" w:ascii="Times New Roman" w:hAnsi="Times New Roman" w:eastAsia="宋体"/>
                <w:snapToGrid w:val="0"/>
                <w:color w:val="auto"/>
                <w:spacing w:val="-16"/>
                <w:kern w:val="21"/>
                <w:sz w:val="21"/>
                <w:szCs w:val="21"/>
              </w:rPr>
              <w:t>体</w:t>
            </w:r>
            <w:r>
              <w:rPr>
                <w:rFonts w:ascii="Times New Roman" w:hAnsi="Times New Roman" w:eastAsia="宋体"/>
                <w:snapToGrid w:val="0"/>
                <w:color w:val="auto"/>
                <w:spacing w:val="-16"/>
                <w:kern w:val="21"/>
                <w:sz w:val="21"/>
                <w:szCs w:val="21"/>
              </w:rPr>
              <w:t>废</w:t>
            </w:r>
            <w:r>
              <w:rPr>
                <w:rFonts w:hint="eastAsia" w:ascii="Times New Roman" w:hAnsi="Times New Roman" w:eastAsia="宋体"/>
                <w:snapToGrid w:val="0"/>
                <w:color w:val="auto"/>
                <w:spacing w:val="-16"/>
                <w:kern w:val="21"/>
                <w:sz w:val="21"/>
                <w:szCs w:val="21"/>
              </w:rPr>
              <w:t>物</w:t>
            </w:r>
            <w:r>
              <w:rPr>
                <w:rFonts w:ascii="Times New Roman" w:hAnsi="Times New Roman" w:eastAsia="宋体"/>
                <w:snapToGrid w:val="0"/>
                <w:color w:val="auto"/>
                <w:spacing w:val="-16"/>
                <w:kern w:val="21"/>
                <w:sz w:val="21"/>
                <w:szCs w:val="21"/>
              </w:rPr>
              <w:t>产生量）</w:t>
            </w:r>
            <w:r>
              <w:rPr>
                <w:rFonts w:ascii="Times New Roman" w:hAnsi="Times New Roman" w:eastAsia="宋体"/>
                <w:snapToGrid w:val="0"/>
                <w:color w:val="auto"/>
                <w:spacing w:val="-16"/>
                <w:kern w:val="21"/>
                <w:sz w:val="21"/>
                <w:szCs w:val="21"/>
              </w:rPr>
              <w:fldChar w:fldCharType="begin"/>
            </w:r>
            <w:r>
              <w:rPr>
                <w:rFonts w:ascii="Times New Roman" w:hAnsi="Times New Roman" w:eastAsia="宋体"/>
                <w:snapToGrid w:val="0"/>
                <w:color w:val="auto"/>
                <w:spacing w:val="-16"/>
                <w:kern w:val="21"/>
                <w:sz w:val="21"/>
                <w:szCs w:val="21"/>
              </w:rPr>
              <w:instrText xml:space="preserve"> = 6 \* GB3 \* MERGEFORMAT </w:instrText>
            </w:r>
            <w:r>
              <w:rPr>
                <w:rFonts w:ascii="Times New Roman" w:hAnsi="Times New Roman" w:eastAsia="宋体"/>
                <w:snapToGrid w:val="0"/>
                <w:color w:val="auto"/>
                <w:spacing w:val="-16"/>
                <w:kern w:val="21"/>
                <w:sz w:val="21"/>
                <w:szCs w:val="21"/>
              </w:rPr>
              <w:fldChar w:fldCharType="separate"/>
            </w:r>
            <w:r>
              <w:rPr>
                <w:rFonts w:ascii="Times New Roman" w:hAnsi="Times New Roman" w:eastAsia="宋体" w:cs="宋体"/>
                <w:color w:val="auto"/>
                <w:kern w:val="2"/>
                <w:sz w:val="21"/>
                <w:szCs w:val="21"/>
              </w:rPr>
              <w:t>⑥</w:t>
            </w:r>
            <w:r>
              <w:rPr>
                <w:rFonts w:ascii="Times New Roman" w:hAnsi="Times New Roman" w:eastAsia="宋体"/>
                <w:snapToGrid w:val="0"/>
                <w:color w:val="auto"/>
                <w:spacing w:val="-16"/>
                <w:kern w:val="21"/>
                <w:sz w:val="21"/>
                <w:szCs w:val="21"/>
              </w:rPr>
              <w:fldChar w:fldCharType="end"/>
            </w:r>
          </w:p>
        </w:tc>
        <w:tc>
          <w:tcPr>
            <w:tcW w:w="1463" w:type="dxa"/>
            <w:tcMar>
              <w:left w:w="28" w:type="dxa"/>
              <w:right w:w="28" w:type="dxa"/>
            </w:tcMar>
            <w:vAlign w:val="center"/>
          </w:tcPr>
          <w:p w14:paraId="4FF5A45F">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t>变化量</w:t>
            </w:r>
          </w:p>
          <w:p w14:paraId="565C3C3E">
            <w:pPr>
              <w:pStyle w:val="163"/>
              <w:spacing w:beforeLines="0" w:afterLines="0" w:line="240" w:lineRule="auto"/>
              <w:rPr>
                <w:rFonts w:ascii="Times New Roman" w:hAnsi="Times New Roman" w:eastAsia="宋体"/>
                <w:snapToGrid w:val="0"/>
                <w:color w:val="auto"/>
                <w:spacing w:val="-6"/>
                <w:kern w:val="21"/>
                <w:sz w:val="21"/>
                <w:szCs w:val="21"/>
              </w:rPr>
            </w:pPr>
            <w:r>
              <w:rPr>
                <w:rFonts w:ascii="Times New Roman" w:hAnsi="Times New Roman" w:eastAsia="宋体"/>
                <w:snapToGrid w:val="0"/>
                <w:color w:val="auto"/>
                <w:spacing w:val="-6"/>
                <w:kern w:val="21"/>
                <w:sz w:val="21"/>
                <w:szCs w:val="21"/>
              </w:rPr>
              <w:fldChar w:fldCharType="begin"/>
            </w:r>
            <w:r>
              <w:rPr>
                <w:rFonts w:ascii="Times New Roman" w:hAnsi="Times New Roman" w:eastAsia="宋体"/>
                <w:snapToGrid w:val="0"/>
                <w:color w:val="auto"/>
                <w:spacing w:val="-6"/>
                <w:kern w:val="21"/>
                <w:sz w:val="21"/>
                <w:szCs w:val="21"/>
              </w:rPr>
              <w:instrText xml:space="preserve"> = 7 \* GB3 \* MERGEFORMAT </w:instrText>
            </w:r>
            <w:r>
              <w:rPr>
                <w:rFonts w:ascii="Times New Roman" w:hAnsi="Times New Roman" w:eastAsia="宋体"/>
                <w:snapToGrid w:val="0"/>
                <w:color w:val="auto"/>
                <w:spacing w:val="-6"/>
                <w:kern w:val="21"/>
                <w:sz w:val="21"/>
                <w:szCs w:val="21"/>
              </w:rPr>
              <w:fldChar w:fldCharType="separate"/>
            </w:r>
            <w:r>
              <w:rPr>
                <w:rFonts w:ascii="Times New Roman" w:hAnsi="Times New Roman" w:eastAsia="宋体" w:cs="宋体"/>
                <w:color w:val="auto"/>
                <w:kern w:val="2"/>
                <w:sz w:val="21"/>
                <w:szCs w:val="21"/>
              </w:rPr>
              <w:t>⑦</w:t>
            </w:r>
            <w:r>
              <w:rPr>
                <w:rFonts w:ascii="Times New Roman" w:hAnsi="Times New Roman" w:eastAsia="宋体"/>
                <w:snapToGrid w:val="0"/>
                <w:color w:val="auto"/>
                <w:spacing w:val="-6"/>
                <w:kern w:val="21"/>
                <w:sz w:val="21"/>
                <w:szCs w:val="21"/>
              </w:rPr>
              <w:fldChar w:fldCharType="end"/>
            </w:r>
          </w:p>
        </w:tc>
      </w:tr>
      <w:tr w14:paraId="5476BF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1085" w:type="dxa"/>
            <w:vMerge w:val="restart"/>
            <w:vAlign w:val="center"/>
          </w:tcPr>
          <w:p w14:paraId="5A922E8F">
            <w:pPr>
              <w:pStyle w:val="163"/>
              <w:spacing w:beforeLines="0" w:afterLines="0" w:line="240" w:lineRule="auto"/>
              <w:rPr>
                <w:rFonts w:hint="eastAsia" w:ascii="Times New Roman" w:hAnsi="Times New Roman" w:eastAsia="宋体" w:cs="宋体"/>
                <w:snapToGrid w:val="0"/>
                <w:color w:val="auto"/>
                <w:kern w:val="21"/>
                <w:sz w:val="21"/>
                <w:szCs w:val="21"/>
                <w:lang w:val="en-US" w:eastAsia="zh-CN"/>
              </w:rPr>
            </w:pPr>
            <w:r>
              <w:rPr>
                <w:rFonts w:hint="eastAsia"/>
                <w:color w:val="auto"/>
                <w:lang w:val="en-US" w:eastAsia="zh-CN"/>
              </w:rPr>
              <w:t>废气</w:t>
            </w:r>
          </w:p>
        </w:tc>
        <w:tc>
          <w:tcPr>
            <w:tcW w:w="1432" w:type="dxa"/>
            <w:vAlign w:val="center"/>
          </w:tcPr>
          <w:p w14:paraId="097996CE">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TVOC、</w:t>
            </w:r>
            <w:r>
              <w:rPr>
                <w:rFonts w:hint="eastAsia" w:ascii="Times New Roman" w:hAnsi="Times New Roman" w:eastAsia="宋体" w:cs="宋体"/>
                <w:snapToGrid w:val="0"/>
                <w:color w:val="auto"/>
                <w:kern w:val="21"/>
                <w:sz w:val="21"/>
                <w:szCs w:val="21"/>
              </w:rPr>
              <w:t>非甲烷总烃</w:t>
            </w:r>
          </w:p>
        </w:tc>
        <w:tc>
          <w:tcPr>
            <w:tcW w:w="1170" w:type="dxa"/>
            <w:vAlign w:val="center"/>
          </w:tcPr>
          <w:p w14:paraId="1F0064CE">
            <w:pPr>
              <w:pStyle w:val="163"/>
              <w:spacing w:beforeLines="0" w:afterLines="0" w:line="240" w:lineRule="auto"/>
              <w:rPr>
                <w:rFonts w:hint="eastAsia" w:ascii="Times New Roman" w:hAnsi="Times New Roman" w:eastAsia="宋体" w:cs="宋体"/>
                <w:snapToGrid w:val="0"/>
                <w:color w:val="auto"/>
                <w:kern w:val="21"/>
                <w:sz w:val="21"/>
                <w:szCs w:val="21"/>
                <w:lang w:val="en-US" w:eastAsia="zh-CN"/>
              </w:rPr>
            </w:pPr>
            <w:r>
              <w:rPr>
                <w:rFonts w:hint="eastAsia" w:ascii="Times New Roman" w:cs="宋体"/>
                <w:snapToGrid w:val="0"/>
                <w:color w:val="auto"/>
                <w:kern w:val="21"/>
                <w:sz w:val="21"/>
                <w:szCs w:val="21"/>
                <w:lang w:val="en-US" w:eastAsia="zh-CN"/>
              </w:rPr>
              <w:t>/</w:t>
            </w:r>
          </w:p>
        </w:tc>
        <w:tc>
          <w:tcPr>
            <w:tcW w:w="1610" w:type="dxa"/>
            <w:vAlign w:val="center"/>
          </w:tcPr>
          <w:p w14:paraId="3BC8C8ED">
            <w:pPr>
              <w:pStyle w:val="163"/>
              <w:spacing w:beforeLines="0" w:afterLines="0" w:line="240" w:lineRule="auto"/>
              <w:rPr>
                <w:rFonts w:hint="default" w:ascii="Times New Roman" w:hAnsi="Times New Roman" w:eastAsia="宋体" w:cs="宋体"/>
                <w:snapToGrid w:val="0"/>
                <w:color w:val="auto"/>
                <w:kern w:val="21"/>
                <w:sz w:val="21"/>
                <w:szCs w:val="21"/>
                <w:lang w:val="en-US" w:eastAsia="zh-CN"/>
              </w:rPr>
            </w:pPr>
            <w:r>
              <w:rPr>
                <w:rFonts w:hint="eastAsia" w:ascii="Times New Roman" w:cs="宋体"/>
                <w:snapToGrid w:val="0"/>
                <w:color w:val="auto"/>
                <w:kern w:val="21"/>
                <w:sz w:val="21"/>
                <w:szCs w:val="21"/>
                <w:lang w:val="en-US" w:eastAsia="zh-CN"/>
              </w:rPr>
              <w:t>/</w:t>
            </w:r>
          </w:p>
        </w:tc>
        <w:tc>
          <w:tcPr>
            <w:tcW w:w="1463" w:type="dxa"/>
            <w:vAlign w:val="center"/>
          </w:tcPr>
          <w:p w14:paraId="420DFC5B">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2B7C2AD9">
            <w:pPr>
              <w:keepNext w:val="0"/>
              <w:keepLines w:val="0"/>
              <w:widowControl/>
              <w:suppressLineNumbers w:val="0"/>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0.044</w:t>
            </w:r>
            <w:r>
              <w:rPr>
                <w:rFonts w:hint="eastAsia" w:cs="Times New Roman"/>
                <w:i w:val="0"/>
                <w:iCs w:val="0"/>
                <w:color w:val="auto"/>
                <w:kern w:val="0"/>
                <w:sz w:val="21"/>
                <w:szCs w:val="21"/>
                <w:u w:val="none"/>
                <w:lang w:val="en-US" w:eastAsia="zh-CN" w:bidi="ar"/>
              </w:rPr>
              <w:t>2</w:t>
            </w:r>
          </w:p>
        </w:tc>
        <w:tc>
          <w:tcPr>
            <w:tcW w:w="1463" w:type="dxa"/>
            <w:vAlign w:val="center"/>
          </w:tcPr>
          <w:p w14:paraId="5CFC1745">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0CDB6767">
            <w:pPr>
              <w:keepNext w:val="0"/>
              <w:keepLines w:val="0"/>
              <w:widowControl/>
              <w:suppressLineNumbers w:val="0"/>
              <w:jc w:val="center"/>
              <w:textAlignment w:val="center"/>
              <w:rPr>
                <w:rFonts w:ascii="Times New Roman" w:hAnsi="Times New Roman" w:eastAsia="宋体" w:cs="宋体"/>
                <w:snapToGrid w:val="0"/>
                <w:color w:val="auto"/>
                <w:kern w:val="21"/>
                <w:sz w:val="21"/>
                <w:szCs w:val="21"/>
              </w:rPr>
            </w:pPr>
            <w:r>
              <w:rPr>
                <w:rFonts w:hint="default" w:ascii="Times New Roman" w:hAnsi="Times New Roman" w:eastAsia="宋体" w:cs="Times New Roman"/>
                <w:i w:val="0"/>
                <w:iCs w:val="0"/>
                <w:color w:val="auto"/>
                <w:kern w:val="0"/>
                <w:sz w:val="21"/>
                <w:szCs w:val="21"/>
                <w:u w:val="none"/>
                <w:lang w:val="en-US" w:eastAsia="zh-CN" w:bidi="ar"/>
              </w:rPr>
              <w:t>0.044</w:t>
            </w:r>
            <w:r>
              <w:rPr>
                <w:rFonts w:hint="eastAsia" w:cs="Times New Roman"/>
                <w:i w:val="0"/>
                <w:iCs w:val="0"/>
                <w:color w:val="auto"/>
                <w:kern w:val="0"/>
                <w:sz w:val="21"/>
                <w:szCs w:val="21"/>
                <w:u w:val="none"/>
                <w:lang w:val="en-US" w:eastAsia="zh-CN" w:bidi="ar"/>
              </w:rPr>
              <w:t>2</w:t>
            </w:r>
          </w:p>
        </w:tc>
        <w:tc>
          <w:tcPr>
            <w:tcW w:w="1463" w:type="dxa"/>
            <w:vAlign w:val="center"/>
          </w:tcPr>
          <w:p w14:paraId="75E68F71">
            <w:pPr>
              <w:keepNext w:val="0"/>
              <w:keepLines w:val="0"/>
              <w:widowControl/>
              <w:suppressLineNumbers w:val="0"/>
              <w:jc w:val="center"/>
              <w:textAlignment w:val="center"/>
              <w:rPr>
                <w:rFonts w:ascii="Times New Roman" w:hAnsi="Times New Roman" w:eastAsia="宋体" w:cs="宋体"/>
                <w:snapToGrid w:val="0"/>
                <w:color w:val="auto"/>
                <w:kern w:val="21"/>
                <w:sz w:val="21"/>
                <w:szCs w:val="21"/>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0.044</w:t>
            </w:r>
            <w:r>
              <w:rPr>
                <w:rFonts w:hint="eastAsia" w:cs="Times New Roman"/>
                <w:i w:val="0"/>
                <w:iCs w:val="0"/>
                <w:color w:val="auto"/>
                <w:kern w:val="0"/>
                <w:sz w:val="21"/>
                <w:szCs w:val="21"/>
                <w:u w:val="none"/>
                <w:lang w:val="en-US" w:eastAsia="zh-CN" w:bidi="ar"/>
              </w:rPr>
              <w:t>2</w:t>
            </w:r>
          </w:p>
        </w:tc>
      </w:tr>
      <w:tr w14:paraId="7DDA95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1085" w:type="dxa"/>
            <w:vMerge w:val="continue"/>
            <w:vAlign w:val="center"/>
          </w:tcPr>
          <w:p w14:paraId="143D50B0">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117EEA06">
            <w:pPr>
              <w:pStyle w:val="163"/>
              <w:spacing w:beforeLines="0" w:afterLines="0" w:line="240" w:lineRule="auto"/>
              <w:rPr>
                <w:rFonts w:ascii="Times New Roman" w:hAnsi="Times New Roman" w:eastAsia="宋体" w:cs="宋体"/>
                <w:snapToGrid w:val="0"/>
                <w:color w:val="auto"/>
                <w:kern w:val="21"/>
                <w:sz w:val="21"/>
                <w:szCs w:val="21"/>
              </w:rPr>
            </w:pPr>
            <w:r>
              <w:rPr>
                <w:rFonts w:ascii="Times New Roman" w:hAnsi="Times New Roman" w:eastAsia="宋体"/>
                <w:color w:val="auto"/>
                <w:sz w:val="21"/>
                <w:szCs w:val="21"/>
              </w:rPr>
              <w:t>SO</w:t>
            </w:r>
            <w:r>
              <w:rPr>
                <w:rFonts w:ascii="Times New Roman" w:hAnsi="Times New Roman" w:eastAsia="宋体"/>
                <w:color w:val="auto"/>
                <w:sz w:val="21"/>
                <w:szCs w:val="21"/>
                <w:vertAlign w:val="subscript"/>
              </w:rPr>
              <w:t>2</w:t>
            </w:r>
          </w:p>
        </w:tc>
        <w:tc>
          <w:tcPr>
            <w:tcW w:w="1170" w:type="dxa"/>
            <w:vAlign w:val="center"/>
          </w:tcPr>
          <w:p w14:paraId="0DC41F7F">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20BFA491">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24EB05B4">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6C21E7EC">
            <w:pPr>
              <w:keepNext w:val="0"/>
              <w:keepLines w:val="0"/>
              <w:widowControl/>
              <w:suppressLineNumbers w:val="0"/>
              <w:jc w:val="center"/>
              <w:textAlignment w:val="center"/>
              <w:rPr>
                <w:rFonts w:hint="default" w:ascii="Times New Roman" w:hAnsi="Times New Roman" w:eastAsia="宋体"/>
                <w:color w:val="auto"/>
                <w:kern w:val="2"/>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324</w:t>
            </w:r>
          </w:p>
        </w:tc>
        <w:tc>
          <w:tcPr>
            <w:tcW w:w="1463" w:type="dxa"/>
            <w:vAlign w:val="center"/>
          </w:tcPr>
          <w:p w14:paraId="10FCEA06">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6E02D59E">
            <w:pPr>
              <w:keepNext w:val="0"/>
              <w:keepLines w:val="0"/>
              <w:widowControl/>
              <w:suppressLineNumbers w:val="0"/>
              <w:jc w:val="center"/>
              <w:textAlignment w:val="center"/>
              <w:rPr>
                <w:rFonts w:hint="default" w:ascii="Times New Roman" w:hAnsi="Times New Roman" w:eastAsia="宋体" w:cs="宋体"/>
                <w:snapToGrid w:val="0"/>
                <w:color w:val="auto"/>
                <w:kern w:val="21"/>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324</w:t>
            </w:r>
          </w:p>
        </w:tc>
        <w:tc>
          <w:tcPr>
            <w:tcW w:w="1463" w:type="dxa"/>
            <w:vAlign w:val="center"/>
          </w:tcPr>
          <w:p w14:paraId="39AFFD77">
            <w:pPr>
              <w:keepNext w:val="0"/>
              <w:keepLines w:val="0"/>
              <w:widowControl/>
              <w:suppressLineNumbers w:val="0"/>
              <w:jc w:val="center"/>
              <w:textAlignment w:val="center"/>
              <w:rPr>
                <w:rFonts w:hint="default" w:ascii="Times New Roman" w:hAnsi="Times New Roman" w:eastAsia="宋体" w:cs="宋体"/>
                <w:snapToGrid w:val="0"/>
                <w:color w:val="auto"/>
                <w:kern w:val="21"/>
                <w:sz w:val="21"/>
                <w:szCs w:val="21"/>
                <w:lang w:val="en-US"/>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324</w:t>
            </w:r>
          </w:p>
        </w:tc>
      </w:tr>
      <w:tr w14:paraId="55BC45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1085" w:type="dxa"/>
            <w:vMerge w:val="continue"/>
            <w:vAlign w:val="center"/>
          </w:tcPr>
          <w:p w14:paraId="36BE9B20">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148AC9B9">
            <w:pPr>
              <w:pStyle w:val="163"/>
              <w:spacing w:beforeLines="0" w:afterLines="0" w:line="240" w:lineRule="auto"/>
              <w:rPr>
                <w:rFonts w:ascii="Times New Roman" w:hAnsi="Times New Roman" w:eastAsia="宋体" w:cs="宋体"/>
                <w:color w:val="auto"/>
                <w:sz w:val="21"/>
                <w:szCs w:val="21"/>
              </w:rPr>
            </w:pPr>
            <w:r>
              <w:rPr>
                <w:rFonts w:ascii="Times New Roman" w:hAnsi="Times New Roman" w:eastAsia="宋体"/>
                <w:color w:val="auto"/>
                <w:sz w:val="21"/>
                <w:szCs w:val="21"/>
              </w:rPr>
              <w:t>NOx</w:t>
            </w:r>
          </w:p>
        </w:tc>
        <w:tc>
          <w:tcPr>
            <w:tcW w:w="1170" w:type="dxa"/>
            <w:vAlign w:val="center"/>
          </w:tcPr>
          <w:p w14:paraId="26FAD5F6">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13671F63">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551D1474">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7E0C82AB">
            <w:pPr>
              <w:keepNext w:val="0"/>
              <w:keepLines w:val="0"/>
              <w:widowControl/>
              <w:suppressLineNumbers w:val="0"/>
              <w:jc w:val="center"/>
              <w:textAlignment w:val="center"/>
              <w:rPr>
                <w:rFonts w:hint="default" w:ascii="Times New Roman" w:hAnsi="Times New Roman" w:eastAsia="宋体"/>
                <w:color w:val="auto"/>
                <w:kern w:val="2"/>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0.2</w:t>
            </w:r>
            <w:r>
              <w:rPr>
                <w:rFonts w:hint="eastAsia" w:cs="Times New Roman"/>
                <w:i w:val="0"/>
                <w:iCs w:val="0"/>
                <w:color w:val="auto"/>
                <w:kern w:val="0"/>
                <w:sz w:val="21"/>
                <w:szCs w:val="21"/>
                <w:u w:val="none"/>
                <w:lang w:val="en-US" w:eastAsia="zh-CN" w:bidi="ar"/>
              </w:rPr>
              <w:t>818</w:t>
            </w:r>
          </w:p>
        </w:tc>
        <w:tc>
          <w:tcPr>
            <w:tcW w:w="1463" w:type="dxa"/>
            <w:vAlign w:val="center"/>
          </w:tcPr>
          <w:p w14:paraId="2323284F">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2B4EF63F">
            <w:pPr>
              <w:keepNext w:val="0"/>
              <w:keepLines w:val="0"/>
              <w:widowControl/>
              <w:suppressLineNumbers w:val="0"/>
              <w:jc w:val="center"/>
              <w:textAlignment w:val="center"/>
              <w:rPr>
                <w:rFonts w:hint="default" w:ascii="Times New Roman" w:hAnsi="Times New Roman" w:eastAsia="宋体" w:cs="宋体"/>
                <w:snapToGrid w:val="0"/>
                <w:color w:val="auto"/>
                <w:kern w:val="21"/>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0.2</w:t>
            </w:r>
            <w:r>
              <w:rPr>
                <w:rFonts w:hint="eastAsia" w:cs="Times New Roman"/>
                <w:i w:val="0"/>
                <w:iCs w:val="0"/>
                <w:color w:val="auto"/>
                <w:kern w:val="0"/>
                <w:sz w:val="21"/>
                <w:szCs w:val="21"/>
                <w:u w:val="none"/>
                <w:lang w:val="en-US" w:eastAsia="zh-CN" w:bidi="ar"/>
              </w:rPr>
              <w:t>818</w:t>
            </w:r>
          </w:p>
        </w:tc>
        <w:tc>
          <w:tcPr>
            <w:tcW w:w="1463" w:type="dxa"/>
            <w:vAlign w:val="center"/>
          </w:tcPr>
          <w:p w14:paraId="12E86FBD">
            <w:pPr>
              <w:keepNext w:val="0"/>
              <w:keepLines w:val="0"/>
              <w:widowControl/>
              <w:suppressLineNumbers w:val="0"/>
              <w:jc w:val="center"/>
              <w:textAlignment w:val="center"/>
              <w:rPr>
                <w:rFonts w:hint="default" w:ascii="Times New Roman" w:hAnsi="Times New Roman" w:eastAsia="宋体" w:cs="宋体"/>
                <w:snapToGrid w:val="0"/>
                <w:color w:val="auto"/>
                <w:kern w:val="21"/>
                <w:sz w:val="21"/>
                <w:szCs w:val="21"/>
                <w:lang w:val="en-US"/>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0.2</w:t>
            </w:r>
            <w:r>
              <w:rPr>
                <w:rFonts w:hint="eastAsia" w:cs="Times New Roman"/>
                <w:i w:val="0"/>
                <w:iCs w:val="0"/>
                <w:color w:val="auto"/>
                <w:kern w:val="0"/>
                <w:sz w:val="21"/>
                <w:szCs w:val="21"/>
                <w:u w:val="none"/>
                <w:lang w:val="en-US" w:eastAsia="zh-CN" w:bidi="ar"/>
              </w:rPr>
              <w:t>818</w:t>
            </w:r>
          </w:p>
        </w:tc>
      </w:tr>
      <w:tr w14:paraId="196678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1085" w:type="dxa"/>
            <w:vMerge w:val="continue"/>
            <w:vAlign w:val="center"/>
          </w:tcPr>
          <w:p w14:paraId="271F3F77">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21006CA2">
            <w:pPr>
              <w:pStyle w:val="163"/>
              <w:spacing w:beforeLines="0" w:afterLines="0" w:line="240" w:lineRule="auto"/>
              <w:rPr>
                <w:rFonts w:ascii="Times New Roman" w:hAnsi="Times New Roman" w:eastAsia="宋体" w:cs="宋体"/>
                <w:color w:val="auto"/>
                <w:sz w:val="21"/>
                <w:szCs w:val="21"/>
              </w:rPr>
            </w:pPr>
            <w:r>
              <w:rPr>
                <w:rFonts w:hint="eastAsia" w:ascii="Times New Roman" w:hAnsi="Times New Roman" w:eastAsia="宋体"/>
                <w:color w:val="auto"/>
                <w:sz w:val="21"/>
                <w:szCs w:val="21"/>
              </w:rPr>
              <w:t>颗粒物</w:t>
            </w:r>
          </w:p>
        </w:tc>
        <w:tc>
          <w:tcPr>
            <w:tcW w:w="1170" w:type="dxa"/>
            <w:vAlign w:val="center"/>
          </w:tcPr>
          <w:p w14:paraId="5D7EE7D8">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6F5C1DC4">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7966B926">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259EF41B">
            <w:pPr>
              <w:keepNext w:val="0"/>
              <w:keepLines w:val="0"/>
              <w:widowControl/>
              <w:suppressLineNumbers w:val="0"/>
              <w:jc w:val="center"/>
              <w:textAlignment w:val="center"/>
              <w:rPr>
                <w:rFonts w:hint="default" w:ascii="Times New Roman" w:hAnsi="Times New Roman" w:eastAsia="宋体"/>
                <w:color w:val="auto"/>
                <w:kern w:val="2"/>
                <w:sz w:val="21"/>
                <w:szCs w:val="21"/>
                <w:lang w:val="en-US"/>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8464</w:t>
            </w:r>
          </w:p>
        </w:tc>
        <w:tc>
          <w:tcPr>
            <w:tcW w:w="1463" w:type="dxa"/>
            <w:vAlign w:val="center"/>
          </w:tcPr>
          <w:p w14:paraId="3B8060A9">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78720796">
            <w:pPr>
              <w:keepNext w:val="0"/>
              <w:keepLines w:val="0"/>
              <w:widowControl/>
              <w:suppressLineNumbers w:val="0"/>
              <w:jc w:val="center"/>
              <w:textAlignment w:val="center"/>
              <w:rPr>
                <w:rFonts w:hint="default" w:ascii="Times New Roman" w:hAnsi="Times New Roman" w:eastAsia="宋体" w:cs="宋体"/>
                <w:snapToGrid w:val="0"/>
                <w:color w:val="auto"/>
                <w:kern w:val="21"/>
                <w:sz w:val="21"/>
                <w:szCs w:val="21"/>
                <w:lang w:val="en-US"/>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8464</w:t>
            </w:r>
          </w:p>
        </w:tc>
        <w:tc>
          <w:tcPr>
            <w:tcW w:w="1463" w:type="dxa"/>
            <w:vAlign w:val="center"/>
          </w:tcPr>
          <w:p w14:paraId="15DA129F">
            <w:pPr>
              <w:keepNext w:val="0"/>
              <w:keepLines w:val="0"/>
              <w:widowControl/>
              <w:suppressLineNumbers w:val="0"/>
              <w:jc w:val="center"/>
              <w:textAlignment w:val="center"/>
              <w:rPr>
                <w:rFonts w:hint="default" w:ascii="Times New Roman" w:hAnsi="Times New Roman" w:eastAsia="宋体" w:cs="宋体"/>
                <w:snapToGrid w:val="0"/>
                <w:color w:val="auto"/>
                <w:kern w:val="21"/>
                <w:sz w:val="21"/>
                <w:szCs w:val="21"/>
                <w:lang w:val="en-US"/>
              </w:rPr>
            </w:pPr>
            <w:r>
              <w:rPr>
                <w:rFonts w:hint="eastAsia"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8464</w:t>
            </w:r>
          </w:p>
        </w:tc>
      </w:tr>
      <w:tr w14:paraId="0BC5F6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trPr>
        <w:tc>
          <w:tcPr>
            <w:tcW w:w="1085" w:type="dxa"/>
            <w:vMerge w:val="continue"/>
            <w:vAlign w:val="center"/>
          </w:tcPr>
          <w:p w14:paraId="0FEC13D2">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4EB01424">
            <w:pPr>
              <w:pStyle w:val="163"/>
              <w:spacing w:beforeLines="0" w:afterLines="0" w:line="240" w:lineRule="auto"/>
              <w:rPr>
                <w:rFonts w:hint="eastAsia" w:ascii="Times New Roman" w:hAnsi="Times New Roman" w:eastAsia="宋体"/>
                <w:color w:val="auto"/>
                <w:sz w:val="21"/>
                <w:szCs w:val="21"/>
                <w:lang w:val="en-US" w:eastAsia="zh-CN"/>
              </w:rPr>
            </w:pPr>
            <w:r>
              <w:rPr>
                <w:rFonts w:hint="eastAsia" w:ascii="Times New Roman"/>
                <w:color w:val="auto"/>
                <w:sz w:val="21"/>
                <w:szCs w:val="21"/>
                <w:lang w:val="en-US" w:eastAsia="zh-CN"/>
              </w:rPr>
              <w:t>臭气浓度</w:t>
            </w:r>
          </w:p>
        </w:tc>
        <w:tc>
          <w:tcPr>
            <w:tcW w:w="1170" w:type="dxa"/>
            <w:vAlign w:val="center"/>
          </w:tcPr>
          <w:p w14:paraId="5B7D25AF">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6C52BC53">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5A29CBAD">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09E59D57">
            <w:pPr>
              <w:keepNext w:val="0"/>
              <w:keepLines w:val="0"/>
              <w:widowControl/>
              <w:suppressLineNumbers w:val="0"/>
              <w:spacing w:line="360" w:lineRule="auto"/>
              <w:jc w:val="center"/>
              <w:textAlignment w:val="center"/>
              <w:rPr>
                <w:rFonts w:ascii="Times New Roman" w:hAnsi="Times New Roman" w:eastAsia="宋体"/>
                <w:color w:val="auto"/>
                <w:sz w:val="21"/>
                <w:szCs w:val="21"/>
              </w:rPr>
            </w:pPr>
            <w:r>
              <w:rPr>
                <w:rFonts w:hint="eastAsia" w:ascii="宋体" w:hAnsi="宋体" w:eastAsia="宋体" w:cs="宋体"/>
                <w:i w:val="0"/>
                <w:iCs w:val="0"/>
                <w:color w:val="auto"/>
                <w:kern w:val="0"/>
                <w:sz w:val="21"/>
                <w:szCs w:val="21"/>
                <w:highlight w:val="none"/>
                <w:u w:val="none"/>
                <w:lang w:val="en-US" w:eastAsia="zh-CN" w:bidi="ar"/>
              </w:rPr>
              <w:t>少量</w:t>
            </w:r>
          </w:p>
        </w:tc>
        <w:tc>
          <w:tcPr>
            <w:tcW w:w="1463" w:type="dxa"/>
            <w:vAlign w:val="center"/>
          </w:tcPr>
          <w:p w14:paraId="6EB48F0E">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4847265D">
            <w:pPr>
              <w:keepNext w:val="0"/>
              <w:keepLines w:val="0"/>
              <w:widowControl/>
              <w:suppressLineNumbers w:val="0"/>
              <w:spacing w:line="360" w:lineRule="auto"/>
              <w:jc w:val="center"/>
              <w:textAlignment w:val="center"/>
              <w:rPr>
                <w:rFonts w:ascii="Times New Roman" w:hAnsi="Times New Roman" w:eastAsia="宋体"/>
                <w:color w:val="auto"/>
                <w:sz w:val="21"/>
                <w:szCs w:val="21"/>
              </w:rPr>
            </w:pPr>
            <w:r>
              <w:rPr>
                <w:rFonts w:hint="eastAsia" w:ascii="宋体" w:hAnsi="宋体" w:eastAsia="宋体" w:cs="宋体"/>
                <w:i w:val="0"/>
                <w:iCs w:val="0"/>
                <w:color w:val="auto"/>
                <w:kern w:val="0"/>
                <w:sz w:val="21"/>
                <w:szCs w:val="21"/>
                <w:highlight w:val="none"/>
                <w:u w:val="none"/>
                <w:lang w:val="en-US" w:eastAsia="zh-CN" w:bidi="ar"/>
              </w:rPr>
              <w:t>少量</w:t>
            </w:r>
          </w:p>
        </w:tc>
        <w:tc>
          <w:tcPr>
            <w:tcW w:w="1463" w:type="dxa"/>
            <w:vAlign w:val="center"/>
          </w:tcPr>
          <w:p w14:paraId="4BF52766">
            <w:pPr>
              <w:keepNext w:val="0"/>
              <w:keepLines w:val="0"/>
              <w:widowControl/>
              <w:suppressLineNumbers w:val="0"/>
              <w:spacing w:line="360" w:lineRule="auto"/>
              <w:jc w:val="center"/>
              <w:textAlignment w:val="center"/>
              <w:rPr>
                <w:rFonts w:ascii="Times New Roman" w:hAnsi="Times New Roman" w:eastAsia="宋体" w:cs="宋体"/>
                <w:snapToGrid w:val="0"/>
                <w:color w:val="auto"/>
                <w:kern w:val="21"/>
                <w:sz w:val="21"/>
                <w:szCs w:val="21"/>
              </w:rPr>
            </w:pPr>
            <w:r>
              <w:rPr>
                <w:rFonts w:hint="eastAsia" w:ascii="宋体" w:hAnsi="宋体" w:eastAsia="宋体" w:cs="宋体"/>
                <w:i w:val="0"/>
                <w:iCs w:val="0"/>
                <w:color w:val="auto"/>
                <w:kern w:val="0"/>
                <w:sz w:val="21"/>
                <w:szCs w:val="21"/>
                <w:highlight w:val="none"/>
                <w:u w:val="none"/>
                <w:lang w:val="en-US" w:eastAsia="zh-CN" w:bidi="ar"/>
              </w:rPr>
              <w:t>增加少量</w:t>
            </w:r>
          </w:p>
        </w:tc>
      </w:tr>
      <w:tr w14:paraId="38B00B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1085" w:type="dxa"/>
            <w:vMerge w:val="restart"/>
            <w:vAlign w:val="center"/>
          </w:tcPr>
          <w:p w14:paraId="0DB42AB0">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hAnsi="Times New Roman" w:eastAsia="宋体" w:cs="宋体"/>
                <w:snapToGrid w:val="0"/>
                <w:color w:val="auto"/>
                <w:kern w:val="21"/>
                <w:sz w:val="21"/>
                <w:szCs w:val="21"/>
              </w:rPr>
              <w:t>废水</w:t>
            </w:r>
          </w:p>
        </w:tc>
        <w:tc>
          <w:tcPr>
            <w:tcW w:w="1432" w:type="dxa"/>
            <w:vAlign w:val="center"/>
          </w:tcPr>
          <w:p w14:paraId="5F73EC58">
            <w:pPr>
              <w:snapToGrid w:val="0"/>
              <w:jc w:val="center"/>
              <w:rPr>
                <w:rFonts w:ascii="Times New Roman" w:hAnsi="Times New Roman" w:eastAsia="宋体" w:cs="宋体"/>
                <w:snapToGrid w:val="0"/>
                <w:color w:val="auto"/>
                <w:kern w:val="21"/>
                <w:sz w:val="21"/>
                <w:szCs w:val="21"/>
              </w:rPr>
            </w:pPr>
            <w:r>
              <w:rPr>
                <w:rFonts w:hint="eastAsia" w:ascii="Times New Roman" w:hAnsi="Times New Roman" w:eastAsia="宋体" w:cs="宋体"/>
                <w:color w:val="auto"/>
                <w:sz w:val="21"/>
                <w:szCs w:val="21"/>
              </w:rPr>
              <w:t>COD</w:t>
            </w:r>
            <w:r>
              <w:rPr>
                <w:rFonts w:hint="eastAsia" w:ascii="Times New Roman" w:hAnsi="Times New Roman" w:eastAsia="宋体" w:cs="宋体"/>
                <w:color w:val="auto"/>
                <w:sz w:val="21"/>
                <w:szCs w:val="21"/>
                <w:vertAlign w:val="subscript"/>
              </w:rPr>
              <w:t>Cr</w:t>
            </w:r>
          </w:p>
        </w:tc>
        <w:tc>
          <w:tcPr>
            <w:tcW w:w="1170" w:type="dxa"/>
            <w:vAlign w:val="center"/>
          </w:tcPr>
          <w:p w14:paraId="254A75E4">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7D161EB6">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4EF60BF3">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55EBF75F">
            <w:pPr>
              <w:keepNext w:val="0"/>
              <w:keepLines w:val="0"/>
              <w:widowControl/>
              <w:suppressLineNumbers w:val="0"/>
              <w:spacing w:line="360" w:lineRule="auto"/>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1463" w:type="dxa"/>
            <w:vAlign w:val="center"/>
          </w:tcPr>
          <w:p w14:paraId="7CFB0AEF">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1ECB3088">
            <w:pPr>
              <w:keepNext w:val="0"/>
              <w:keepLines w:val="0"/>
              <w:widowControl/>
              <w:suppressLineNumbers w:val="0"/>
              <w:spacing w:line="360" w:lineRule="auto"/>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0.045</w:t>
            </w:r>
          </w:p>
        </w:tc>
        <w:tc>
          <w:tcPr>
            <w:tcW w:w="1463" w:type="dxa"/>
            <w:vAlign w:val="center"/>
          </w:tcPr>
          <w:p w14:paraId="20ED86DE">
            <w:pPr>
              <w:keepNext w:val="0"/>
              <w:keepLines w:val="0"/>
              <w:widowControl/>
              <w:suppressLineNumbers w:val="0"/>
              <w:spacing w:line="360" w:lineRule="auto"/>
              <w:jc w:val="center"/>
              <w:textAlignment w:val="center"/>
              <w:rPr>
                <w:rFonts w:ascii="Times New Roman" w:hAnsi="Times New Roman" w:eastAsia="宋体" w:cs="宋体"/>
                <w:snapToGrid w:val="0"/>
                <w:color w:val="auto"/>
                <w:kern w:val="21"/>
                <w:sz w:val="21"/>
                <w:szCs w:val="21"/>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0.045</w:t>
            </w:r>
          </w:p>
        </w:tc>
      </w:tr>
      <w:tr w14:paraId="51CAE8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trPr>
        <w:tc>
          <w:tcPr>
            <w:tcW w:w="1085" w:type="dxa"/>
            <w:vMerge w:val="continue"/>
            <w:vAlign w:val="center"/>
          </w:tcPr>
          <w:p w14:paraId="0AAFE4B0">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2A456C9D">
            <w:pPr>
              <w:snapToGrid w:val="0"/>
              <w:jc w:val="center"/>
              <w:rPr>
                <w:rFonts w:ascii="Times New Roman" w:hAnsi="Times New Roman" w:eastAsia="宋体" w:cs="宋体"/>
                <w:snapToGrid w:val="0"/>
                <w:color w:val="auto"/>
                <w:kern w:val="21"/>
                <w:sz w:val="21"/>
                <w:szCs w:val="21"/>
              </w:rPr>
            </w:pPr>
            <w:r>
              <w:rPr>
                <w:rFonts w:hint="eastAsia" w:ascii="Times New Roman" w:hAnsi="Times New Roman" w:eastAsia="宋体" w:cs="宋体"/>
                <w:color w:val="auto"/>
                <w:sz w:val="21"/>
                <w:szCs w:val="21"/>
              </w:rPr>
              <w:t>BOD</w:t>
            </w:r>
            <w:r>
              <w:rPr>
                <w:rFonts w:hint="eastAsia" w:ascii="Times New Roman" w:hAnsi="Times New Roman" w:eastAsia="宋体" w:cs="宋体"/>
                <w:color w:val="auto"/>
                <w:sz w:val="21"/>
                <w:szCs w:val="21"/>
                <w:vertAlign w:val="subscript"/>
              </w:rPr>
              <w:t>5</w:t>
            </w:r>
          </w:p>
        </w:tc>
        <w:tc>
          <w:tcPr>
            <w:tcW w:w="1170" w:type="dxa"/>
            <w:vAlign w:val="center"/>
          </w:tcPr>
          <w:p w14:paraId="31941FBC">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426E22BA">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46F5AB20">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1F552547">
            <w:pPr>
              <w:keepNext w:val="0"/>
              <w:keepLines w:val="0"/>
              <w:widowControl/>
              <w:suppressLineNumbers w:val="0"/>
              <w:spacing w:line="360" w:lineRule="auto"/>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0.027</w:t>
            </w:r>
          </w:p>
        </w:tc>
        <w:tc>
          <w:tcPr>
            <w:tcW w:w="1463" w:type="dxa"/>
            <w:vAlign w:val="center"/>
          </w:tcPr>
          <w:p w14:paraId="79DC0164">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0AC5A67A">
            <w:pPr>
              <w:keepNext w:val="0"/>
              <w:keepLines w:val="0"/>
              <w:widowControl/>
              <w:suppressLineNumbers w:val="0"/>
              <w:spacing w:line="360" w:lineRule="auto"/>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0.027</w:t>
            </w:r>
          </w:p>
        </w:tc>
        <w:tc>
          <w:tcPr>
            <w:tcW w:w="1463" w:type="dxa"/>
            <w:vAlign w:val="center"/>
          </w:tcPr>
          <w:p w14:paraId="5968D5C8">
            <w:pPr>
              <w:keepNext w:val="0"/>
              <w:keepLines w:val="0"/>
              <w:widowControl/>
              <w:suppressLineNumbers w:val="0"/>
              <w:spacing w:line="360" w:lineRule="auto"/>
              <w:jc w:val="center"/>
              <w:textAlignment w:val="center"/>
              <w:rPr>
                <w:rFonts w:ascii="Times New Roman" w:hAnsi="Times New Roman" w:eastAsia="宋体" w:cs="宋体"/>
                <w:snapToGrid w:val="0"/>
                <w:color w:val="auto"/>
                <w:kern w:val="21"/>
                <w:sz w:val="21"/>
                <w:szCs w:val="21"/>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0.027</w:t>
            </w:r>
          </w:p>
        </w:tc>
      </w:tr>
      <w:tr w14:paraId="5056B3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085" w:type="dxa"/>
            <w:vMerge w:val="continue"/>
            <w:vAlign w:val="center"/>
          </w:tcPr>
          <w:p w14:paraId="29661B7B">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7A5D15EF">
            <w:pPr>
              <w:snapToGrid w:val="0"/>
              <w:jc w:val="center"/>
              <w:rPr>
                <w:rFonts w:ascii="Times New Roman" w:hAnsi="Times New Roman" w:eastAsia="宋体" w:cs="宋体"/>
                <w:snapToGrid w:val="0"/>
                <w:color w:val="auto"/>
                <w:kern w:val="21"/>
                <w:sz w:val="21"/>
                <w:szCs w:val="21"/>
              </w:rPr>
            </w:pPr>
            <w:r>
              <w:rPr>
                <w:rFonts w:hint="eastAsia" w:ascii="Times New Roman" w:hAnsi="Times New Roman" w:eastAsia="宋体" w:cs="宋体"/>
                <w:color w:val="auto"/>
                <w:sz w:val="21"/>
                <w:szCs w:val="21"/>
              </w:rPr>
              <w:t>SS</w:t>
            </w:r>
          </w:p>
        </w:tc>
        <w:tc>
          <w:tcPr>
            <w:tcW w:w="1170" w:type="dxa"/>
            <w:vAlign w:val="center"/>
          </w:tcPr>
          <w:p w14:paraId="3A3A4B71">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538BFEDA">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0DF4D017">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13B271A6">
            <w:pPr>
              <w:keepNext w:val="0"/>
              <w:keepLines w:val="0"/>
              <w:widowControl/>
              <w:suppressLineNumbers w:val="0"/>
              <w:spacing w:line="360" w:lineRule="auto"/>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0.027</w:t>
            </w:r>
          </w:p>
        </w:tc>
        <w:tc>
          <w:tcPr>
            <w:tcW w:w="1463" w:type="dxa"/>
            <w:vAlign w:val="center"/>
          </w:tcPr>
          <w:p w14:paraId="517A102D">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7D695C87">
            <w:pPr>
              <w:keepNext w:val="0"/>
              <w:keepLines w:val="0"/>
              <w:widowControl/>
              <w:suppressLineNumbers w:val="0"/>
              <w:spacing w:line="360" w:lineRule="auto"/>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0.027</w:t>
            </w:r>
          </w:p>
        </w:tc>
        <w:tc>
          <w:tcPr>
            <w:tcW w:w="1463" w:type="dxa"/>
            <w:vAlign w:val="center"/>
          </w:tcPr>
          <w:p w14:paraId="71409BEA">
            <w:pPr>
              <w:keepNext w:val="0"/>
              <w:keepLines w:val="0"/>
              <w:widowControl/>
              <w:suppressLineNumbers w:val="0"/>
              <w:spacing w:line="360" w:lineRule="auto"/>
              <w:jc w:val="center"/>
              <w:textAlignment w:val="center"/>
              <w:rPr>
                <w:rFonts w:ascii="Times New Roman" w:hAnsi="Times New Roman" w:eastAsia="宋体" w:cs="宋体"/>
                <w:snapToGrid w:val="0"/>
                <w:color w:val="auto"/>
                <w:kern w:val="21"/>
                <w:sz w:val="21"/>
                <w:szCs w:val="21"/>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0.027</w:t>
            </w:r>
          </w:p>
        </w:tc>
      </w:tr>
      <w:tr w14:paraId="0CE337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8" w:hRule="atLeast"/>
        </w:trPr>
        <w:tc>
          <w:tcPr>
            <w:tcW w:w="1085" w:type="dxa"/>
            <w:vMerge w:val="continue"/>
            <w:vAlign w:val="center"/>
          </w:tcPr>
          <w:p w14:paraId="6ACA7B83">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4AF9A98B">
            <w:pPr>
              <w:snapToGrid w:val="0"/>
              <w:jc w:val="center"/>
              <w:rPr>
                <w:rFonts w:ascii="Times New Roman" w:hAnsi="Times New Roman" w:eastAsia="宋体" w:cs="宋体"/>
                <w:snapToGrid w:val="0"/>
                <w:color w:val="auto"/>
                <w:kern w:val="21"/>
                <w:sz w:val="21"/>
                <w:szCs w:val="21"/>
              </w:rPr>
            </w:pPr>
            <w:r>
              <w:rPr>
                <w:rFonts w:hint="eastAsia" w:ascii="Times New Roman" w:hAnsi="Times New Roman" w:eastAsia="宋体" w:cs="宋体"/>
                <w:color w:val="auto"/>
                <w:sz w:val="21"/>
                <w:szCs w:val="21"/>
              </w:rPr>
              <w:t>NH</w:t>
            </w:r>
            <w:r>
              <w:rPr>
                <w:rFonts w:hint="eastAsia" w:ascii="Times New Roman" w:hAnsi="Times New Roman" w:eastAsia="宋体" w:cs="宋体"/>
                <w:color w:val="auto"/>
                <w:sz w:val="21"/>
                <w:szCs w:val="21"/>
                <w:vertAlign w:val="subscript"/>
              </w:rPr>
              <w:t>3</w:t>
            </w:r>
            <w:r>
              <w:rPr>
                <w:rFonts w:hint="eastAsia" w:ascii="Times New Roman" w:hAnsi="Times New Roman" w:eastAsia="宋体" w:cs="宋体"/>
                <w:color w:val="auto"/>
                <w:sz w:val="21"/>
                <w:szCs w:val="21"/>
              </w:rPr>
              <w:t>-N</w:t>
            </w:r>
          </w:p>
        </w:tc>
        <w:tc>
          <w:tcPr>
            <w:tcW w:w="1170" w:type="dxa"/>
            <w:vAlign w:val="center"/>
          </w:tcPr>
          <w:p w14:paraId="25F7863B">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009A7DEF">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551064F2">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0F3D9802">
            <w:pPr>
              <w:keepNext w:val="0"/>
              <w:keepLines w:val="0"/>
              <w:widowControl/>
              <w:suppressLineNumbers w:val="0"/>
              <w:spacing w:line="360" w:lineRule="auto"/>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0.0045</w:t>
            </w:r>
          </w:p>
        </w:tc>
        <w:tc>
          <w:tcPr>
            <w:tcW w:w="1463" w:type="dxa"/>
            <w:vAlign w:val="center"/>
          </w:tcPr>
          <w:p w14:paraId="42C89BCB">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5506C28C">
            <w:pPr>
              <w:keepNext w:val="0"/>
              <w:keepLines w:val="0"/>
              <w:widowControl/>
              <w:suppressLineNumbers w:val="0"/>
              <w:spacing w:line="360" w:lineRule="auto"/>
              <w:jc w:val="center"/>
              <w:textAlignment w:val="center"/>
              <w:rPr>
                <w:rFonts w:ascii="Times New Roman" w:hAnsi="Times New Roman" w:eastAsia="宋体"/>
                <w:color w:val="auto"/>
                <w:kern w:val="2"/>
                <w:sz w:val="21"/>
                <w:szCs w:val="21"/>
              </w:rPr>
            </w:pPr>
            <w:r>
              <w:rPr>
                <w:rFonts w:hint="default" w:ascii="Times New Roman" w:hAnsi="Times New Roman" w:eastAsia="宋体" w:cs="Times New Roman"/>
                <w:i w:val="0"/>
                <w:iCs w:val="0"/>
                <w:color w:val="auto"/>
                <w:kern w:val="0"/>
                <w:sz w:val="21"/>
                <w:szCs w:val="21"/>
                <w:u w:val="none"/>
                <w:lang w:val="en-US" w:eastAsia="zh-CN" w:bidi="ar"/>
              </w:rPr>
              <w:t>0.0045</w:t>
            </w:r>
          </w:p>
        </w:tc>
        <w:tc>
          <w:tcPr>
            <w:tcW w:w="1463" w:type="dxa"/>
            <w:vAlign w:val="center"/>
          </w:tcPr>
          <w:p w14:paraId="71FA4D36">
            <w:pPr>
              <w:keepNext w:val="0"/>
              <w:keepLines w:val="0"/>
              <w:widowControl/>
              <w:suppressLineNumbers w:val="0"/>
              <w:spacing w:line="360" w:lineRule="auto"/>
              <w:jc w:val="center"/>
              <w:textAlignment w:val="center"/>
              <w:rPr>
                <w:rFonts w:ascii="Times New Roman" w:hAnsi="Times New Roman" w:eastAsia="宋体" w:cs="宋体"/>
                <w:snapToGrid w:val="0"/>
                <w:color w:val="auto"/>
                <w:kern w:val="21"/>
                <w:sz w:val="21"/>
                <w:szCs w:val="21"/>
              </w:rPr>
            </w:pP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0.0045</w:t>
            </w:r>
          </w:p>
        </w:tc>
      </w:tr>
      <w:tr w14:paraId="3190B4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1085" w:type="dxa"/>
            <w:vMerge w:val="restart"/>
            <w:vAlign w:val="center"/>
          </w:tcPr>
          <w:p w14:paraId="628580FF">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hAnsi="Times New Roman" w:eastAsia="宋体" w:cs="宋体"/>
                <w:snapToGrid w:val="0"/>
                <w:color w:val="auto"/>
                <w:kern w:val="21"/>
                <w:sz w:val="21"/>
                <w:szCs w:val="21"/>
              </w:rPr>
              <w:t>一般工业</w:t>
            </w:r>
          </w:p>
          <w:p w14:paraId="09F60C5A">
            <w:pPr>
              <w:pStyle w:val="163"/>
              <w:spacing w:before="24" w:after="24" w:line="240" w:lineRule="auto"/>
              <w:rPr>
                <w:rFonts w:ascii="Times New Roman" w:hAnsi="Times New Roman" w:eastAsia="宋体" w:cs="宋体"/>
                <w:snapToGrid w:val="0"/>
                <w:color w:val="auto"/>
                <w:kern w:val="21"/>
                <w:sz w:val="21"/>
                <w:szCs w:val="21"/>
              </w:rPr>
            </w:pPr>
            <w:r>
              <w:rPr>
                <w:rFonts w:hint="eastAsia" w:ascii="Times New Roman" w:hAnsi="Times New Roman" w:eastAsia="宋体" w:cs="宋体"/>
                <w:snapToGrid w:val="0"/>
                <w:color w:val="auto"/>
                <w:kern w:val="21"/>
                <w:sz w:val="21"/>
                <w:szCs w:val="21"/>
              </w:rPr>
              <w:t>固体废物</w:t>
            </w:r>
          </w:p>
        </w:tc>
        <w:tc>
          <w:tcPr>
            <w:tcW w:w="1432" w:type="dxa"/>
            <w:vAlign w:val="center"/>
          </w:tcPr>
          <w:p w14:paraId="234FCFC3">
            <w:pPr>
              <w:pStyle w:val="163"/>
              <w:spacing w:beforeLines="0" w:afterLines="0" w:line="240" w:lineRule="auto"/>
              <w:rPr>
                <w:rFonts w:hint="default" w:ascii="Times New Roman" w:hAnsi="Times New Roman" w:eastAsia="宋体" w:cs="宋体"/>
                <w:snapToGrid w:val="0"/>
                <w:color w:val="auto"/>
                <w:kern w:val="21"/>
                <w:sz w:val="21"/>
                <w:szCs w:val="21"/>
                <w:lang w:val="en-US" w:eastAsia="zh-CN"/>
              </w:rPr>
            </w:pPr>
            <w:r>
              <w:rPr>
                <w:rFonts w:hint="eastAsia" w:ascii="Times New Roman"/>
                <w:color w:val="auto"/>
                <w:sz w:val="21"/>
                <w:szCs w:val="21"/>
                <w:lang w:val="en-US" w:eastAsia="zh-CN"/>
              </w:rPr>
              <w:t>废粉尘</w:t>
            </w:r>
          </w:p>
        </w:tc>
        <w:tc>
          <w:tcPr>
            <w:tcW w:w="1170" w:type="dxa"/>
            <w:vAlign w:val="center"/>
          </w:tcPr>
          <w:p w14:paraId="2B7F78A5">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72DC0333">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4748A65A">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58DAB1FF">
            <w:pPr>
              <w:pStyle w:val="163"/>
              <w:spacing w:beforeLines="0" w:afterLines="0" w:line="240" w:lineRule="auto"/>
              <w:rPr>
                <w:rFonts w:hint="default" w:ascii="Times New Roman" w:hAnsi="Times New Roman" w:eastAsia="宋体"/>
                <w:color w:val="auto"/>
                <w:kern w:val="2"/>
                <w:sz w:val="21"/>
                <w:szCs w:val="21"/>
                <w:lang w:val="en-US" w:eastAsia="zh-CN"/>
              </w:rPr>
            </w:pPr>
            <w:r>
              <w:rPr>
                <w:rFonts w:hint="eastAsia" w:ascii="Times New Roman"/>
                <w:color w:val="auto"/>
                <w:kern w:val="2"/>
                <w:sz w:val="21"/>
                <w:szCs w:val="21"/>
                <w:lang w:val="en-US" w:eastAsia="zh-CN"/>
              </w:rPr>
              <w:t>0.2964</w:t>
            </w:r>
          </w:p>
        </w:tc>
        <w:tc>
          <w:tcPr>
            <w:tcW w:w="1463" w:type="dxa"/>
            <w:vAlign w:val="center"/>
          </w:tcPr>
          <w:p w14:paraId="1087850D">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69A028FB">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olor w:val="auto"/>
                <w:kern w:val="2"/>
                <w:sz w:val="21"/>
                <w:szCs w:val="21"/>
                <w:lang w:val="en-US" w:eastAsia="zh-CN"/>
              </w:rPr>
              <w:t>0.2964</w:t>
            </w:r>
          </w:p>
        </w:tc>
        <w:tc>
          <w:tcPr>
            <w:tcW w:w="1463" w:type="dxa"/>
            <w:vAlign w:val="center"/>
          </w:tcPr>
          <w:p w14:paraId="1703DCA3">
            <w:pPr>
              <w:pStyle w:val="163"/>
              <w:spacing w:beforeLines="0" w:afterLines="0" w:line="240" w:lineRule="auto"/>
              <w:rPr>
                <w:rFonts w:hint="eastAsia" w:ascii="Times New Roman" w:hAnsi="Times New Roman" w:eastAsia="宋体" w:cs="宋体"/>
                <w:snapToGrid w:val="0"/>
                <w:color w:val="auto"/>
                <w:kern w:val="21"/>
                <w:sz w:val="21"/>
                <w:szCs w:val="21"/>
                <w:lang w:val="en-US" w:eastAsia="zh-CN"/>
              </w:rPr>
            </w:pPr>
            <w:r>
              <w:rPr>
                <w:rFonts w:hint="eastAsia" w:ascii="Times New Roman"/>
                <w:color w:val="auto"/>
                <w:kern w:val="2"/>
                <w:sz w:val="21"/>
                <w:szCs w:val="21"/>
                <w:lang w:val="en-US" w:eastAsia="zh-CN"/>
              </w:rPr>
              <w:t>+0.2964</w:t>
            </w:r>
          </w:p>
        </w:tc>
      </w:tr>
      <w:tr w14:paraId="3554C0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1085" w:type="dxa"/>
            <w:vMerge w:val="continue"/>
            <w:vAlign w:val="center"/>
          </w:tcPr>
          <w:p w14:paraId="46BADE4C">
            <w:pPr>
              <w:pStyle w:val="163"/>
              <w:spacing w:before="24" w:after="24" w:line="240" w:lineRule="auto"/>
              <w:rPr>
                <w:rFonts w:hint="eastAsia" w:ascii="Times New Roman" w:hAnsi="Times New Roman" w:eastAsia="宋体" w:cs="宋体"/>
                <w:snapToGrid w:val="0"/>
                <w:color w:val="auto"/>
                <w:kern w:val="21"/>
                <w:sz w:val="21"/>
                <w:szCs w:val="21"/>
              </w:rPr>
            </w:pPr>
          </w:p>
        </w:tc>
        <w:tc>
          <w:tcPr>
            <w:tcW w:w="1432" w:type="dxa"/>
            <w:vAlign w:val="center"/>
          </w:tcPr>
          <w:p w14:paraId="27983FBB">
            <w:pPr>
              <w:pStyle w:val="163"/>
              <w:spacing w:beforeLines="0" w:afterLines="0" w:line="240" w:lineRule="auto"/>
              <w:rPr>
                <w:rFonts w:hint="default" w:ascii="Times New Roman"/>
                <w:color w:val="auto"/>
                <w:sz w:val="21"/>
                <w:szCs w:val="21"/>
                <w:lang w:val="en-US" w:eastAsia="zh-CN"/>
              </w:rPr>
            </w:pPr>
            <w:r>
              <w:rPr>
                <w:rFonts w:hint="eastAsia" w:ascii="Times New Roman" w:hAnsi="Times New Roman" w:eastAsia="宋体"/>
                <w:color w:val="auto"/>
                <w:sz w:val="21"/>
                <w:szCs w:val="21"/>
              </w:rPr>
              <w:t>废包装</w:t>
            </w:r>
            <w:r>
              <w:rPr>
                <w:rFonts w:hint="eastAsia" w:ascii="Times New Roman"/>
                <w:color w:val="auto"/>
                <w:sz w:val="21"/>
                <w:szCs w:val="21"/>
                <w:lang w:val="en-US" w:eastAsia="zh-CN"/>
              </w:rPr>
              <w:t>材料</w:t>
            </w:r>
          </w:p>
        </w:tc>
        <w:tc>
          <w:tcPr>
            <w:tcW w:w="1170" w:type="dxa"/>
            <w:vAlign w:val="center"/>
          </w:tcPr>
          <w:p w14:paraId="6A96DB8C">
            <w:pPr>
              <w:pStyle w:val="163"/>
              <w:spacing w:beforeLines="0" w:afterLines="0" w:line="240" w:lineRule="auto"/>
              <w:rPr>
                <w:rFonts w:hint="eastAsia" w:ascii="Times New Roman" w:cs="宋体"/>
                <w:snapToGrid w:val="0"/>
                <w:color w:val="auto"/>
                <w:kern w:val="21"/>
                <w:sz w:val="21"/>
                <w:szCs w:val="21"/>
                <w:lang w:val="en-US" w:eastAsia="zh-CN"/>
              </w:rPr>
            </w:pPr>
            <w:r>
              <w:rPr>
                <w:rFonts w:hint="eastAsia" w:ascii="Times New Roman" w:cs="宋体"/>
                <w:snapToGrid w:val="0"/>
                <w:color w:val="auto"/>
                <w:kern w:val="21"/>
                <w:sz w:val="21"/>
                <w:szCs w:val="21"/>
                <w:lang w:val="en-US" w:eastAsia="zh-CN"/>
              </w:rPr>
              <w:t>/</w:t>
            </w:r>
          </w:p>
        </w:tc>
        <w:tc>
          <w:tcPr>
            <w:tcW w:w="1610" w:type="dxa"/>
            <w:vAlign w:val="center"/>
          </w:tcPr>
          <w:p w14:paraId="4E29CA7E">
            <w:pPr>
              <w:pStyle w:val="163"/>
              <w:spacing w:beforeLines="0" w:afterLines="0" w:line="240" w:lineRule="auto"/>
              <w:rPr>
                <w:rFonts w:hint="eastAsia" w:ascii="Times New Roman" w:cs="宋体"/>
                <w:snapToGrid w:val="0"/>
                <w:color w:val="auto"/>
                <w:kern w:val="21"/>
                <w:sz w:val="21"/>
                <w:szCs w:val="21"/>
                <w:lang w:val="en-US" w:eastAsia="zh-CN"/>
              </w:rPr>
            </w:pPr>
            <w:r>
              <w:rPr>
                <w:rFonts w:hint="eastAsia" w:ascii="Times New Roman" w:cs="宋体"/>
                <w:snapToGrid w:val="0"/>
                <w:color w:val="auto"/>
                <w:kern w:val="21"/>
                <w:sz w:val="21"/>
                <w:szCs w:val="21"/>
                <w:lang w:val="en-US" w:eastAsia="zh-CN"/>
              </w:rPr>
              <w:t>/</w:t>
            </w:r>
          </w:p>
        </w:tc>
        <w:tc>
          <w:tcPr>
            <w:tcW w:w="1463" w:type="dxa"/>
            <w:vAlign w:val="center"/>
          </w:tcPr>
          <w:p w14:paraId="38C4AC23">
            <w:pPr>
              <w:pStyle w:val="163"/>
              <w:spacing w:beforeLines="0" w:afterLines="0" w:line="240" w:lineRule="auto"/>
              <w:rPr>
                <w:rFonts w:hint="eastAsia" w:ascii="Times New Roman" w:cs="宋体"/>
                <w:snapToGrid w:val="0"/>
                <w:color w:val="auto"/>
                <w:kern w:val="21"/>
                <w:sz w:val="21"/>
                <w:szCs w:val="21"/>
                <w:lang w:val="en-US" w:eastAsia="zh-CN"/>
              </w:rPr>
            </w:pPr>
            <w:r>
              <w:rPr>
                <w:rFonts w:hint="eastAsia" w:ascii="Times New Roman" w:cs="宋体"/>
                <w:snapToGrid w:val="0"/>
                <w:color w:val="auto"/>
                <w:kern w:val="21"/>
                <w:sz w:val="21"/>
                <w:szCs w:val="21"/>
                <w:lang w:val="en-US" w:eastAsia="zh-CN"/>
              </w:rPr>
              <w:t>/</w:t>
            </w:r>
          </w:p>
        </w:tc>
        <w:tc>
          <w:tcPr>
            <w:tcW w:w="2049" w:type="dxa"/>
            <w:vAlign w:val="center"/>
          </w:tcPr>
          <w:p w14:paraId="3D6B20F5">
            <w:pPr>
              <w:pStyle w:val="163"/>
              <w:spacing w:beforeLines="0" w:afterLines="0" w:line="240" w:lineRule="auto"/>
              <w:rPr>
                <w:rFonts w:hint="default" w:ascii="Times New Roman"/>
                <w:color w:val="auto"/>
                <w:kern w:val="2"/>
                <w:sz w:val="21"/>
                <w:szCs w:val="21"/>
                <w:lang w:val="en-US" w:eastAsia="zh-CN"/>
              </w:rPr>
            </w:pPr>
            <w:r>
              <w:rPr>
                <w:rFonts w:ascii="Times New Roman" w:hAnsi="Times New Roman" w:eastAsia="宋体"/>
                <w:color w:val="auto"/>
                <w:kern w:val="2"/>
                <w:sz w:val="21"/>
                <w:szCs w:val="21"/>
              </w:rPr>
              <w:t>0.</w:t>
            </w:r>
            <w:r>
              <w:rPr>
                <w:rFonts w:hint="eastAsia" w:ascii="Times New Roman"/>
                <w:color w:val="auto"/>
                <w:kern w:val="2"/>
                <w:sz w:val="21"/>
                <w:szCs w:val="21"/>
                <w:lang w:val="en-US" w:eastAsia="zh-CN"/>
              </w:rPr>
              <w:t>2997</w:t>
            </w:r>
          </w:p>
        </w:tc>
        <w:tc>
          <w:tcPr>
            <w:tcW w:w="1463" w:type="dxa"/>
            <w:vAlign w:val="center"/>
          </w:tcPr>
          <w:p w14:paraId="7F08D4FA">
            <w:pPr>
              <w:pStyle w:val="163"/>
              <w:spacing w:beforeLines="0" w:afterLines="0" w:line="240" w:lineRule="auto"/>
              <w:rPr>
                <w:rFonts w:hint="default" w:ascii="Times New Roman" w:cs="宋体"/>
                <w:snapToGrid w:val="0"/>
                <w:color w:val="auto"/>
                <w:kern w:val="21"/>
                <w:sz w:val="21"/>
                <w:szCs w:val="21"/>
                <w:lang w:val="en-US" w:eastAsia="zh-CN"/>
              </w:rPr>
            </w:pPr>
            <w:r>
              <w:rPr>
                <w:rFonts w:hint="eastAsia" w:ascii="Times New Roman" w:cs="宋体"/>
                <w:snapToGrid w:val="0"/>
                <w:color w:val="auto"/>
                <w:kern w:val="21"/>
                <w:sz w:val="21"/>
                <w:szCs w:val="21"/>
                <w:lang w:val="en-US" w:eastAsia="zh-CN"/>
              </w:rPr>
              <w:t>/</w:t>
            </w:r>
          </w:p>
        </w:tc>
        <w:tc>
          <w:tcPr>
            <w:tcW w:w="1902" w:type="dxa"/>
            <w:vAlign w:val="center"/>
          </w:tcPr>
          <w:p w14:paraId="69AF077A">
            <w:pPr>
              <w:pStyle w:val="163"/>
              <w:spacing w:beforeLines="0" w:afterLines="0" w:line="240" w:lineRule="auto"/>
              <w:rPr>
                <w:rFonts w:ascii="Times New Roman" w:hAnsi="Times New Roman" w:eastAsia="宋体"/>
                <w:color w:val="auto"/>
                <w:kern w:val="2"/>
                <w:sz w:val="21"/>
                <w:szCs w:val="21"/>
              </w:rPr>
            </w:pPr>
            <w:r>
              <w:rPr>
                <w:rFonts w:hint="eastAsia" w:ascii="Times New Roman" w:cs="宋体"/>
                <w:snapToGrid w:val="0"/>
                <w:color w:val="auto"/>
                <w:kern w:val="21"/>
                <w:sz w:val="21"/>
                <w:szCs w:val="21"/>
                <w:lang w:val="en-US" w:eastAsia="zh-CN"/>
              </w:rPr>
              <w:t>0.2997</w:t>
            </w:r>
          </w:p>
        </w:tc>
        <w:tc>
          <w:tcPr>
            <w:tcW w:w="1463" w:type="dxa"/>
            <w:vAlign w:val="center"/>
          </w:tcPr>
          <w:p w14:paraId="00AEFBA9">
            <w:pPr>
              <w:pStyle w:val="163"/>
              <w:spacing w:beforeLines="0" w:afterLines="0" w:line="240" w:lineRule="auto"/>
              <w:rPr>
                <w:rFonts w:hint="eastAsia" w:ascii="Times New Roman" w:cs="宋体"/>
                <w:snapToGrid w:val="0"/>
                <w:color w:val="auto"/>
                <w:kern w:val="21"/>
                <w:sz w:val="21"/>
                <w:szCs w:val="21"/>
                <w:lang w:val="en-US" w:eastAsia="zh-CN"/>
              </w:rPr>
            </w:pPr>
            <w:r>
              <w:rPr>
                <w:rFonts w:hint="eastAsia" w:ascii="Times New Roman" w:cs="宋体"/>
                <w:snapToGrid w:val="0"/>
                <w:color w:val="auto"/>
                <w:kern w:val="21"/>
                <w:sz w:val="21"/>
                <w:szCs w:val="21"/>
                <w:lang w:val="en-US" w:eastAsia="zh-CN"/>
              </w:rPr>
              <w:t>+0.2997</w:t>
            </w:r>
          </w:p>
        </w:tc>
      </w:tr>
      <w:tr w14:paraId="527FCD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trPr>
        <w:tc>
          <w:tcPr>
            <w:tcW w:w="1085" w:type="dxa"/>
            <w:vMerge w:val="restart"/>
            <w:vAlign w:val="center"/>
          </w:tcPr>
          <w:p w14:paraId="01C07F0D">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hAnsi="Times New Roman" w:eastAsia="宋体" w:cs="宋体"/>
                <w:snapToGrid w:val="0"/>
                <w:color w:val="auto"/>
                <w:kern w:val="21"/>
                <w:sz w:val="21"/>
                <w:szCs w:val="21"/>
              </w:rPr>
              <w:t>危险废物</w:t>
            </w:r>
          </w:p>
        </w:tc>
        <w:tc>
          <w:tcPr>
            <w:tcW w:w="1432" w:type="dxa"/>
            <w:vAlign w:val="center"/>
          </w:tcPr>
          <w:p w14:paraId="38F7DCE0">
            <w:pPr>
              <w:pStyle w:val="163"/>
              <w:spacing w:beforeLines="0" w:afterLines="0" w:line="240" w:lineRule="auto"/>
              <w:rPr>
                <w:rFonts w:hint="eastAsia" w:ascii="Times New Roman" w:hAnsi="Times New Roman" w:eastAsia="宋体" w:cs="宋体"/>
                <w:snapToGrid w:val="0"/>
                <w:color w:val="auto"/>
                <w:kern w:val="21"/>
                <w:sz w:val="21"/>
                <w:szCs w:val="21"/>
                <w:lang w:eastAsia="zh-CN"/>
              </w:rPr>
            </w:pPr>
            <w:r>
              <w:rPr>
                <w:rFonts w:hint="eastAsia" w:ascii="Times New Roman"/>
                <w:color w:val="auto"/>
                <w:sz w:val="21"/>
                <w:szCs w:val="21"/>
                <w:lang w:eastAsia="zh-CN"/>
              </w:rPr>
              <w:t>废活性炭</w:t>
            </w:r>
          </w:p>
        </w:tc>
        <w:tc>
          <w:tcPr>
            <w:tcW w:w="1170" w:type="dxa"/>
            <w:vAlign w:val="center"/>
          </w:tcPr>
          <w:p w14:paraId="7FD85975">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114D09F9">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0AABB878">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7F8B531B">
            <w:pPr>
              <w:pStyle w:val="163"/>
              <w:spacing w:beforeLines="0" w:afterLines="0" w:line="240" w:lineRule="auto"/>
              <w:rPr>
                <w:rFonts w:hint="default" w:ascii="Times New Roman" w:hAnsi="Times New Roman" w:eastAsia="宋体" w:cs="宋体"/>
                <w:b w:val="0"/>
                <w:bCs w:val="0"/>
                <w:snapToGrid w:val="0"/>
                <w:color w:val="auto"/>
                <w:kern w:val="21"/>
                <w:sz w:val="21"/>
                <w:szCs w:val="21"/>
                <w:lang w:val="en-US" w:eastAsia="zh-CN"/>
              </w:rPr>
            </w:pPr>
            <w:r>
              <w:rPr>
                <w:rFonts w:hint="eastAsia" w:ascii="Times New Roman" w:cs="宋体"/>
                <w:b w:val="0"/>
                <w:bCs w:val="0"/>
                <w:snapToGrid w:val="0"/>
                <w:color w:val="auto"/>
                <w:kern w:val="21"/>
                <w:sz w:val="21"/>
                <w:szCs w:val="21"/>
                <w:lang w:val="en-US" w:eastAsia="zh-CN"/>
              </w:rPr>
              <w:t>1.8255</w:t>
            </w:r>
          </w:p>
        </w:tc>
        <w:tc>
          <w:tcPr>
            <w:tcW w:w="1463" w:type="dxa"/>
            <w:vAlign w:val="center"/>
          </w:tcPr>
          <w:p w14:paraId="49B7E26F">
            <w:pPr>
              <w:pStyle w:val="163"/>
              <w:spacing w:beforeLines="0" w:afterLines="0" w:line="240" w:lineRule="auto"/>
              <w:rPr>
                <w:rFonts w:ascii="Times New Roman" w:hAnsi="Times New Roman" w:eastAsia="宋体" w:cs="宋体"/>
                <w:b w:val="0"/>
                <w:bCs w:val="0"/>
                <w:snapToGrid w:val="0"/>
                <w:color w:val="auto"/>
                <w:kern w:val="21"/>
                <w:sz w:val="21"/>
                <w:szCs w:val="21"/>
              </w:rPr>
            </w:pPr>
            <w:r>
              <w:rPr>
                <w:rFonts w:hint="eastAsia" w:ascii="Times New Roman" w:cs="宋体"/>
                <w:b w:val="0"/>
                <w:bCs w:val="0"/>
                <w:snapToGrid w:val="0"/>
                <w:color w:val="auto"/>
                <w:kern w:val="21"/>
                <w:sz w:val="21"/>
                <w:szCs w:val="21"/>
                <w:lang w:val="en-US" w:eastAsia="zh-CN"/>
              </w:rPr>
              <w:t>/</w:t>
            </w:r>
          </w:p>
        </w:tc>
        <w:tc>
          <w:tcPr>
            <w:tcW w:w="1902" w:type="dxa"/>
            <w:vAlign w:val="center"/>
          </w:tcPr>
          <w:p w14:paraId="593FC41A">
            <w:pPr>
              <w:pStyle w:val="163"/>
              <w:spacing w:beforeLines="0" w:afterLines="0" w:line="240" w:lineRule="auto"/>
              <w:rPr>
                <w:rFonts w:hint="default" w:ascii="Times New Roman" w:hAnsi="Times New Roman" w:eastAsia="宋体" w:cs="宋体"/>
                <w:b w:val="0"/>
                <w:bCs w:val="0"/>
                <w:snapToGrid w:val="0"/>
                <w:color w:val="auto"/>
                <w:kern w:val="21"/>
                <w:sz w:val="21"/>
                <w:szCs w:val="21"/>
                <w:lang w:val="en-US"/>
              </w:rPr>
            </w:pPr>
            <w:r>
              <w:rPr>
                <w:rFonts w:hint="eastAsia" w:ascii="Times New Roman" w:cs="宋体"/>
                <w:b w:val="0"/>
                <w:bCs w:val="0"/>
                <w:snapToGrid w:val="0"/>
                <w:color w:val="auto"/>
                <w:kern w:val="21"/>
                <w:sz w:val="21"/>
                <w:szCs w:val="21"/>
                <w:lang w:val="en-US" w:eastAsia="zh-CN"/>
              </w:rPr>
              <w:t>1.8255</w:t>
            </w:r>
          </w:p>
        </w:tc>
        <w:tc>
          <w:tcPr>
            <w:tcW w:w="1463" w:type="dxa"/>
            <w:vAlign w:val="center"/>
          </w:tcPr>
          <w:p w14:paraId="16983EC3">
            <w:pPr>
              <w:pStyle w:val="163"/>
              <w:spacing w:beforeLines="0" w:afterLines="0" w:line="240" w:lineRule="auto"/>
              <w:rPr>
                <w:rFonts w:hint="default" w:ascii="Times New Roman" w:hAnsi="Times New Roman" w:eastAsia="宋体" w:cs="宋体"/>
                <w:b w:val="0"/>
                <w:bCs w:val="0"/>
                <w:snapToGrid w:val="0"/>
                <w:color w:val="auto"/>
                <w:kern w:val="21"/>
                <w:sz w:val="21"/>
                <w:szCs w:val="21"/>
                <w:lang w:val="en-US" w:eastAsia="zh-CN"/>
              </w:rPr>
            </w:pPr>
            <w:r>
              <w:rPr>
                <w:rFonts w:hint="eastAsia" w:ascii="Times New Roman" w:cs="宋体"/>
                <w:b w:val="0"/>
                <w:bCs w:val="0"/>
                <w:snapToGrid w:val="0"/>
                <w:color w:val="auto"/>
                <w:kern w:val="21"/>
                <w:sz w:val="21"/>
                <w:szCs w:val="21"/>
                <w:lang w:val="en-US" w:eastAsia="zh-CN"/>
              </w:rPr>
              <w:t>+1.8255</w:t>
            </w:r>
          </w:p>
        </w:tc>
      </w:tr>
      <w:tr w14:paraId="2AE268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3" w:hRule="atLeast"/>
        </w:trPr>
        <w:tc>
          <w:tcPr>
            <w:tcW w:w="1085" w:type="dxa"/>
            <w:vMerge w:val="continue"/>
            <w:vAlign w:val="center"/>
          </w:tcPr>
          <w:p w14:paraId="5D0791B0">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19120CC3">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hAnsi="Times New Roman" w:eastAsia="宋体"/>
                <w:color w:val="auto"/>
                <w:sz w:val="21"/>
                <w:szCs w:val="21"/>
              </w:rPr>
              <w:t>废润滑油及其包装物</w:t>
            </w:r>
          </w:p>
        </w:tc>
        <w:tc>
          <w:tcPr>
            <w:tcW w:w="1170" w:type="dxa"/>
            <w:vAlign w:val="center"/>
          </w:tcPr>
          <w:p w14:paraId="51F2BCA2">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0DE232BC">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2DA1DACB">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1C98F650">
            <w:pPr>
              <w:pStyle w:val="163"/>
              <w:spacing w:beforeLines="0" w:afterLines="0" w:line="240" w:lineRule="auto"/>
              <w:rPr>
                <w:rFonts w:hint="eastAsia" w:ascii="Times New Roman" w:hAnsi="Times New Roman" w:eastAsia="宋体" w:cs="宋体"/>
                <w:snapToGrid w:val="0"/>
                <w:color w:val="auto"/>
                <w:kern w:val="21"/>
                <w:sz w:val="21"/>
                <w:szCs w:val="21"/>
                <w:lang w:val="en-US" w:eastAsia="zh-CN"/>
              </w:rPr>
            </w:pPr>
            <w:r>
              <w:rPr>
                <w:rFonts w:hint="eastAsia" w:ascii="Times New Roman" w:hAnsi="Times New Roman" w:eastAsia="宋体" w:cs="宋体"/>
                <w:snapToGrid w:val="0"/>
                <w:color w:val="auto"/>
                <w:kern w:val="21"/>
                <w:sz w:val="21"/>
                <w:szCs w:val="21"/>
              </w:rPr>
              <w:t>0.01</w:t>
            </w:r>
            <w:r>
              <w:rPr>
                <w:rFonts w:hint="eastAsia" w:ascii="Times New Roman" w:cs="宋体"/>
                <w:snapToGrid w:val="0"/>
                <w:color w:val="auto"/>
                <w:kern w:val="21"/>
                <w:sz w:val="21"/>
                <w:szCs w:val="21"/>
                <w:lang w:val="en-US" w:eastAsia="zh-CN"/>
              </w:rPr>
              <w:t>1</w:t>
            </w:r>
          </w:p>
        </w:tc>
        <w:tc>
          <w:tcPr>
            <w:tcW w:w="1463" w:type="dxa"/>
            <w:vAlign w:val="center"/>
          </w:tcPr>
          <w:p w14:paraId="2A928BAE">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66947842">
            <w:pPr>
              <w:pStyle w:val="163"/>
              <w:spacing w:beforeLines="0" w:afterLines="0" w:line="240" w:lineRule="auto"/>
              <w:rPr>
                <w:rFonts w:hint="eastAsia" w:ascii="Times New Roman" w:hAnsi="Times New Roman" w:eastAsia="宋体" w:cs="宋体"/>
                <w:snapToGrid w:val="0"/>
                <w:color w:val="auto"/>
                <w:kern w:val="21"/>
                <w:sz w:val="21"/>
                <w:szCs w:val="21"/>
                <w:lang w:val="en-US" w:eastAsia="zh-CN"/>
              </w:rPr>
            </w:pPr>
            <w:r>
              <w:rPr>
                <w:rFonts w:hint="eastAsia" w:ascii="Times New Roman" w:hAnsi="Times New Roman" w:eastAsia="宋体" w:cs="宋体"/>
                <w:snapToGrid w:val="0"/>
                <w:color w:val="auto"/>
                <w:kern w:val="21"/>
                <w:sz w:val="21"/>
                <w:szCs w:val="21"/>
              </w:rPr>
              <w:t>0.01</w:t>
            </w:r>
            <w:r>
              <w:rPr>
                <w:rFonts w:hint="eastAsia" w:ascii="Times New Roman" w:cs="宋体"/>
                <w:snapToGrid w:val="0"/>
                <w:color w:val="auto"/>
                <w:kern w:val="21"/>
                <w:sz w:val="21"/>
                <w:szCs w:val="21"/>
                <w:lang w:val="en-US" w:eastAsia="zh-CN"/>
              </w:rPr>
              <w:t>1</w:t>
            </w:r>
          </w:p>
        </w:tc>
        <w:tc>
          <w:tcPr>
            <w:tcW w:w="1463" w:type="dxa"/>
            <w:vAlign w:val="center"/>
          </w:tcPr>
          <w:p w14:paraId="2E4DE901">
            <w:pPr>
              <w:pStyle w:val="163"/>
              <w:spacing w:beforeLines="0" w:afterLines="0" w:line="240" w:lineRule="auto"/>
              <w:rPr>
                <w:rFonts w:hint="default" w:ascii="Times New Roman" w:hAnsi="Times New Roman" w:eastAsia="宋体" w:cs="宋体"/>
                <w:snapToGrid w:val="0"/>
                <w:color w:val="auto"/>
                <w:kern w:val="21"/>
                <w:sz w:val="21"/>
                <w:szCs w:val="21"/>
                <w:lang w:val="en-US" w:eastAsia="zh-CN"/>
              </w:rPr>
            </w:pPr>
            <w:r>
              <w:rPr>
                <w:rFonts w:hint="eastAsia" w:ascii="Times New Roman" w:cs="宋体"/>
                <w:snapToGrid w:val="0"/>
                <w:color w:val="auto"/>
                <w:kern w:val="21"/>
                <w:sz w:val="21"/>
                <w:szCs w:val="21"/>
                <w:lang w:val="en-US" w:eastAsia="zh-CN"/>
              </w:rPr>
              <w:t>+0.011</w:t>
            </w:r>
          </w:p>
        </w:tc>
      </w:tr>
      <w:tr w14:paraId="354FDD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1085" w:type="dxa"/>
            <w:vMerge w:val="continue"/>
            <w:vAlign w:val="center"/>
          </w:tcPr>
          <w:p w14:paraId="408E1EA2">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43A486D0">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hAnsi="Times New Roman" w:eastAsia="宋体"/>
                <w:color w:val="auto"/>
                <w:sz w:val="21"/>
                <w:szCs w:val="21"/>
              </w:rPr>
              <w:t>除油废液</w:t>
            </w:r>
          </w:p>
        </w:tc>
        <w:tc>
          <w:tcPr>
            <w:tcW w:w="1170" w:type="dxa"/>
            <w:vAlign w:val="center"/>
          </w:tcPr>
          <w:p w14:paraId="311A1CDA">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4F069D30">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25925761">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07E29BF8">
            <w:pPr>
              <w:widowControl/>
              <w:adjustRightInd w:val="0"/>
              <w:snapToGrid w:val="0"/>
              <w:spacing w:line="360" w:lineRule="auto"/>
              <w:jc w:val="center"/>
              <w:rPr>
                <w:rFonts w:hint="eastAsia" w:ascii="Times New Roman" w:hAnsi="Times New Roman" w:eastAsia="宋体" w:cs="宋体"/>
                <w:snapToGrid w:val="0"/>
                <w:color w:val="auto"/>
                <w:kern w:val="21"/>
                <w:sz w:val="21"/>
                <w:szCs w:val="21"/>
                <w:lang w:eastAsia="zh-CN"/>
              </w:rPr>
            </w:pPr>
            <w:r>
              <w:rPr>
                <w:color w:val="auto"/>
                <w:kern w:val="0"/>
                <w:sz w:val="21"/>
                <w:szCs w:val="21"/>
              </w:rPr>
              <w:t>1</w:t>
            </w:r>
            <w:r>
              <w:rPr>
                <w:rFonts w:hint="eastAsia"/>
                <w:color w:val="auto"/>
                <w:kern w:val="0"/>
                <w:sz w:val="21"/>
                <w:szCs w:val="21"/>
                <w:lang w:val="en-US" w:eastAsia="zh-CN"/>
              </w:rPr>
              <w:t>1</w:t>
            </w:r>
            <w:r>
              <w:rPr>
                <w:color w:val="auto"/>
                <w:kern w:val="0"/>
                <w:sz w:val="21"/>
                <w:szCs w:val="21"/>
              </w:rPr>
              <w:t>.</w:t>
            </w:r>
            <w:r>
              <w:rPr>
                <w:rFonts w:hint="eastAsia"/>
                <w:color w:val="auto"/>
                <w:kern w:val="0"/>
                <w:sz w:val="21"/>
                <w:szCs w:val="21"/>
                <w:lang w:val="en-US" w:eastAsia="zh-CN"/>
              </w:rPr>
              <w:t>2</w:t>
            </w:r>
          </w:p>
        </w:tc>
        <w:tc>
          <w:tcPr>
            <w:tcW w:w="1463" w:type="dxa"/>
            <w:vAlign w:val="center"/>
          </w:tcPr>
          <w:p w14:paraId="1F5981FB">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7A27E25C">
            <w:pPr>
              <w:widowControl/>
              <w:adjustRightInd w:val="0"/>
              <w:snapToGrid w:val="0"/>
              <w:spacing w:line="360" w:lineRule="auto"/>
              <w:jc w:val="center"/>
              <w:rPr>
                <w:rFonts w:hint="eastAsia" w:ascii="Times New Roman" w:hAnsi="Times New Roman" w:eastAsia="宋体" w:cs="宋体"/>
                <w:snapToGrid w:val="0"/>
                <w:color w:val="auto"/>
                <w:kern w:val="21"/>
                <w:sz w:val="21"/>
                <w:szCs w:val="21"/>
                <w:lang w:eastAsia="zh-CN"/>
              </w:rPr>
            </w:pPr>
            <w:r>
              <w:rPr>
                <w:color w:val="auto"/>
                <w:kern w:val="0"/>
                <w:sz w:val="21"/>
                <w:szCs w:val="21"/>
              </w:rPr>
              <w:t>1</w:t>
            </w:r>
            <w:r>
              <w:rPr>
                <w:rFonts w:hint="eastAsia"/>
                <w:color w:val="auto"/>
                <w:kern w:val="0"/>
                <w:sz w:val="21"/>
                <w:szCs w:val="21"/>
                <w:lang w:val="en-US" w:eastAsia="zh-CN"/>
              </w:rPr>
              <w:t>1</w:t>
            </w:r>
            <w:r>
              <w:rPr>
                <w:color w:val="auto"/>
                <w:kern w:val="0"/>
                <w:sz w:val="21"/>
                <w:szCs w:val="21"/>
              </w:rPr>
              <w:t>.</w:t>
            </w:r>
            <w:r>
              <w:rPr>
                <w:rFonts w:hint="eastAsia"/>
                <w:color w:val="auto"/>
                <w:kern w:val="0"/>
                <w:sz w:val="21"/>
                <w:szCs w:val="21"/>
                <w:lang w:val="en-US" w:eastAsia="zh-CN"/>
              </w:rPr>
              <w:t>2</w:t>
            </w:r>
          </w:p>
        </w:tc>
        <w:tc>
          <w:tcPr>
            <w:tcW w:w="1463" w:type="dxa"/>
            <w:vAlign w:val="center"/>
          </w:tcPr>
          <w:p w14:paraId="50E3825A">
            <w:pPr>
              <w:widowControl/>
              <w:adjustRightInd w:val="0"/>
              <w:snapToGrid w:val="0"/>
              <w:spacing w:line="360" w:lineRule="auto"/>
              <w:jc w:val="center"/>
              <w:rPr>
                <w:rFonts w:hint="eastAsia" w:ascii="Times New Roman" w:hAnsi="Times New Roman" w:eastAsia="宋体" w:cs="宋体"/>
                <w:snapToGrid w:val="0"/>
                <w:color w:val="auto"/>
                <w:kern w:val="21"/>
                <w:sz w:val="21"/>
                <w:szCs w:val="21"/>
                <w:lang w:eastAsia="zh-CN"/>
              </w:rPr>
            </w:pPr>
            <w:r>
              <w:rPr>
                <w:rFonts w:hint="eastAsia"/>
                <w:color w:val="auto"/>
                <w:kern w:val="0"/>
                <w:sz w:val="21"/>
                <w:szCs w:val="21"/>
                <w:lang w:val="en-US" w:eastAsia="zh-CN"/>
              </w:rPr>
              <w:t>+</w:t>
            </w:r>
            <w:r>
              <w:rPr>
                <w:color w:val="auto"/>
                <w:kern w:val="0"/>
                <w:sz w:val="21"/>
                <w:szCs w:val="21"/>
              </w:rPr>
              <w:t>1</w:t>
            </w:r>
            <w:r>
              <w:rPr>
                <w:rFonts w:hint="eastAsia"/>
                <w:color w:val="auto"/>
                <w:kern w:val="0"/>
                <w:sz w:val="21"/>
                <w:szCs w:val="21"/>
                <w:lang w:val="en-US" w:eastAsia="zh-CN"/>
              </w:rPr>
              <w:t>1</w:t>
            </w:r>
            <w:r>
              <w:rPr>
                <w:color w:val="auto"/>
                <w:kern w:val="0"/>
                <w:sz w:val="21"/>
                <w:szCs w:val="21"/>
              </w:rPr>
              <w:t>.</w:t>
            </w:r>
            <w:r>
              <w:rPr>
                <w:rFonts w:hint="eastAsia"/>
                <w:color w:val="auto"/>
                <w:kern w:val="0"/>
                <w:sz w:val="21"/>
                <w:szCs w:val="21"/>
                <w:lang w:val="en-US" w:eastAsia="zh-CN"/>
              </w:rPr>
              <w:t>2</w:t>
            </w:r>
          </w:p>
        </w:tc>
      </w:tr>
      <w:tr w14:paraId="1C719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1085" w:type="dxa"/>
            <w:vMerge w:val="continue"/>
            <w:vAlign w:val="center"/>
          </w:tcPr>
          <w:p w14:paraId="28035CE2">
            <w:pPr>
              <w:pStyle w:val="163"/>
              <w:spacing w:beforeLines="0" w:afterLines="0" w:line="240" w:lineRule="auto"/>
              <w:rPr>
                <w:rFonts w:ascii="Times New Roman" w:hAnsi="Times New Roman" w:eastAsia="宋体" w:cs="宋体"/>
                <w:snapToGrid w:val="0"/>
                <w:color w:val="auto"/>
                <w:kern w:val="21"/>
                <w:sz w:val="21"/>
                <w:szCs w:val="21"/>
              </w:rPr>
            </w:pPr>
          </w:p>
        </w:tc>
        <w:tc>
          <w:tcPr>
            <w:tcW w:w="1432" w:type="dxa"/>
            <w:vAlign w:val="center"/>
          </w:tcPr>
          <w:p w14:paraId="01FC2BF9">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hAnsi="Times New Roman" w:eastAsia="宋体"/>
                <w:color w:val="auto"/>
                <w:sz w:val="21"/>
                <w:szCs w:val="21"/>
              </w:rPr>
              <w:t>陶化废液</w:t>
            </w:r>
          </w:p>
        </w:tc>
        <w:tc>
          <w:tcPr>
            <w:tcW w:w="1170" w:type="dxa"/>
            <w:vAlign w:val="center"/>
          </w:tcPr>
          <w:p w14:paraId="4643D7E4">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610" w:type="dxa"/>
            <w:vAlign w:val="center"/>
          </w:tcPr>
          <w:p w14:paraId="032AD2F2">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463" w:type="dxa"/>
            <w:vAlign w:val="center"/>
          </w:tcPr>
          <w:p w14:paraId="7DBA82C3">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2049" w:type="dxa"/>
            <w:vAlign w:val="center"/>
          </w:tcPr>
          <w:p w14:paraId="2AC74EE7">
            <w:pPr>
              <w:widowControl/>
              <w:adjustRightInd w:val="0"/>
              <w:snapToGrid w:val="0"/>
              <w:spacing w:line="360" w:lineRule="auto"/>
              <w:jc w:val="center"/>
              <w:rPr>
                <w:rFonts w:hint="eastAsia" w:ascii="Times New Roman" w:hAnsi="Times New Roman" w:eastAsia="宋体" w:cs="宋体"/>
                <w:snapToGrid w:val="0"/>
                <w:color w:val="auto"/>
                <w:kern w:val="21"/>
                <w:sz w:val="21"/>
                <w:szCs w:val="21"/>
                <w:lang w:eastAsia="zh-CN"/>
              </w:rPr>
            </w:pPr>
            <w:r>
              <w:rPr>
                <w:rFonts w:hint="eastAsia"/>
                <w:color w:val="auto"/>
                <w:kern w:val="0"/>
                <w:sz w:val="21"/>
                <w:szCs w:val="21"/>
                <w:lang w:val="en-US" w:eastAsia="zh-CN"/>
              </w:rPr>
              <w:t>2</w:t>
            </w:r>
            <w:r>
              <w:rPr>
                <w:color w:val="auto"/>
                <w:kern w:val="0"/>
                <w:sz w:val="21"/>
                <w:szCs w:val="21"/>
              </w:rPr>
              <w:t>.</w:t>
            </w:r>
            <w:r>
              <w:rPr>
                <w:rFonts w:hint="eastAsia"/>
                <w:color w:val="auto"/>
                <w:kern w:val="0"/>
                <w:sz w:val="21"/>
                <w:szCs w:val="21"/>
                <w:lang w:val="en-US" w:eastAsia="zh-CN"/>
              </w:rPr>
              <w:t>8</w:t>
            </w:r>
          </w:p>
        </w:tc>
        <w:tc>
          <w:tcPr>
            <w:tcW w:w="1463" w:type="dxa"/>
            <w:vAlign w:val="center"/>
          </w:tcPr>
          <w:p w14:paraId="0FB4B3CF">
            <w:pPr>
              <w:pStyle w:val="163"/>
              <w:spacing w:beforeLines="0" w:afterLines="0" w:line="240" w:lineRule="auto"/>
              <w:rPr>
                <w:rFonts w:ascii="Times New Roman" w:hAnsi="Times New Roman" w:eastAsia="宋体" w:cs="宋体"/>
                <w:snapToGrid w:val="0"/>
                <w:color w:val="auto"/>
                <w:kern w:val="21"/>
                <w:sz w:val="21"/>
                <w:szCs w:val="21"/>
              </w:rPr>
            </w:pPr>
            <w:r>
              <w:rPr>
                <w:rFonts w:hint="eastAsia" w:ascii="Times New Roman" w:cs="宋体"/>
                <w:snapToGrid w:val="0"/>
                <w:color w:val="auto"/>
                <w:kern w:val="21"/>
                <w:sz w:val="21"/>
                <w:szCs w:val="21"/>
                <w:lang w:val="en-US" w:eastAsia="zh-CN"/>
              </w:rPr>
              <w:t>/</w:t>
            </w:r>
          </w:p>
        </w:tc>
        <w:tc>
          <w:tcPr>
            <w:tcW w:w="1902" w:type="dxa"/>
            <w:vAlign w:val="center"/>
          </w:tcPr>
          <w:p w14:paraId="125F92D0">
            <w:pPr>
              <w:widowControl/>
              <w:adjustRightInd w:val="0"/>
              <w:snapToGrid w:val="0"/>
              <w:spacing w:line="360" w:lineRule="auto"/>
              <w:jc w:val="center"/>
              <w:rPr>
                <w:rFonts w:hint="eastAsia" w:ascii="Times New Roman" w:hAnsi="Times New Roman" w:eastAsia="宋体" w:cs="宋体"/>
                <w:snapToGrid w:val="0"/>
                <w:color w:val="auto"/>
                <w:kern w:val="21"/>
                <w:sz w:val="21"/>
                <w:szCs w:val="21"/>
                <w:lang w:eastAsia="zh-CN"/>
              </w:rPr>
            </w:pPr>
            <w:r>
              <w:rPr>
                <w:rFonts w:hint="eastAsia"/>
                <w:color w:val="auto"/>
                <w:kern w:val="0"/>
                <w:sz w:val="21"/>
                <w:szCs w:val="21"/>
                <w:lang w:val="en-US" w:eastAsia="zh-CN"/>
              </w:rPr>
              <w:t>2</w:t>
            </w:r>
            <w:r>
              <w:rPr>
                <w:color w:val="auto"/>
                <w:kern w:val="0"/>
                <w:sz w:val="21"/>
                <w:szCs w:val="21"/>
              </w:rPr>
              <w:t>.</w:t>
            </w:r>
            <w:r>
              <w:rPr>
                <w:rFonts w:hint="eastAsia"/>
                <w:color w:val="auto"/>
                <w:kern w:val="0"/>
                <w:sz w:val="21"/>
                <w:szCs w:val="21"/>
                <w:lang w:val="en-US" w:eastAsia="zh-CN"/>
              </w:rPr>
              <w:t>8</w:t>
            </w:r>
          </w:p>
        </w:tc>
        <w:tc>
          <w:tcPr>
            <w:tcW w:w="1463" w:type="dxa"/>
            <w:vAlign w:val="center"/>
          </w:tcPr>
          <w:p w14:paraId="270B29C3">
            <w:pPr>
              <w:widowControl/>
              <w:adjustRightInd w:val="0"/>
              <w:snapToGrid w:val="0"/>
              <w:spacing w:line="360" w:lineRule="auto"/>
              <w:jc w:val="center"/>
              <w:rPr>
                <w:rFonts w:hint="eastAsia" w:ascii="Times New Roman" w:hAnsi="Times New Roman" w:eastAsia="宋体" w:cs="宋体"/>
                <w:snapToGrid w:val="0"/>
                <w:color w:val="auto"/>
                <w:kern w:val="21"/>
                <w:sz w:val="21"/>
                <w:szCs w:val="21"/>
                <w:lang w:eastAsia="zh-CN"/>
              </w:rPr>
            </w:pPr>
            <w:r>
              <w:rPr>
                <w:rFonts w:hint="eastAsia"/>
                <w:color w:val="auto"/>
                <w:kern w:val="0"/>
                <w:sz w:val="21"/>
                <w:szCs w:val="21"/>
                <w:lang w:val="en-US" w:eastAsia="zh-CN"/>
              </w:rPr>
              <w:t>+2</w:t>
            </w:r>
            <w:r>
              <w:rPr>
                <w:color w:val="auto"/>
                <w:kern w:val="0"/>
                <w:sz w:val="21"/>
                <w:szCs w:val="21"/>
              </w:rPr>
              <w:t>.</w:t>
            </w:r>
            <w:r>
              <w:rPr>
                <w:rFonts w:hint="eastAsia"/>
                <w:color w:val="auto"/>
                <w:kern w:val="0"/>
                <w:sz w:val="21"/>
                <w:szCs w:val="21"/>
                <w:lang w:val="en-US" w:eastAsia="zh-CN"/>
              </w:rPr>
              <w:t>8</w:t>
            </w:r>
          </w:p>
        </w:tc>
      </w:tr>
    </w:tbl>
    <w:p w14:paraId="15AF603A">
      <w:pPr>
        <w:pStyle w:val="163"/>
        <w:spacing w:before="192" w:beforeLines="80" w:after="24"/>
        <w:jc w:val="left"/>
        <w:rPr>
          <w:rFonts w:hAnsi="宋体"/>
          <w:snapToGrid w:val="0"/>
          <w:color w:val="auto"/>
          <w:spacing w:val="-6"/>
          <w:kern w:val="21"/>
          <w:szCs w:val="21"/>
        </w:r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Ansi="宋体"/>
          <w:color w:val="auto"/>
          <w:szCs w:val="21"/>
        </w:rPr>
        <w:t>①</w:t>
      </w:r>
      <w:r>
        <w:rPr>
          <w:rFonts w:hAnsi="宋体"/>
          <w:snapToGrid w:val="0"/>
          <w:color w:val="auto"/>
          <w:spacing w:val="-6"/>
          <w:kern w:val="21"/>
          <w:szCs w:val="21"/>
        </w:rPr>
        <w:fldChar w:fldCharType="end"/>
      </w:r>
      <w:r>
        <w:rPr>
          <w:rFonts w:hint="eastAsia" w:hAnsi="宋体"/>
          <w:snapToGrid w:val="0"/>
          <w:color w:val="auto"/>
          <w:spacing w:val="-6"/>
          <w:kern w:val="21"/>
          <w:szCs w:val="21"/>
        </w:rPr>
        <w:t>，</w:t>
      </w:r>
      <w:r>
        <w:rPr>
          <w:rFonts w:hAnsi="宋体"/>
          <w:snapToGrid w:val="0"/>
          <w:color w:val="auto"/>
          <w:spacing w:val="-6"/>
          <w:kern w:val="21"/>
          <w:szCs w:val="21"/>
        </w:rPr>
        <w:t>单位</w:t>
      </w:r>
      <w:r>
        <w:rPr>
          <w:rFonts w:hint="default" w:ascii="Times New Roman" w:hAnsi="Times New Roman" w:cs="Times New Roman"/>
          <w:snapToGrid w:val="0"/>
          <w:color w:val="auto"/>
          <w:spacing w:val="-6"/>
          <w:kern w:val="21"/>
          <w:szCs w:val="21"/>
        </w:rPr>
        <w:t>：t/a</w:t>
      </w:r>
    </w:p>
    <w:p w14:paraId="34786252">
      <w:pPr>
        <w:pStyle w:val="170"/>
        <w:ind w:firstLine="0" w:firstLineChars="0"/>
        <w:rPr>
          <w:color w:val="auto"/>
          <w:sz w:val="21"/>
          <w:szCs w:val="21"/>
          <w:lang w:val="en-US"/>
        </w:rPr>
      </w:pPr>
    </w:p>
    <w:p w14:paraId="5592AB71">
      <w:pPr>
        <w:pStyle w:val="170"/>
        <w:ind w:firstLine="0" w:firstLineChars="0"/>
        <w:rPr>
          <w:color w:val="auto"/>
          <w:sz w:val="21"/>
          <w:szCs w:val="21"/>
          <w:lang w:val="en-US"/>
        </w:rPr>
        <w:sectPr>
          <w:footerReference r:id="rId5"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BCB70DE">
      <w:pPr>
        <w:widowControl/>
        <w:jc w:val="left"/>
        <w:rPr>
          <w:rFonts w:hint="eastAsia" w:eastAsia="宋体"/>
          <w:color w:val="auto"/>
          <w:szCs w:val="21"/>
          <w:lang w:eastAsia="zh-CN"/>
        </w:rPr>
        <w:sectPr>
          <w:footerReference r:id="rId6" w:type="default"/>
          <w:pgSz w:w="11907" w:h="16839"/>
          <w:pgMar w:top="1701" w:right="1531" w:bottom="1701" w:left="1531" w:header="851" w:footer="567" w:gutter="0"/>
          <w:pgBorders>
            <w:top w:val="none" w:sz="0" w:space="0"/>
            <w:left w:val="none" w:sz="0" w:space="0"/>
            <w:bottom w:val="none" w:sz="0" w:space="0"/>
            <w:right w:val="none" w:sz="0" w:space="0"/>
          </w:pgBorders>
          <w:cols w:space="720" w:num="1"/>
          <w:docGrid w:linePitch="312" w:charSpace="0"/>
        </w:sectPr>
      </w:pPr>
      <w:r>
        <w:rPr>
          <w:color w:val="auto"/>
          <w:sz w:val="21"/>
        </w:rPr>
        <mc:AlternateContent>
          <mc:Choice Requires="wpg">
            <w:drawing>
              <wp:anchor distT="0" distB="0" distL="114300" distR="114300" simplePos="0" relativeHeight="251674624" behindDoc="0" locked="0" layoutInCell="1" allowOverlap="1">
                <wp:simplePos x="0" y="0"/>
                <wp:positionH relativeFrom="column">
                  <wp:posOffset>2517140</wp:posOffset>
                </wp:positionH>
                <wp:positionV relativeFrom="paragraph">
                  <wp:posOffset>1163955</wp:posOffset>
                </wp:positionV>
                <wp:extent cx="1042035" cy="572135"/>
                <wp:effectExtent l="4445" t="4445" r="20320" b="13970"/>
                <wp:wrapNone/>
                <wp:docPr id="18" name="组合 18"/>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16" name="矩形标注 16"/>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2EBC3981">
                              <w:pPr>
                                <w:rPr>
                                  <w:sz w:val="24"/>
                                </w:rPr>
                              </w:pPr>
                              <w:r>
                                <w:rPr>
                                  <w:rFonts w:hint="eastAsia" w:eastAsia="宋体"/>
                                  <w:sz w:val="24"/>
                                </w:rPr>
                                <w:t>项目所在地</w:t>
                              </w:r>
                            </w:p>
                          </w:txbxContent>
                        </wps:txbx>
                        <wps:bodyPr upright="1"/>
                      </wps:wsp>
                      <wps:wsp>
                        <wps:cNvPr id="17" name="椭圆 17"/>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198.2pt;margin-top:91.65pt;height:45.05pt;width:82.05pt;z-index:251674624;mso-width-relative:page;mso-height-relative:page;" coordorigin="9440,496529" coordsize="1641,901" o:gfxdata="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">
                <o:lock v:ext="edit" aspectratio="f"/>
                <v:shape id="_x0000_s1026" o:spid="_x0000_s1026" o:spt="61" type="#_x0000_t61" style="position:absolute;left:9551;top:496529;height:430;width:1531;" fillcolor="#FFFFFF" filled="t" stroked="t" coordsize="21600,21600" o:gfxdata="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29nYugAAANsA&#10;AAAPAAAAAAAAAAEAIAAAACIAAABkcnMvZG93bnJldi54bWxQSwECFAAUAAAACACHTuJAMy8FnjsA&#10;AAA5AAAAEAAAAAAAAAABACAAAAAJAQAAZHJzL3NoYXBleG1sLnhtbFBLBQYAAAAABgAGAFsBAACz&#10;AwAAAAA=&#10;" adj="167,38696">
                  <v:fill on="t" focussize="0,0"/>
                  <v:stroke color="#000000" joinstyle="miter"/>
                  <v:imagedata o:title=""/>
                  <o:lock v:ext="edit" aspectratio="f"/>
                  <v:textbox>
                    <w:txbxContent>
                      <w:p w14:paraId="2EBC3981">
                        <w:pPr>
                          <w:rPr>
                            <w:sz w:val="24"/>
                          </w:rPr>
                        </w:pPr>
                        <w:r>
                          <w:rPr>
                            <w:rFonts w:hint="eastAsia" w:eastAsia="宋体"/>
                            <w:sz w:val="24"/>
                          </w:rPr>
                          <w:t>项目所在地</w:t>
                        </w:r>
                      </w:p>
                    </w:txbxContent>
                  </v:textbox>
                </v:shape>
                <v:shape id="_x0000_s1026" o:spid="_x0000_s1026" o:spt="3" type="#_x0000_t3" style="position:absolute;left:9440;top:497290;height:140;width:140;" fillcolor="#FF0000" filled="t" stroked="t" coordsize="21600,21600" o:gfxdata="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6NQM+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shape>
              </v:group>
            </w:pict>
          </mc:Fallback>
        </mc:AlternateContent>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2682875</wp:posOffset>
                </wp:positionH>
                <wp:positionV relativeFrom="paragraph">
                  <wp:posOffset>3082925</wp:posOffset>
                </wp:positionV>
                <wp:extent cx="8890" cy="895985"/>
                <wp:effectExtent l="29845" t="0" r="37465" b="18415"/>
                <wp:wrapNone/>
                <wp:docPr id="15" name="直接连接符 15"/>
                <wp:cNvGraphicFramePr/>
                <a:graphic xmlns:a="http://schemas.openxmlformats.org/drawingml/2006/main">
                  <a:graphicData uri="http://schemas.microsoft.com/office/word/2010/wordprocessingShape">
                    <wps:wsp>
                      <wps:cNvCnPr/>
                      <wps:spPr>
                        <a:xfrm flipV="1">
                          <a:off x="0" y="0"/>
                          <a:ext cx="8890" cy="895985"/>
                        </a:xfrm>
                        <a:prstGeom prst="line">
                          <a:avLst/>
                        </a:prstGeom>
                        <a:ln w="19050"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y;margin-left:211.25pt;margin-top:242.75pt;height:70.55pt;width:0.7pt;z-index:251673600;mso-width-relative:page;mso-height-relative:page;" filled="f" stroked="t" coordsize="21600,21600" o:gfxdata="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M+DzY2AAAAAsBAAAPAAAAAAAAAAEAIAAAACIAAABk&#10;cnMvZG93bnJldi54bWxQSwECFAAUAAAACACHTuJAQiLxuQYCAAD3AwAADgAAAAAAAAABACAAAAAn&#10;AQAAZHJzL2Uyb0RvYy54bWxQSwUGAAAAAAYABgBZAQAAnwUAAAAA&#10;">
                <v:fill on="f" focussize="0,0"/>
                <v:stroke weight="1.5pt" color="#000000" joinstyle="round" endarrow="block"/>
                <v:imagedata o:title=""/>
                <o:lock v:ext="edit" aspectratio="f"/>
              </v:line>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1937385</wp:posOffset>
                </wp:positionH>
                <wp:positionV relativeFrom="paragraph">
                  <wp:posOffset>3976370</wp:posOffset>
                </wp:positionV>
                <wp:extent cx="1395095" cy="1029970"/>
                <wp:effectExtent l="9525" t="9525" r="24130" b="27305"/>
                <wp:wrapNone/>
                <wp:docPr id="13" name="矩形 13"/>
                <wp:cNvGraphicFramePr/>
                <a:graphic xmlns:a="http://schemas.openxmlformats.org/drawingml/2006/main">
                  <a:graphicData uri="http://schemas.microsoft.com/office/word/2010/wordprocessingShape">
                    <wps:wsp>
                      <wps:cNvSpPr/>
                      <wps:spPr>
                        <a:xfrm>
                          <a:off x="2728595" y="4953000"/>
                          <a:ext cx="1395095" cy="102997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2.55pt;margin-top:313.1pt;height:81.1pt;width:109.85pt;z-index:251672576;v-text-anchor:middle;mso-width-relative:page;mso-height-relative:page;" filled="f" stroked="t" coordsize="21600,21600" o:gfxdata="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o3Z78dsAAAALAQAADwAAAAAAAAABACAAAAAiAAAA&#10;ZHJzL2Rvd25yZXYueG1sUEsBAhQAFAAAAAgAh07iQOzgF2N2AgAA2gQAAA4AAAAAAAAAAQAgAAAA&#10;KgEAAGRycy9lMm9Eb2MueG1sUEsFBgAAAAAGAAYAWQEAABIGAAAAAA==&#10;">
                <v:fill on="f" focussize="0,0"/>
                <v:stroke weight="1.5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916940</wp:posOffset>
                </wp:positionH>
                <wp:positionV relativeFrom="paragraph">
                  <wp:posOffset>537210</wp:posOffset>
                </wp:positionV>
                <wp:extent cx="3409950" cy="2535555"/>
                <wp:effectExtent l="9525" t="9525" r="9525" b="26670"/>
                <wp:wrapNone/>
                <wp:docPr id="11" name="矩形 11"/>
                <wp:cNvGraphicFramePr/>
                <a:graphic xmlns:a="http://schemas.openxmlformats.org/drawingml/2006/main">
                  <a:graphicData uri="http://schemas.microsoft.com/office/word/2010/wordprocessingShape">
                    <wps:wsp>
                      <wps:cNvSpPr/>
                      <wps:spPr>
                        <a:xfrm>
                          <a:off x="2668270" y="4926965"/>
                          <a:ext cx="3409950" cy="2535555"/>
                        </a:xfrm>
                        <a:prstGeom prst="rect">
                          <a:avLst/>
                        </a:prstGeom>
                        <a:solidFill>
                          <a:schemeClr val="bg1"/>
                        </a:solid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667AD3">
                            <w:pPr>
                              <w:jc w:val="center"/>
                            </w:pPr>
                            <w:r>
                              <w:drawing>
                                <wp:inline distT="0" distB="0" distL="114300" distR="114300">
                                  <wp:extent cx="3202940" cy="2415540"/>
                                  <wp:effectExtent l="0" t="0" r="16510" b="381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0"/>
                                          <a:srcRect r="277" b="-1548"/>
                                          <a:stretch>
                                            <a:fillRect/>
                                          </a:stretch>
                                        </pic:blipFill>
                                        <pic:spPr>
                                          <a:xfrm>
                                            <a:off x="0" y="0"/>
                                            <a:ext cx="3202940" cy="2415540"/>
                                          </a:xfrm>
                                          <a:prstGeom prst="rect">
                                            <a:avLst/>
                                          </a:prstGeom>
                                          <a:noFill/>
                                          <a:ln w="19050">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2pt;margin-top:42.3pt;height:199.65pt;width:268.5pt;z-index:251671552;v-text-anchor:middle;mso-width-relative:page;mso-height-relative:page;" fillcolor="#FFFFFF [3212]" filled="t" stroked="t" coordsize="21600,21600" o:gfxdata="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2shDLYAAAACgEAAA8AAAAAAAAAAQAg&#10;AAAAIgAAAGRycy9kb3ducmV2LnhtbFBLAQIUABQAAAAIAIdO4kCy8aIsgAIAAA4FAAAOAAAAAAAA&#10;AAEAIAAAACcBAABkcnMvZTJvRG9jLnhtbFBLBQYAAAAABgAGAFkBAAAZBgAAAAA=&#10;">
                <v:fill on="t" focussize="0,0"/>
                <v:stroke weight="1.5pt" color="#000000 [3213]" miterlimit="8" joinstyle="miter"/>
                <v:imagedata o:title=""/>
                <o:lock v:ext="edit" aspectratio="f"/>
                <v:textbox>
                  <w:txbxContent>
                    <w:p w14:paraId="32667AD3">
                      <w:pPr>
                        <w:jc w:val="center"/>
                      </w:pPr>
                      <w:r>
                        <w:drawing>
                          <wp:inline distT="0" distB="0" distL="114300" distR="114300">
                            <wp:extent cx="3202940" cy="2415540"/>
                            <wp:effectExtent l="0" t="0" r="16510" b="381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0"/>
                                    <a:srcRect r="277" b="-1548"/>
                                    <a:stretch>
                                      <a:fillRect/>
                                    </a:stretch>
                                  </pic:blipFill>
                                  <pic:spPr>
                                    <a:xfrm>
                                      <a:off x="0" y="0"/>
                                      <a:ext cx="3202940" cy="2415540"/>
                                    </a:xfrm>
                                    <a:prstGeom prst="rect">
                                      <a:avLst/>
                                    </a:prstGeom>
                                    <a:noFill/>
                                    <a:ln w="19050">
                                      <a:noFill/>
                                    </a:ln>
                                  </pic:spPr>
                                </pic:pic>
                              </a:graphicData>
                            </a:graphic>
                          </wp:inline>
                        </w:drawing>
                      </w:r>
                    </w:p>
                  </w:txbxContent>
                </v:textbox>
              </v:rect>
            </w:pict>
          </mc:Fallback>
        </mc:AlternateContent>
      </w:r>
      <w:r>
        <w:rPr>
          <w:color w:val="auto"/>
          <w:szCs w:val="21"/>
        </w:rPr>
        <mc:AlternateContent>
          <mc:Choice Requires="wps">
            <w:drawing>
              <wp:anchor distT="0" distB="0" distL="114300" distR="114300" simplePos="0" relativeHeight="251668480" behindDoc="0" locked="0" layoutInCell="1" allowOverlap="1">
                <wp:simplePos x="0" y="0"/>
                <wp:positionH relativeFrom="column">
                  <wp:posOffset>1156335</wp:posOffset>
                </wp:positionH>
                <wp:positionV relativeFrom="paragraph">
                  <wp:posOffset>8169910</wp:posOffset>
                </wp:positionV>
                <wp:extent cx="2585720" cy="409575"/>
                <wp:effectExtent l="0" t="0" r="0" b="0"/>
                <wp:wrapNone/>
                <wp:docPr id="253" name="文本框 172"/>
                <wp:cNvGraphicFramePr/>
                <a:graphic xmlns:a="http://schemas.openxmlformats.org/drawingml/2006/main">
                  <a:graphicData uri="http://schemas.microsoft.com/office/word/2010/wordprocessingShape">
                    <wps:wsp>
                      <wps:cNvSpPr txBox="1">
                        <a:spLocks noChangeArrowheads="1"/>
                      </wps:cNvSpPr>
                      <wps:spPr bwMode="auto">
                        <a:xfrm>
                          <a:off x="0" y="0"/>
                          <a:ext cx="2585545" cy="409575"/>
                        </a:xfrm>
                        <a:prstGeom prst="rect">
                          <a:avLst/>
                        </a:prstGeom>
                        <a:noFill/>
                        <a:ln>
                          <a:noFill/>
                        </a:ln>
                        <a:effectLst/>
                      </wps:spPr>
                      <wps:txbx>
                        <w:txbxContent>
                          <w:p w14:paraId="08B055C6">
                            <w:pPr>
                              <w:rPr>
                                <w:b/>
                                <w:sz w:val="28"/>
                                <w:szCs w:val="28"/>
                              </w:rPr>
                            </w:pPr>
                            <w:r>
                              <w:rPr>
                                <w:rFonts w:hint="eastAsia"/>
                                <w:b/>
                                <w:sz w:val="28"/>
                                <w:szCs w:val="28"/>
                              </w:rPr>
                              <w:t>附图</w:t>
                            </w:r>
                            <w:r>
                              <w:rPr>
                                <w:rFonts w:hint="eastAsia" w:ascii="宋体" w:hAnsi="宋体"/>
                                <w:b/>
                                <w:sz w:val="28"/>
                                <w:szCs w:val="28"/>
                              </w:rPr>
                              <w:t>1   建设项目地理位置图</w:t>
                            </w:r>
                          </w:p>
                        </w:txbxContent>
                      </wps:txbx>
                      <wps:bodyPr rot="0" vert="horz" wrap="square" lIns="91440" tIns="45720" rIns="91440" bIns="45720" anchor="t" anchorCtr="0" upright="1">
                        <a:noAutofit/>
                      </wps:bodyPr>
                    </wps:wsp>
                  </a:graphicData>
                </a:graphic>
              </wp:anchor>
            </w:drawing>
          </mc:Choice>
          <mc:Fallback>
            <w:pict>
              <v:shape id="文本框 172" o:spid="_x0000_s1026" o:spt="202" type="#_x0000_t202" style="position:absolute;left:0pt;margin-left:91.05pt;margin-top:643.3pt;height:32.25pt;width:203.6pt;z-index:251668480;mso-width-relative:page;mso-height-relative:page;" filled="f" stroked="f" coordsize="21600,21600" o:gfxdata="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8c7Iq&#10;2QAAAA0BAAAPAAAAAAAAAAEAIAAAACIAAABkcnMvZG93bnJldi54bWxQSwECFAAUAAAACACHTuJA&#10;5dsuVSACAAAnBAAADgAAAAAAAAABACAAAAAoAQAAZHJzL2Uyb0RvYy54bWxQSwUGAAAAAAYABgBZ&#10;AQAAugUAAAAA&#10;">
                <v:fill on="f" focussize="0,0"/>
                <v:stroke on="f"/>
                <v:imagedata o:title=""/>
                <o:lock v:ext="edit" aspectratio="f"/>
                <v:textbox>
                  <w:txbxContent>
                    <w:p w14:paraId="08B055C6">
                      <w:pPr>
                        <w:rPr>
                          <w:b/>
                          <w:sz w:val="28"/>
                          <w:szCs w:val="28"/>
                        </w:rPr>
                      </w:pPr>
                      <w:r>
                        <w:rPr>
                          <w:rFonts w:hint="eastAsia"/>
                          <w:b/>
                          <w:sz w:val="28"/>
                          <w:szCs w:val="28"/>
                        </w:rPr>
                        <w:t>附图</w:t>
                      </w:r>
                      <w:r>
                        <w:rPr>
                          <w:rFonts w:hint="eastAsia" w:ascii="宋体" w:hAnsi="宋体"/>
                          <w:b/>
                          <w:sz w:val="28"/>
                          <w:szCs w:val="28"/>
                        </w:rPr>
                        <w:t>1   建设项目地理位置图</w:t>
                      </w:r>
                    </w:p>
                  </w:txbxContent>
                </v:textbox>
              </v:shape>
            </w:pict>
          </mc:Fallback>
        </mc:AlternateContent>
      </w:r>
      <w:r>
        <w:rPr>
          <w:rFonts w:hint="eastAsia" w:eastAsia="宋体"/>
          <w:color w:val="auto"/>
          <w:szCs w:val="21"/>
          <w:lang w:eastAsia="zh-CN"/>
        </w:rPr>
        <w:drawing>
          <wp:inline distT="0" distB="0" distL="114300" distR="114300">
            <wp:extent cx="5615940" cy="8136255"/>
            <wp:effectExtent l="0" t="0" r="3810" b="17145"/>
            <wp:docPr id="3" name="图片 3" descr="e91ec9f7bd799abb8409f7faddf80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91ec9f7bd799abb8409f7faddf80a28"/>
                    <pic:cNvPicPr>
                      <a:picLocks noChangeAspect="1"/>
                    </pic:cNvPicPr>
                  </pic:nvPicPr>
                  <pic:blipFill>
                    <a:blip r:embed="rId21"/>
                    <a:stretch>
                      <a:fillRect/>
                    </a:stretch>
                  </pic:blipFill>
                  <pic:spPr>
                    <a:xfrm>
                      <a:off x="0" y="0"/>
                      <a:ext cx="5615940" cy="8136255"/>
                    </a:xfrm>
                    <a:prstGeom prst="rect">
                      <a:avLst/>
                    </a:prstGeom>
                  </pic:spPr>
                </pic:pic>
              </a:graphicData>
            </a:graphic>
          </wp:inline>
        </w:drawing>
      </w:r>
      <w:r>
        <w:rPr>
          <w:color w:val="auto"/>
        </w:rPr>
        <w:drawing>
          <wp:anchor distT="0" distB="0" distL="114300" distR="114300" simplePos="0" relativeHeight="251728896" behindDoc="0" locked="0" layoutInCell="1" allowOverlap="1">
            <wp:simplePos x="0" y="0"/>
            <wp:positionH relativeFrom="character">
              <wp:posOffset>5161280</wp:posOffset>
            </wp:positionH>
            <wp:positionV relativeFrom="line">
              <wp:posOffset>-29845</wp:posOffset>
            </wp:positionV>
            <wp:extent cx="468630" cy="667385"/>
            <wp:effectExtent l="0" t="0" r="7620" b="18415"/>
            <wp:wrapNone/>
            <wp:docPr id="29" name="图片 232" descr="玫瑰"/>
            <wp:cNvGraphicFramePr/>
            <a:graphic xmlns:a="http://schemas.openxmlformats.org/drawingml/2006/main">
              <a:graphicData uri="http://schemas.openxmlformats.org/drawingml/2006/picture">
                <pic:pic xmlns:pic="http://schemas.openxmlformats.org/drawingml/2006/picture">
                  <pic:nvPicPr>
                    <pic:cNvPr id="29" name="图片 232" descr="玫瑰"/>
                    <pic:cNvPicPr/>
                  </pic:nvPicPr>
                  <pic:blipFill>
                    <a:blip r:embed="rId22">
                      <a:extLst>
                        <a:ext uri="{28A0092B-C50C-407E-A947-70E740481C1C}">
                          <a14:useLocalDpi xmlns:a14="http://schemas.microsoft.com/office/drawing/2010/main" val="0"/>
                        </a:ext>
                      </a:extLst>
                    </a:blip>
                    <a:srcRect l="13611" r="13472"/>
                    <a:stretch>
                      <a:fillRect/>
                    </a:stretch>
                  </pic:blipFill>
                  <pic:spPr>
                    <a:xfrm>
                      <a:off x="0" y="0"/>
                      <a:ext cx="468630" cy="667385"/>
                    </a:xfrm>
                    <a:prstGeom prst="rect">
                      <a:avLst/>
                    </a:prstGeom>
                    <a:noFill/>
                    <a:ln>
                      <a:noFill/>
                    </a:ln>
                    <a:effectLst/>
                  </pic:spPr>
                </pic:pic>
              </a:graphicData>
            </a:graphic>
          </wp:anchor>
        </w:drawing>
      </w:r>
    </w:p>
    <w:p w14:paraId="58478243">
      <w:pPr>
        <w:pStyle w:val="46"/>
        <w:rPr>
          <w:rFonts w:hint="eastAsia"/>
          <w:color w:val="auto"/>
          <w:lang w:eastAsia="zh-CN"/>
        </w:rPr>
        <w:sectPr>
          <w:pgSz w:w="11907" w:h="16839"/>
          <w:pgMar w:top="1701" w:right="1531" w:bottom="1701" w:left="1531" w:header="851" w:footer="567" w:gutter="0"/>
          <w:pgBorders>
            <w:top w:val="none" w:sz="0" w:space="0"/>
            <w:left w:val="none" w:sz="0" w:space="0"/>
            <w:bottom w:val="none" w:sz="0" w:space="0"/>
            <w:right w:val="none" w:sz="0" w:space="0"/>
          </w:pgBorders>
          <w:cols w:space="720" w:num="1"/>
          <w:docGrid w:linePitch="312" w:charSpace="0"/>
        </w:sectPr>
      </w:pPr>
      <w:r>
        <w:rPr>
          <w:color w:val="auto"/>
        </w:rPr>
        <mc:AlternateContent>
          <mc:Choice Requires="wpg">
            <w:drawing>
              <wp:anchor distT="0" distB="0" distL="114300" distR="114300" simplePos="0" relativeHeight="251740160" behindDoc="0" locked="0" layoutInCell="1" allowOverlap="1">
                <wp:simplePos x="0" y="0"/>
                <wp:positionH relativeFrom="column">
                  <wp:posOffset>4583430</wp:posOffset>
                </wp:positionH>
                <wp:positionV relativeFrom="paragraph">
                  <wp:posOffset>6974840</wp:posOffset>
                </wp:positionV>
                <wp:extent cx="571500" cy="368300"/>
                <wp:effectExtent l="0" t="0" r="19050" b="0"/>
                <wp:wrapNone/>
                <wp:docPr id="109" name="组合 109"/>
                <wp:cNvGraphicFramePr/>
                <a:graphic xmlns:a="http://schemas.openxmlformats.org/drawingml/2006/main">
                  <a:graphicData uri="http://schemas.microsoft.com/office/word/2010/wordprocessingGroup">
                    <wpg:wgp>
                      <wpg:cNvGrpSpPr/>
                      <wpg:grpSpPr>
                        <a:xfrm>
                          <a:off x="0" y="0"/>
                          <a:ext cx="571500" cy="368300"/>
                          <a:chOff x="11962" y="585975"/>
                          <a:chExt cx="915" cy="591"/>
                        </a:xfrm>
                      </wpg:grpSpPr>
                      <wps:wsp>
                        <wps:cNvPr id="110" name="直接连接符 104"/>
                        <wps:cNvCnPr/>
                        <wps:spPr>
                          <a:xfrm>
                            <a:off x="11962" y="586177"/>
                            <a:ext cx="915" cy="1"/>
                          </a:xfrm>
                          <a:prstGeom prst="line">
                            <a:avLst/>
                          </a:prstGeom>
                          <a:ln w="19050" cap="flat" cmpd="sng">
                            <a:solidFill>
                              <a:srgbClr val="000000"/>
                            </a:solidFill>
                            <a:prstDash val="solid"/>
                            <a:headEnd type="none" w="med" len="med"/>
                            <a:tailEnd type="none" w="med" len="med"/>
                          </a:ln>
                        </wps:spPr>
                        <wps:bodyPr upright="1"/>
                      </wps:wsp>
                      <wps:wsp>
                        <wps:cNvPr id="111" name="直接连接符 105"/>
                        <wps:cNvCnPr/>
                        <wps:spPr>
                          <a:xfrm flipV="1">
                            <a:off x="12862" y="585975"/>
                            <a:ext cx="1" cy="203"/>
                          </a:xfrm>
                          <a:prstGeom prst="line">
                            <a:avLst/>
                          </a:prstGeom>
                          <a:ln w="19050" cap="flat" cmpd="sng">
                            <a:solidFill>
                              <a:srgbClr val="000000"/>
                            </a:solidFill>
                            <a:prstDash val="solid"/>
                            <a:headEnd type="none" w="med" len="med"/>
                            <a:tailEnd type="none" w="med" len="med"/>
                          </a:ln>
                        </wps:spPr>
                        <wps:bodyPr upright="1"/>
                      </wps:wsp>
                      <wps:wsp>
                        <wps:cNvPr id="112" name="直接连接符 106"/>
                        <wps:cNvCnPr/>
                        <wps:spPr>
                          <a:xfrm flipV="1">
                            <a:off x="11977" y="585985"/>
                            <a:ext cx="1" cy="203"/>
                          </a:xfrm>
                          <a:prstGeom prst="line">
                            <a:avLst/>
                          </a:prstGeom>
                          <a:ln w="19050" cap="flat" cmpd="sng">
                            <a:solidFill>
                              <a:srgbClr val="000000"/>
                            </a:solidFill>
                            <a:prstDash val="solid"/>
                            <a:headEnd type="none" w="med" len="med"/>
                            <a:tailEnd type="none" w="med" len="med"/>
                          </a:ln>
                        </wps:spPr>
                        <wps:bodyPr upright="1"/>
                      </wps:wsp>
                      <wps:wsp>
                        <wps:cNvPr id="113" name="文本框 107"/>
                        <wps:cNvSpPr txBox="1"/>
                        <wps:spPr>
                          <a:xfrm>
                            <a:off x="12128" y="586146"/>
                            <a:ext cx="705" cy="420"/>
                          </a:xfrm>
                          <a:prstGeom prst="rect">
                            <a:avLst/>
                          </a:prstGeom>
                          <a:noFill/>
                          <a:ln>
                            <a:noFill/>
                          </a:ln>
                        </wps:spPr>
                        <wps:txbx>
                          <w:txbxContent>
                            <w:p w14:paraId="178C7D8F">
                              <w:pPr>
                                <w:rPr>
                                  <w:rFonts w:hint="default" w:eastAsia="宋体"/>
                                  <w:b/>
                                  <w:bCs/>
                                  <w:color w:val="000000"/>
                                  <w:lang w:val="en-US" w:eastAsia="zh-CN"/>
                                </w:rPr>
                              </w:pPr>
                              <w:r>
                                <w:rPr>
                                  <w:rFonts w:hint="eastAsia"/>
                                  <w:b/>
                                  <w:bCs/>
                                  <w:color w:val="000000"/>
                                  <w:lang w:val="en-US" w:eastAsia="zh-CN"/>
                                </w:rPr>
                                <w:t>25m</w:t>
                              </w:r>
                            </w:p>
                          </w:txbxContent>
                        </wps:txbx>
                        <wps:bodyPr upright="1"/>
                      </wps:wsp>
                    </wpg:wgp>
                  </a:graphicData>
                </a:graphic>
              </wp:anchor>
            </w:drawing>
          </mc:Choice>
          <mc:Fallback>
            <w:pict>
              <v:group id="_x0000_s1026" o:spid="_x0000_s1026" o:spt="203" style="position:absolute;left:0pt;margin-left:360.9pt;margin-top:549.2pt;height:29pt;width:45pt;z-index:251740160;mso-width-relative:page;mso-height-relative:page;" coordorigin="11962,585975" coordsize="915,591" o:gfxdata="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">
                <o:lock v:ext="edit" aspectratio="f"/>
                <v:line id="直接连接符 104" o:spid="_x0000_s1026" o:spt="20" style="position:absolute;left:11962;top:586177;height:1;width:915;" filled="f" stroked="t" coordsize="21600,21600" o:gfxdata="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soTvQAA&#10;ANwAAAAPAAAAAAAAAAEAIAAAACIAAABkcnMvZG93bnJldi54bWxQSwECFAAUAAAACACHTuJAMy8F&#10;njsAAAA5AAAAEAAAAAAAAAABACAAAAAMAQAAZHJzL3NoYXBleG1sLnhtbFBLBQYAAAAABgAGAFsB&#10;AAC2AwAAAAA=&#10;">
                  <v:fill on="f" focussize="0,0"/>
                  <v:stroke weight="1.5pt" color="#000000" joinstyle="round"/>
                  <v:imagedata o:title=""/>
                  <o:lock v:ext="edit" aspectratio="f"/>
                </v:line>
                <v:line id="直接连接符 105" o:spid="_x0000_s1026" o:spt="20" style="position:absolute;left:12862;top:585975;flip:y;height:203;width:1;" filled="f" stroked="t" coordsize="21600,21600" o:gfxdata="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u32kK5AAAA3AAA&#10;AA8AAAAAAAAAAQAgAAAAIgAAAGRycy9kb3ducmV2LnhtbFBLAQIUABQAAAAIAIdO4kAzLwWeOwAA&#10;ADkAAAAQAAAAAAAAAAEAIAAAAAgBAABkcnMvc2hhcGV4bWwueG1sUEsFBgAAAAAGAAYAWwEAALID&#10;AAAAAA==&#10;">
                  <v:fill on="f" focussize="0,0"/>
                  <v:stroke weight="1.5pt" color="#000000" joinstyle="round"/>
                  <v:imagedata o:title=""/>
                  <o:lock v:ext="edit" aspectratio="f"/>
                </v:line>
                <v:line id="直接连接符 106" o:spid="_x0000_s1026" o:spt="20" style="position:absolute;left:11977;top:585985;flip:y;height:203;width:1;" filled="f" stroked="t" coordsize="21600,21600" o:gfxdata="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tlRDW5AAAA3AAA&#10;AA8AAAAAAAAAAQAgAAAAIgAAAGRycy9kb3ducmV2LnhtbFBLAQIUABQAAAAIAIdO4kAzLwWeOwAA&#10;ADkAAAAQAAAAAAAAAAEAIAAAAAgBAABkcnMvc2hhcGV4bWwueG1sUEsFBgAAAAAGAAYAWwEAALID&#10;AAAAAA==&#10;">
                  <v:fill on="f" focussize="0,0"/>
                  <v:stroke weight="1.5pt" color="#000000" joinstyle="round"/>
                  <v:imagedata o:title=""/>
                  <o:lock v:ext="edit" aspectratio="f"/>
                </v:line>
                <v:shape id="文本框 107" o:spid="_x0000_s1026" o:spt="202" type="#_x0000_t202" style="position:absolute;left:12128;top:586146;height:420;width:705;" filled="f" stroked="f" coordsize="21600,21600" o:gfxdata="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wUQx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78C7D8F">
                        <w:pPr>
                          <w:rPr>
                            <w:rFonts w:hint="default" w:eastAsia="宋体"/>
                            <w:b/>
                            <w:bCs/>
                            <w:color w:val="000000"/>
                            <w:lang w:val="en-US" w:eastAsia="zh-CN"/>
                          </w:rPr>
                        </w:pPr>
                        <w:r>
                          <w:rPr>
                            <w:rFonts w:hint="eastAsia"/>
                            <w:b/>
                            <w:bCs/>
                            <w:color w:val="000000"/>
                            <w:lang w:val="en-US" w:eastAsia="zh-CN"/>
                          </w:rPr>
                          <w:t>25m</w:t>
                        </w:r>
                      </w:p>
                    </w:txbxContent>
                  </v:textbox>
                </v:shape>
              </v:group>
            </w:pict>
          </mc:Fallback>
        </mc:AlternateContent>
      </w:r>
      <w:r>
        <w:rPr>
          <w:color w:val="auto"/>
          <w:szCs w:val="21"/>
        </w:rPr>
        <mc:AlternateContent>
          <mc:Choice Requires="wps">
            <w:drawing>
              <wp:anchor distT="0" distB="0" distL="114300" distR="114300" simplePos="0" relativeHeight="251686912" behindDoc="0" locked="0" layoutInCell="1" allowOverlap="1">
                <wp:simplePos x="0" y="0"/>
                <wp:positionH relativeFrom="column">
                  <wp:posOffset>1744980</wp:posOffset>
                </wp:positionH>
                <wp:positionV relativeFrom="paragraph">
                  <wp:posOffset>7997825</wp:posOffset>
                </wp:positionV>
                <wp:extent cx="2585720" cy="409575"/>
                <wp:effectExtent l="0" t="0" r="0" b="0"/>
                <wp:wrapNone/>
                <wp:docPr id="72" name="文本框 172"/>
                <wp:cNvGraphicFramePr/>
                <a:graphic xmlns:a="http://schemas.openxmlformats.org/drawingml/2006/main">
                  <a:graphicData uri="http://schemas.microsoft.com/office/word/2010/wordprocessingShape">
                    <wps:wsp>
                      <wps:cNvSpPr txBox="1">
                        <a:spLocks noChangeArrowheads="1"/>
                      </wps:cNvSpPr>
                      <wps:spPr bwMode="auto">
                        <a:xfrm>
                          <a:off x="0" y="0"/>
                          <a:ext cx="2585720" cy="409575"/>
                        </a:xfrm>
                        <a:prstGeom prst="rect">
                          <a:avLst/>
                        </a:prstGeom>
                        <a:noFill/>
                        <a:ln>
                          <a:noFill/>
                        </a:ln>
                        <a:effectLst/>
                      </wps:spPr>
                      <wps:txbx>
                        <w:txbxContent>
                          <w:p w14:paraId="21B82952">
                            <w:pPr>
                              <w:rPr>
                                <w:b/>
                                <w:sz w:val="28"/>
                                <w:szCs w:val="28"/>
                              </w:rPr>
                            </w:pPr>
                            <w:r>
                              <w:rPr>
                                <w:rFonts w:hint="eastAsia"/>
                                <w:b/>
                                <w:sz w:val="28"/>
                                <w:szCs w:val="28"/>
                              </w:rPr>
                              <w:t>附图</w:t>
                            </w:r>
                            <w:r>
                              <w:rPr>
                                <w:rFonts w:hint="eastAsia"/>
                                <w:b/>
                                <w:sz w:val="28"/>
                                <w:szCs w:val="28"/>
                                <w:lang w:val="en-US" w:eastAsia="zh-CN"/>
                              </w:rPr>
                              <w:t>2</w:t>
                            </w:r>
                            <w:r>
                              <w:rPr>
                                <w:rFonts w:hint="eastAsia" w:ascii="宋体" w:hAnsi="宋体"/>
                                <w:b/>
                                <w:sz w:val="28"/>
                                <w:szCs w:val="28"/>
                              </w:rPr>
                              <w:t xml:space="preserve">   </w:t>
                            </w:r>
                            <w:r>
                              <w:rPr>
                                <w:rFonts w:hint="eastAsia" w:ascii="宋体" w:hAnsi="宋体"/>
                                <w:b/>
                                <w:sz w:val="28"/>
                                <w:szCs w:val="28"/>
                                <w:lang w:val="en-US" w:eastAsia="zh-CN"/>
                              </w:rPr>
                              <w:t>建设</w:t>
                            </w:r>
                            <w:r>
                              <w:rPr>
                                <w:rFonts w:hint="eastAsia" w:ascii="宋体" w:hAnsi="宋体"/>
                                <w:b/>
                                <w:sz w:val="28"/>
                                <w:szCs w:val="28"/>
                              </w:rPr>
                              <w:t>项目</w:t>
                            </w:r>
                            <w:r>
                              <w:rPr>
                                <w:rFonts w:hint="eastAsia" w:ascii="宋体" w:hAnsi="宋体"/>
                                <w:b/>
                                <w:sz w:val="28"/>
                                <w:szCs w:val="28"/>
                                <w:lang w:val="en-US" w:eastAsia="zh-CN"/>
                              </w:rPr>
                              <w:t>四至</w:t>
                            </w:r>
                            <w:r>
                              <w:rPr>
                                <w:rFonts w:hint="eastAsia" w:ascii="宋体" w:hAnsi="宋体"/>
                                <w:b/>
                                <w:sz w:val="28"/>
                                <w:szCs w:val="28"/>
                              </w:rPr>
                              <w:t>图</w:t>
                            </w:r>
                          </w:p>
                        </w:txbxContent>
                      </wps:txbx>
                      <wps:bodyPr rot="0" vert="horz" wrap="square" lIns="91440" tIns="45720" rIns="91440" bIns="45720" anchor="t" anchorCtr="0" upright="1">
                        <a:noAutofit/>
                      </wps:bodyPr>
                    </wps:wsp>
                  </a:graphicData>
                </a:graphic>
              </wp:anchor>
            </w:drawing>
          </mc:Choice>
          <mc:Fallback>
            <w:pict>
              <v:shape id="文本框 172" o:spid="_x0000_s1026" o:spt="202" type="#_x0000_t202" style="position:absolute;left:0pt;margin-left:137.4pt;margin-top:629.75pt;height:32.25pt;width:203.6pt;z-index:251686912;mso-width-relative:page;mso-height-relative:page;" filled="f" stroked="f" coordsize="21600,21600" o:gfxdata="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MYlIgfZAAAA&#10;DQEAAA8AAAAAAAAAAQAgAAAAIgAAAGRycy9kb3ducmV2LnhtbFBLAQIUABQAAAAIAIdO4kBBGz5Z&#10;HAIAACYEAAAOAAAAAAAAAAEAIAAAACgBAABkcnMvZTJvRG9jLnhtbFBLBQYAAAAABgAGAFkBAAC2&#10;BQAAAAA=&#10;">
                <v:fill on="f" focussize="0,0"/>
                <v:stroke on="f"/>
                <v:imagedata o:title=""/>
                <o:lock v:ext="edit" aspectratio="f"/>
                <v:textbox>
                  <w:txbxContent>
                    <w:p w14:paraId="21B82952">
                      <w:pPr>
                        <w:rPr>
                          <w:b/>
                          <w:sz w:val="28"/>
                          <w:szCs w:val="28"/>
                        </w:rPr>
                      </w:pPr>
                      <w:r>
                        <w:rPr>
                          <w:rFonts w:hint="eastAsia"/>
                          <w:b/>
                          <w:sz w:val="28"/>
                          <w:szCs w:val="28"/>
                        </w:rPr>
                        <w:t>附图</w:t>
                      </w:r>
                      <w:r>
                        <w:rPr>
                          <w:rFonts w:hint="eastAsia"/>
                          <w:b/>
                          <w:sz w:val="28"/>
                          <w:szCs w:val="28"/>
                          <w:lang w:val="en-US" w:eastAsia="zh-CN"/>
                        </w:rPr>
                        <w:t>2</w:t>
                      </w:r>
                      <w:r>
                        <w:rPr>
                          <w:rFonts w:hint="eastAsia" w:ascii="宋体" w:hAnsi="宋体"/>
                          <w:b/>
                          <w:sz w:val="28"/>
                          <w:szCs w:val="28"/>
                        </w:rPr>
                        <w:t xml:space="preserve">   </w:t>
                      </w:r>
                      <w:r>
                        <w:rPr>
                          <w:rFonts w:hint="eastAsia" w:ascii="宋体" w:hAnsi="宋体"/>
                          <w:b/>
                          <w:sz w:val="28"/>
                          <w:szCs w:val="28"/>
                          <w:lang w:val="en-US" w:eastAsia="zh-CN"/>
                        </w:rPr>
                        <w:t>建设</w:t>
                      </w:r>
                      <w:r>
                        <w:rPr>
                          <w:rFonts w:hint="eastAsia" w:ascii="宋体" w:hAnsi="宋体"/>
                          <w:b/>
                          <w:sz w:val="28"/>
                          <w:szCs w:val="28"/>
                        </w:rPr>
                        <w:t>项目</w:t>
                      </w:r>
                      <w:r>
                        <w:rPr>
                          <w:rFonts w:hint="eastAsia" w:ascii="宋体" w:hAnsi="宋体"/>
                          <w:b/>
                          <w:sz w:val="28"/>
                          <w:szCs w:val="28"/>
                          <w:lang w:val="en-US" w:eastAsia="zh-CN"/>
                        </w:rPr>
                        <w:t>四至</w:t>
                      </w:r>
                      <w:r>
                        <w:rPr>
                          <w:rFonts w:hint="eastAsia" w:ascii="宋体" w:hAnsi="宋体"/>
                          <w:b/>
                          <w:sz w:val="28"/>
                          <w:szCs w:val="28"/>
                        </w:rPr>
                        <w:t>图</w:t>
                      </w:r>
                    </w:p>
                  </w:txbxContent>
                </v:textbox>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3651250</wp:posOffset>
                </wp:positionH>
                <wp:positionV relativeFrom="paragraph">
                  <wp:posOffset>2890520</wp:posOffset>
                </wp:positionV>
                <wp:extent cx="496570" cy="965835"/>
                <wp:effectExtent l="274955" t="45720" r="276225" b="55245"/>
                <wp:wrapNone/>
                <wp:docPr id="39" name="矩形 39"/>
                <wp:cNvGraphicFramePr/>
                <a:graphic xmlns:a="http://schemas.openxmlformats.org/drawingml/2006/main">
                  <a:graphicData uri="http://schemas.microsoft.com/office/word/2010/wordprocessingShape">
                    <wps:wsp>
                      <wps:cNvSpPr/>
                      <wps:spPr>
                        <a:xfrm rot="18960000">
                          <a:off x="4430395" y="3610610"/>
                          <a:ext cx="496570" cy="965835"/>
                        </a:xfrm>
                        <a:prstGeom prst="rect">
                          <a:avLst/>
                        </a:prstGeom>
                        <a:solidFill>
                          <a:schemeClr val="bg1">
                            <a:lumMod val="75000"/>
                            <a:alpha val="30000"/>
                          </a:schemeClr>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7.5pt;margin-top:227.6pt;height:76.05pt;width:39.1pt;rotation:-2883584f;z-index:251676672;v-text-anchor:middle;mso-width-relative:page;mso-height-relative:page;" fillcolor="#BFBFBF [2412]" filled="t" stroked="t" coordsize="21600,21600" o:gfxdata="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HxeUTYAAAACwEAAA8AAAAAAAAAAQAgAAAAIgAAAGRycy9kb3ducmV2&#10;LnhtbFBLAQIUABQAAAAIAIdO4kC4AHSTpwIAAFYFAAAOAAAAAAAAAAEAIAAAACcBAABkcnMvZTJv&#10;RG9jLnhtbFBLBQYAAAAABgAGAFkBAABABgAAAAA=&#10;">
                <v:fill on="t" opacity="19660f" focussize="0,0"/>
                <v:stroke weight="1pt" color="#FFFF00" miterlimit="8" joinstyle="miter"/>
                <v:imagedata o:title=""/>
                <o:lock v:ext="edit" aspectratio="f"/>
              </v:rect>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2324100</wp:posOffset>
                </wp:positionH>
                <wp:positionV relativeFrom="paragraph">
                  <wp:posOffset>4277995</wp:posOffset>
                </wp:positionV>
                <wp:extent cx="496570" cy="493395"/>
                <wp:effectExtent l="109220" t="111125" r="118110" b="119380"/>
                <wp:wrapNone/>
                <wp:docPr id="45" name="矩形 45"/>
                <wp:cNvGraphicFramePr/>
                <a:graphic xmlns:a="http://schemas.openxmlformats.org/drawingml/2006/main">
                  <a:graphicData uri="http://schemas.microsoft.com/office/word/2010/wordprocessingShape">
                    <wps:wsp>
                      <wps:cNvSpPr/>
                      <wps:spPr>
                        <a:xfrm rot="19200000">
                          <a:off x="0" y="0"/>
                          <a:ext cx="496570" cy="493395"/>
                        </a:xfrm>
                        <a:prstGeom prst="rect">
                          <a:avLst/>
                        </a:prstGeom>
                        <a:solidFill>
                          <a:schemeClr val="bg1">
                            <a:lumMod val="75000"/>
                            <a:alpha val="30000"/>
                          </a:schemeClr>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pt;margin-top:336.85pt;height:38.85pt;width:39.1pt;rotation:-2621440f;z-index:251677696;v-text-anchor:middle;mso-width-relative:page;mso-height-relative:page;" fillcolor="#BFBFBF [2412]" filled="t" stroked="t" coordsize="21600,21600" o:gfxdata="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BJohQNoAAAALAQAADwAAAAAAAAABACAAAAAiAAAAZHJzL2Rvd25yZXYueG1sUEsB&#10;AhQAFAAAAAgAh07iQIoUOyeeAgAASgUAAA4AAAAAAAAAAQAgAAAAKQEAAGRycy9lMm9Eb2MueG1s&#10;UEsFBgAAAAAGAAYAWQEAADkGAAAAAA==&#10;">
                <v:fill on="t" opacity="19660f" focussize="0,0"/>
                <v:stroke weight="1pt" color="#FFFF00" miterlimit="8" joinstyle="miter"/>
                <v:imagedata o:title=""/>
                <o:lock v:ext="edit" aspectratio="f"/>
              </v:rect>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haracter">
                  <wp:posOffset>-820420</wp:posOffset>
                </wp:positionH>
                <wp:positionV relativeFrom="line">
                  <wp:posOffset>4387215</wp:posOffset>
                </wp:positionV>
                <wp:extent cx="1179830" cy="26416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179830" cy="264160"/>
                        </a:xfrm>
                        <a:prstGeom prst="rect">
                          <a:avLst/>
                        </a:prstGeom>
                        <a:noFill/>
                        <a:ln w="6350">
                          <a:noFill/>
                        </a:ln>
                        <a:effectLst/>
                      </wps:spPr>
                      <wps:txbx>
                        <w:txbxContent>
                          <w:p w14:paraId="277DEA04">
                            <w:pPr>
                              <w:jc w:val="center"/>
                              <w:rPr>
                                <w:rFonts w:hint="default" w:eastAsia="宋体"/>
                                <w:b/>
                                <w:bCs/>
                                <w:lang w:val="en-US" w:eastAsia="zh-CN"/>
                              </w:rPr>
                            </w:pPr>
                            <w:r>
                              <w:rPr>
                                <w:rFonts w:hint="eastAsia"/>
                                <w:b/>
                                <w:bCs/>
                                <w:lang w:val="en-US" w:eastAsia="zh-CN"/>
                              </w:rPr>
                              <w:t>空置厂房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6pt;margin-top:345.45pt;height:20.8pt;width:92.9pt;mso-position-horizontal-relative:char;mso-position-vertical-relative:line;z-index:251683840;mso-width-relative:page;mso-height-relative:page;" filled="f" stroked="f" coordsize="21600,21600" o:gfxdata="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nlbnPcAAAACwEAAA8AAAAAAAAAAQAg&#10;AAAAIgAAAGRycy9kb3ducmV2LnhtbFBLAQIUABQAAAAIAIdO4kAYG4eyQwIAAHYEAAAOAAAAAAAA&#10;AAEAIAAAACsBAABkcnMvZTJvRG9jLnhtbFBLBQYAAAAABgAGAFkBAADgBQAAAAA=&#10;">
                <v:fill on="f" focussize="0,0"/>
                <v:stroke on="f" weight="0.5pt"/>
                <v:imagedata o:title=""/>
                <o:lock v:ext="edit" aspectratio="f"/>
                <v:textbox>
                  <w:txbxContent>
                    <w:p w14:paraId="277DEA04">
                      <w:pPr>
                        <w:jc w:val="center"/>
                        <w:rPr>
                          <w:rFonts w:hint="default" w:eastAsia="宋体"/>
                          <w:b/>
                          <w:bCs/>
                          <w:lang w:val="en-US" w:eastAsia="zh-CN"/>
                        </w:rPr>
                      </w:pPr>
                      <w:r>
                        <w:rPr>
                          <w:rFonts w:hint="eastAsia"/>
                          <w:b/>
                          <w:bCs/>
                          <w:lang w:val="en-US" w:eastAsia="zh-CN"/>
                        </w:rPr>
                        <w:t>空置厂房</w:t>
                      </w:r>
                    </w:p>
                  </w:txbxContent>
                </v:textbox>
              </v:shape>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haracter">
                  <wp:posOffset>346075</wp:posOffset>
                </wp:positionH>
                <wp:positionV relativeFrom="line">
                  <wp:posOffset>4934585</wp:posOffset>
                </wp:positionV>
                <wp:extent cx="1179830" cy="26416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179830" cy="264160"/>
                        </a:xfrm>
                        <a:prstGeom prst="rect">
                          <a:avLst/>
                        </a:prstGeom>
                        <a:noFill/>
                        <a:ln w="6350">
                          <a:noFill/>
                        </a:ln>
                        <a:effectLst/>
                      </wps:spPr>
                      <wps:txbx>
                        <w:txbxContent>
                          <w:p w14:paraId="09F600B8">
                            <w:pPr>
                              <w:jc w:val="center"/>
                              <w:rPr>
                                <w:rFonts w:hint="default" w:eastAsia="宋体"/>
                                <w:b/>
                                <w:bCs/>
                                <w:lang w:val="en-US" w:eastAsia="zh-CN"/>
                              </w:rPr>
                            </w:pPr>
                            <w:r>
                              <w:rPr>
                                <w:rFonts w:hint="eastAsia"/>
                                <w:b/>
                                <w:bCs/>
                                <w:lang w:val="en-US" w:eastAsia="zh-CN"/>
                              </w:rPr>
                              <w:t>林地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5pt;margin-top:388.55pt;height:20.8pt;width:92.9pt;mso-position-horizontal-relative:char;mso-position-vertical-relative:line;z-index:251685888;mso-width-relative:page;mso-height-relative:page;" filled="f" stroked="f" coordsize="21600,21600" o:gfxdata="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TcItsAAAAKAQAADwAAAAAAAAABACAA&#10;AAAiAAAAZHJzL2Rvd25yZXYueG1sUEsBAhQAFAAAAAgAh07iQLthN1VDAgAAdgQAAA4AAAAAAAAA&#10;AQAgAAAAKgEAAGRycy9lMm9Eb2MueG1sUEsFBgAAAAAGAAYAWQEAAN8FAAAAAA==&#10;">
                <v:fill on="f" focussize="0,0"/>
                <v:stroke on="f" weight="0.5pt"/>
                <v:imagedata o:title=""/>
                <o:lock v:ext="edit" aspectratio="f"/>
                <v:textbox>
                  <w:txbxContent>
                    <w:p w14:paraId="09F600B8">
                      <w:pPr>
                        <w:jc w:val="center"/>
                        <w:rPr>
                          <w:rFonts w:hint="default" w:eastAsia="宋体"/>
                          <w:b/>
                          <w:bCs/>
                          <w:lang w:val="en-US" w:eastAsia="zh-CN"/>
                        </w:rPr>
                      </w:pPr>
                      <w:r>
                        <w:rPr>
                          <w:rFonts w:hint="eastAsia"/>
                          <w:b/>
                          <w:bCs/>
                          <w:lang w:val="en-US" w:eastAsia="zh-CN"/>
                        </w:rPr>
                        <w:t>林地</w:t>
                      </w:r>
                    </w:p>
                  </w:txbxContent>
                </v:textbox>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haracter">
                  <wp:posOffset>-527050</wp:posOffset>
                </wp:positionH>
                <wp:positionV relativeFrom="line">
                  <wp:posOffset>4114800</wp:posOffset>
                </wp:positionV>
                <wp:extent cx="791210" cy="847725"/>
                <wp:effectExtent l="8890" t="4445" r="19050" b="24130"/>
                <wp:wrapNone/>
                <wp:docPr id="33" name="任意多边形 33"/>
                <wp:cNvGraphicFramePr/>
                <a:graphic xmlns:a="http://schemas.openxmlformats.org/drawingml/2006/main">
                  <a:graphicData uri="http://schemas.microsoft.com/office/word/2010/wordprocessingShape">
                    <wps:wsp>
                      <wps:cNvSpPr/>
                      <wps:spPr>
                        <a:xfrm>
                          <a:off x="3411855" y="2395855"/>
                          <a:ext cx="790575" cy="847725"/>
                        </a:xfrm>
                        <a:custGeom>
                          <a:avLst/>
                          <a:gdLst>
                            <a:gd name="connisteX0" fmla="*/ 419100 w 790575"/>
                            <a:gd name="connsiteY0" fmla="*/ 38100 h 847725"/>
                            <a:gd name="connisteX1" fmla="*/ 790575 w 790575"/>
                            <a:gd name="connsiteY1" fmla="*/ 428625 h 847725"/>
                            <a:gd name="connisteX2" fmla="*/ 361950 w 790575"/>
                            <a:gd name="connsiteY2" fmla="*/ 847725 h 847725"/>
                            <a:gd name="connisteX3" fmla="*/ 0 w 790575"/>
                            <a:gd name="connsiteY3" fmla="*/ 419100 h 847725"/>
                            <a:gd name="connisteX4" fmla="*/ 419100 w 790575"/>
                            <a:gd name="connsiteY4" fmla="*/ 0 h 8477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90575" h="847725">
                              <a:moveTo>
                                <a:pt x="419100" y="38100"/>
                              </a:moveTo>
                              <a:lnTo>
                                <a:pt x="790575" y="428625"/>
                              </a:lnTo>
                              <a:lnTo>
                                <a:pt x="361950" y="847725"/>
                              </a:lnTo>
                              <a:lnTo>
                                <a:pt x="0" y="419100"/>
                              </a:lnTo>
                              <a:lnTo>
                                <a:pt x="419100" y="0"/>
                              </a:lnTo>
                            </a:path>
                          </a:pathLst>
                        </a:custGeom>
                        <a:noFill/>
                        <a:ln w="12700" cap="flat" cmpd="sng" algn="ctr">
                          <a:solidFill>
                            <a:srgbClr val="FFFF00"/>
                          </a:solidFill>
                          <a:prstDash val="solid"/>
                          <a:miter lim="800000"/>
                        </a:ln>
                        <a:effectLst/>
                      </wps:spPr>
                      <wps:bodyPr/>
                    </wps:wsp>
                  </a:graphicData>
                </a:graphic>
              </wp:anchor>
            </w:drawing>
          </mc:Choice>
          <mc:Fallback>
            <w:pict>
              <v:shape id="_x0000_s1026" o:spid="_x0000_s1026" o:spt="100" style="position:absolute;left:0pt;margin-left:-41.5pt;margin-top:324pt;height:66.75pt;width:62.3pt;mso-position-horizontal-relative:char;mso-position-vertical-relative:line;z-index:251675648;mso-width-relative:page;mso-height-relative:page;" filled="f" stroked="t" coordsize="790575,847725" o:gfxdata="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" path="m419100,38100l790575,428625,361950,847725,0,419100,419100,0e">
                <v:path o:connectlocs="419100,38100;790575,428625;361950,847725;0,419100;419100,0" o:connectangles="0,0,0,0,0"/>
                <v:fill on="f" focussize="0,0"/>
                <v:stroke weight="1pt" color="#FFFF00" miterlimit="8" joinstyle="miter"/>
                <v:imagedata o:title=""/>
                <o:lock v:ext="edit" aspectratio="f"/>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haracter">
                  <wp:posOffset>-492125</wp:posOffset>
                </wp:positionH>
                <wp:positionV relativeFrom="line">
                  <wp:posOffset>4490085</wp:posOffset>
                </wp:positionV>
                <wp:extent cx="1125855" cy="501650"/>
                <wp:effectExtent l="0" t="0" r="0" b="0"/>
                <wp:wrapNone/>
                <wp:docPr id="35" name="文本框 35"/>
                <wp:cNvGraphicFramePr/>
                <a:graphic xmlns:a="http://schemas.openxmlformats.org/drawingml/2006/main">
                  <a:graphicData uri="http://schemas.microsoft.com/office/word/2010/wordprocessingShape">
                    <wps:wsp>
                      <wps:cNvSpPr txBox="1"/>
                      <wps:spPr>
                        <a:xfrm>
                          <a:off x="3446780" y="2770505"/>
                          <a:ext cx="1125220" cy="502285"/>
                        </a:xfrm>
                        <a:prstGeom prst="rect">
                          <a:avLst/>
                        </a:prstGeom>
                        <a:noFill/>
                        <a:ln w="6350">
                          <a:noFill/>
                        </a:ln>
                        <a:effectLst/>
                      </wps:spPr>
                      <wps:txbx>
                        <w:txbxContent>
                          <w:p w14:paraId="38F7B57D">
                            <w:r>
                              <w:rPr>
                                <w:rFonts w:hint="eastAsia"/>
                              </w:rPr>
                              <w:t>空置厂房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75pt;margin-top:353.55pt;height:39.5pt;width:88.65pt;mso-position-horizontal-relative:char;mso-position-vertical-relative:line;z-index:251675648;mso-width-relative:page;mso-height-relative:page;" filled="f" stroked="f" coordsize="21600,21600" o:gfxdata="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ksSxDbAAAACgEA&#10;AA8AAAAAAAAAAQAgAAAAIgAAAGRycy9kb3ducmV2LnhtbFBLAQIUABQAAAAIAIdO4kA9OowqUAIA&#10;AIIEAAAOAAAAAAAAAAEAIAAAACoBAABkcnMvZTJvRG9jLnhtbFBLBQYAAAAABgAGAFkBAADsBQAA&#10;AAA=&#10;">
                <v:fill on="f" focussize="0,0"/>
                <v:stroke on="f" weight="0.5pt"/>
                <v:imagedata o:title=""/>
                <o:lock v:ext="edit" aspectratio="f"/>
                <v:textbox>
                  <w:txbxContent>
                    <w:p w14:paraId="38F7B57D">
                      <w:r>
                        <w:rPr>
                          <w:rFonts w:hint="eastAsia"/>
                        </w:rPr>
                        <w:t>空置厂房</w:t>
                      </w:r>
                    </w:p>
                  </w:txbxContent>
                </v:textbox>
              </v:shape>
            </w:pict>
          </mc:Fallback>
        </mc:AlternateContent>
      </w:r>
      <w:r>
        <w:rPr>
          <w:color w:val="auto"/>
        </w:rPr>
        <w:drawing>
          <wp:anchor distT="0" distB="0" distL="114300" distR="114300" simplePos="0" relativeHeight="251675648" behindDoc="0" locked="0" layoutInCell="1" allowOverlap="1">
            <wp:simplePos x="0" y="0"/>
            <wp:positionH relativeFrom="character">
              <wp:posOffset>-2573655</wp:posOffset>
            </wp:positionH>
            <wp:positionV relativeFrom="line">
              <wp:posOffset>1719580</wp:posOffset>
            </wp:positionV>
            <wp:extent cx="5353050" cy="5038725"/>
            <wp:effectExtent l="0" t="0" r="0" b="9525"/>
            <wp:wrapNone/>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23"/>
                    <a:stretch>
                      <a:fillRect/>
                    </a:stretch>
                  </pic:blipFill>
                  <pic:spPr>
                    <a:xfrm>
                      <a:off x="1364615" y="0"/>
                      <a:ext cx="5353050" cy="5038725"/>
                    </a:xfrm>
                    <a:prstGeom prst="rect">
                      <a:avLst/>
                    </a:prstGeom>
                    <a:noFill/>
                    <a:ln>
                      <a:noFill/>
                    </a:ln>
                    <a:effectLst/>
                  </pic:spPr>
                </pic:pic>
              </a:graphicData>
            </a:graphic>
          </wp:anchor>
        </w:drawing>
      </w:r>
      <w:r>
        <w:rPr>
          <w:color w:val="auto"/>
        </w:rPr>
        <mc:AlternateContent>
          <mc:Choice Requires="wps">
            <w:drawing>
              <wp:anchor distT="0" distB="0" distL="114300" distR="114300" simplePos="0" relativeHeight="251675648" behindDoc="0" locked="0" layoutInCell="1" allowOverlap="1">
                <wp:simplePos x="0" y="0"/>
                <wp:positionH relativeFrom="character">
                  <wp:posOffset>150495</wp:posOffset>
                </wp:positionH>
                <wp:positionV relativeFrom="line">
                  <wp:posOffset>4200525</wp:posOffset>
                </wp:positionV>
                <wp:extent cx="149860" cy="121285"/>
                <wp:effectExtent l="22225" t="17780" r="37465" b="32385"/>
                <wp:wrapNone/>
                <wp:docPr id="36" name="五角星 36"/>
                <wp:cNvGraphicFramePr/>
                <a:graphic xmlns:a="http://schemas.openxmlformats.org/drawingml/2006/main">
                  <a:graphicData uri="http://schemas.microsoft.com/office/word/2010/wordprocessingShape">
                    <wps:wsp>
                      <wps:cNvSpPr/>
                      <wps:spPr>
                        <a:xfrm>
                          <a:off x="4089400" y="2481580"/>
                          <a:ext cx="149860" cy="121285"/>
                        </a:xfrm>
                        <a:prstGeom prst="star5">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1.85pt;margin-top:330.75pt;height:9.55pt;width:11.8pt;mso-position-horizontal-relative:char;mso-position-vertical-relative:line;z-index:251675648;v-text-anchor:middle;mso-width-relative:page;mso-height-relative:page;" fillcolor="#FF0000" filled="t" stroked="t" coordsize="149860,121285" o:gfxdata="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TgEPu1wAAAAkBAAAPAAAAAAAA&#10;AAEAIAAAACIAAABkcnMvZG93bnJldi54bWxQSwECFAAUAAAACACHTuJAZXQHzoUCAAATBQAADgAA&#10;AAAAAAABACAAAAAmAQAAZHJzL2Uyb0RvYy54bWxQSwUGAAAAAAYABgBZAQAAHQYAAAAA&#10;" path="m0,46326l57241,46326,74930,0,92618,46326,149859,46326,103550,74957,121239,121284,74930,92652,28620,121284,46309,74957xe">
                <v:path o:connectlocs="74930,0;0,46326;28620,121284;121239,121284;149859,46326" o:connectangles="247,164,82,82,0"/>
                <v:fill on="t" focussize="0,0"/>
                <v:stroke weight="1pt" color="#FF0000" miterlimit="8" joinstyle="miter"/>
                <v:imagedata o:title=""/>
                <o:lock v:ext="edit" aspectratio="f"/>
              </v:shape>
            </w:pict>
          </mc:Fallback>
        </mc:AlternateContent>
      </w:r>
      <w:r>
        <w:rPr>
          <w:color w:val="auto"/>
        </w:rPr>
        <w:drawing>
          <wp:anchor distT="0" distB="0" distL="114300" distR="114300" simplePos="0" relativeHeight="251675648" behindDoc="0" locked="0" layoutInCell="1" allowOverlap="1">
            <wp:simplePos x="0" y="0"/>
            <wp:positionH relativeFrom="character">
              <wp:posOffset>2941955</wp:posOffset>
            </wp:positionH>
            <wp:positionV relativeFrom="line">
              <wp:posOffset>1719580</wp:posOffset>
            </wp:positionV>
            <wp:extent cx="468630" cy="667385"/>
            <wp:effectExtent l="0" t="0" r="7620" b="18415"/>
            <wp:wrapNone/>
            <wp:docPr id="27" name="图片 232" descr="玫瑰"/>
            <wp:cNvGraphicFramePr/>
            <a:graphic xmlns:a="http://schemas.openxmlformats.org/drawingml/2006/main">
              <a:graphicData uri="http://schemas.openxmlformats.org/drawingml/2006/picture">
                <pic:pic xmlns:pic="http://schemas.openxmlformats.org/drawingml/2006/picture">
                  <pic:nvPicPr>
                    <pic:cNvPr id="27" name="图片 232" descr="玫瑰"/>
                    <pic:cNvPicPr/>
                  </pic:nvPicPr>
                  <pic:blipFill>
                    <a:blip r:embed="rId22">
                      <a:extLst>
                        <a:ext uri="{28A0092B-C50C-407E-A947-70E740481C1C}">
                          <a14:useLocalDpi xmlns:a14="http://schemas.microsoft.com/office/drawing/2010/main" val="0"/>
                        </a:ext>
                      </a:extLst>
                    </a:blip>
                    <a:srcRect l="13611" r="13472"/>
                    <a:stretch>
                      <a:fillRect/>
                    </a:stretch>
                  </pic:blipFill>
                  <pic:spPr>
                    <a:xfrm>
                      <a:off x="6880225" y="0"/>
                      <a:ext cx="469265" cy="668020"/>
                    </a:xfrm>
                    <a:prstGeom prst="rect">
                      <a:avLst/>
                    </a:prstGeom>
                    <a:noFill/>
                    <a:ln>
                      <a:noFill/>
                    </a:ln>
                    <a:effectLst/>
                  </pic:spPr>
                </pic:pic>
              </a:graphicData>
            </a:graphic>
          </wp:anchor>
        </w:drawing>
      </w:r>
      <w:r>
        <w:rPr>
          <w:color w:val="auto"/>
        </w:rPr>
        <mc:AlternateContent>
          <mc:Choice Requires="wps">
            <w:drawing>
              <wp:anchor distT="0" distB="0" distL="114300" distR="114300" simplePos="0" relativeHeight="251675648" behindDoc="0" locked="0" layoutInCell="1" allowOverlap="1">
                <wp:simplePos x="0" y="0"/>
                <wp:positionH relativeFrom="character">
                  <wp:posOffset>-2591435</wp:posOffset>
                </wp:positionH>
                <wp:positionV relativeFrom="line">
                  <wp:posOffset>1710055</wp:posOffset>
                </wp:positionV>
                <wp:extent cx="2476500" cy="2557145"/>
                <wp:effectExtent l="6350" t="5080" r="12700" b="28575"/>
                <wp:wrapNone/>
                <wp:docPr id="24" name="任意多边形 24"/>
                <wp:cNvGraphicFramePr/>
                <a:graphic xmlns:a="http://schemas.openxmlformats.org/drawingml/2006/main">
                  <a:graphicData uri="http://schemas.microsoft.com/office/word/2010/wordprocessingShape">
                    <wps:wsp>
                      <wps:cNvSpPr/>
                      <wps:spPr>
                        <a:xfrm>
                          <a:off x="1347470" y="19050"/>
                          <a:ext cx="2476500" cy="2557145"/>
                        </a:xfrm>
                        <a:custGeom>
                          <a:avLst/>
                          <a:gdLst>
                            <a:gd name="connsiteX0" fmla="*/ 2714 w 3900"/>
                            <a:gd name="connsiteY0" fmla="*/ 0 h 4027"/>
                            <a:gd name="connsiteX1" fmla="*/ 2313 w 3900"/>
                            <a:gd name="connsiteY1" fmla="*/ 250 h 4027"/>
                            <a:gd name="connsiteX2" fmla="*/ 137 w 3900"/>
                            <a:gd name="connsiteY2" fmla="*/ 2281 h 4027"/>
                            <a:gd name="connsiteX3" fmla="*/ 41 w 3900"/>
                            <a:gd name="connsiteY3" fmla="*/ 2445 h 4027"/>
                            <a:gd name="connsiteX4" fmla="*/ 0 w 3900"/>
                            <a:gd name="connsiteY4" fmla="*/ 2909 h 4027"/>
                            <a:gd name="connsiteX5" fmla="*/ 28 w 3900"/>
                            <a:gd name="connsiteY5" fmla="*/ 3645 h 4027"/>
                            <a:gd name="connsiteX6" fmla="*/ 273 w 3900"/>
                            <a:gd name="connsiteY6" fmla="*/ 4027 h 4027"/>
                            <a:gd name="connsiteX7" fmla="*/ 3900 w 3900"/>
                            <a:gd name="connsiteY7" fmla="*/ 494 h 4027"/>
                            <a:gd name="connsiteX8" fmla="*/ 3522 w 3900"/>
                            <a:gd name="connsiteY8" fmla="*/ 29 h 4027"/>
                            <a:gd name="connsiteX9" fmla="*/ 2679 w 3900"/>
                            <a:gd name="connsiteY9" fmla="*/ 15 h 4027"/>
                            <a:gd name="connsiteX10" fmla="*/ 2379 w 3900"/>
                            <a:gd name="connsiteY10" fmla="*/ 229 h 4027"/>
                            <a:gd name="connsiteX11" fmla="*/ 2172 w 3900"/>
                            <a:gd name="connsiteY11" fmla="*/ 386 h 4027"/>
                            <a:gd name="connsiteX12" fmla="*/ 2381 w 3900"/>
                            <a:gd name="connsiteY12" fmla="*/ 196 h 40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900" h="4027">
                              <a:moveTo>
                                <a:pt x="2714" y="0"/>
                              </a:moveTo>
                              <a:lnTo>
                                <a:pt x="2313" y="250"/>
                              </a:lnTo>
                              <a:lnTo>
                                <a:pt x="137" y="2281"/>
                              </a:lnTo>
                              <a:lnTo>
                                <a:pt x="41" y="2445"/>
                              </a:lnTo>
                              <a:lnTo>
                                <a:pt x="0" y="2909"/>
                              </a:lnTo>
                              <a:lnTo>
                                <a:pt x="28" y="3645"/>
                              </a:lnTo>
                              <a:lnTo>
                                <a:pt x="273" y="4027"/>
                              </a:lnTo>
                              <a:lnTo>
                                <a:pt x="3900" y="494"/>
                              </a:lnTo>
                              <a:lnTo>
                                <a:pt x="3522" y="29"/>
                              </a:lnTo>
                              <a:lnTo>
                                <a:pt x="2679" y="15"/>
                              </a:lnTo>
                              <a:lnTo>
                                <a:pt x="2379" y="229"/>
                              </a:lnTo>
                              <a:lnTo>
                                <a:pt x="2172" y="386"/>
                              </a:lnTo>
                              <a:lnTo>
                                <a:pt x="2381" y="196"/>
                              </a:lnTo>
                            </a:path>
                          </a:pathLst>
                        </a:custGeom>
                        <a:solidFill>
                          <a:schemeClr val="bg1">
                            <a:lumMod val="75000"/>
                            <a:alpha val="30000"/>
                          </a:schemeClr>
                        </a:solidFill>
                        <a:ln w="12700" cap="flat" cmpd="sng" algn="ctr">
                          <a:solidFill>
                            <a:srgbClr val="FFFF00"/>
                          </a:solidFill>
                          <a:prstDash val="solid"/>
                          <a:miter lim="800000"/>
                        </a:ln>
                        <a:effectLst/>
                      </wps:spPr>
                      <wps:bodyPr/>
                    </wps:wsp>
                  </a:graphicData>
                </a:graphic>
              </wp:anchor>
            </w:drawing>
          </mc:Choice>
          <mc:Fallback>
            <w:pict>
              <v:shape id="_x0000_s1026" o:spid="_x0000_s1026" o:spt="100" style="position:absolute;left:0pt;margin-left:-204.05pt;margin-top:134.65pt;height:201.35pt;width:195pt;mso-position-horizontal-relative:char;mso-position-vertical-relative:line;z-index:251675648;mso-width-relative:page;mso-height-relative:page;" fillcolor="#BFBFBF [2412]" filled="t" stroked="t" coordsize="3900,4027" o:gfxdata="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" path="m2714,0l2313,250,137,2281,41,2445,0,2909,28,3645,273,4027,3900,494,3522,29,2679,15,2379,229,2172,386,2381,196e">
                <v:path o:connectlocs="1723390,0;1468755,158750;86995,1448435;26035,1552575;0,1847215;17780,2314575;173355,2557145;2476500,313690;2236470,18415;1701165,9525;1510665,145415;1379220,245110;1511935,124460" o:connectangles="0,0,0,0,0,0,0,0,0,0,0,0,0"/>
                <v:fill on="t" opacity="19660f" focussize="0,0"/>
                <v:stroke weight="1pt" color="#FFFF00" miterlimit="8" joinstyle="miter"/>
                <v:imagedata o:title=""/>
                <o:lock v:ext="edit" aspectratio="f"/>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haracter">
                  <wp:posOffset>-2522220</wp:posOffset>
                </wp:positionH>
                <wp:positionV relativeFrom="line">
                  <wp:posOffset>2456815</wp:posOffset>
                </wp:positionV>
                <wp:extent cx="3040380" cy="3291205"/>
                <wp:effectExtent l="6350" t="6350" r="20320" b="17145"/>
                <wp:wrapNone/>
                <wp:docPr id="30" name="任意多边形 30"/>
                <wp:cNvGraphicFramePr/>
                <a:graphic xmlns:a="http://schemas.openxmlformats.org/drawingml/2006/main">
                  <a:graphicData uri="http://schemas.microsoft.com/office/word/2010/wordprocessingShape">
                    <wps:wsp>
                      <wps:cNvSpPr/>
                      <wps:spPr>
                        <a:xfrm>
                          <a:off x="1416685" y="737870"/>
                          <a:ext cx="3039745" cy="3290570"/>
                        </a:xfrm>
                        <a:custGeom>
                          <a:avLst/>
                          <a:gdLst>
                            <a:gd name="connisteX0" fmla="*/ 2164715 w 3039745"/>
                            <a:gd name="connsiteY0" fmla="*/ 0 h 3290570"/>
                            <a:gd name="connisteX1" fmla="*/ 2399030 w 3039745"/>
                            <a:gd name="connsiteY1" fmla="*/ 216535 h 3290570"/>
                            <a:gd name="connisteX2" fmla="*/ 2615565 w 3039745"/>
                            <a:gd name="connsiteY2" fmla="*/ 381000 h 3290570"/>
                            <a:gd name="connisteX3" fmla="*/ 3039745 w 3039745"/>
                            <a:gd name="connsiteY3" fmla="*/ 883285 h 3290570"/>
                            <a:gd name="connisteX4" fmla="*/ 2320925 w 3039745"/>
                            <a:gd name="connsiteY4" fmla="*/ 1506855 h 3290570"/>
                            <a:gd name="connisteX5" fmla="*/ 2216785 w 3039745"/>
                            <a:gd name="connsiteY5" fmla="*/ 1593215 h 3290570"/>
                            <a:gd name="connisteX6" fmla="*/ 2294890 w 3039745"/>
                            <a:gd name="connsiteY6" fmla="*/ 1697355 h 3290570"/>
                            <a:gd name="connisteX7" fmla="*/ 1896745 w 3039745"/>
                            <a:gd name="connsiteY7" fmla="*/ 2043430 h 3290570"/>
                            <a:gd name="connisteX8" fmla="*/ 2164715 w 3039745"/>
                            <a:gd name="connsiteY8" fmla="*/ 2364105 h 3290570"/>
                            <a:gd name="connisteX9" fmla="*/ 1186815 w 3039745"/>
                            <a:gd name="connsiteY9" fmla="*/ 3290570 h 3290570"/>
                            <a:gd name="connisteX10" fmla="*/ 554355 w 3039745"/>
                            <a:gd name="connsiteY10" fmla="*/ 3143250 h 3290570"/>
                            <a:gd name="connisteX11" fmla="*/ 225425 w 3039745"/>
                            <a:gd name="connsiteY11" fmla="*/ 2762250 h 3290570"/>
                            <a:gd name="connisteX12" fmla="*/ 52070 w 3039745"/>
                            <a:gd name="connsiteY12" fmla="*/ 2614930 h 3290570"/>
                            <a:gd name="connisteX13" fmla="*/ 0 w 3039745"/>
                            <a:gd name="connsiteY13" fmla="*/ 2398395 h 3290570"/>
                            <a:gd name="connisteX14" fmla="*/ 52070 w 3039745"/>
                            <a:gd name="connsiteY14" fmla="*/ 2069465 h 3290570"/>
                            <a:gd name="connisteX15" fmla="*/ 147320 w 3039745"/>
                            <a:gd name="connsiteY15" fmla="*/ 2121535 h 3290570"/>
                            <a:gd name="connisteX16" fmla="*/ 372745 w 3039745"/>
                            <a:gd name="connsiteY16" fmla="*/ 1957070 h 3290570"/>
                            <a:gd name="connisteX17" fmla="*/ 147320 w 3039745"/>
                            <a:gd name="connsiteY17" fmla="*/ 1774825 h 3290570"/>
                            <a:gd name="connisteX18" fmla="*/ 1974215 w 3039745"/>
                            <a:gd name="connsiteY18" fmla="*/ 52070 h 3290570"/>
                            <a:gd name="connisteX19" fmla="*/ 2199640 w 3039745"/>
                            <a:gd name="connsiteY19" fmla="*/ 0 h 32905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3039745" h="3290570">
                              <a:moveTo>
                                <a:pt x="2164715" y="0"/>
                              </a:moveTo>
                              <a:lnTo>
                                <a:pt x="2399030" y="216535"/>
                              </a:lnTo>
                              <a:lnTo>
                                <a:pt x="2615565" y="381000"/>
                              </a:lnTo>
                              <a:lnTo>
                                <a:pt x="3039745" y="883285"/>
                              </a:lnTo>
                              <a:lnTo>
                                <a:pt x="2320925" y="1506855"/>
                              </a:lnTo>
                              <a:lnTo>
                                <a:pt x="2216785" y="1593215"/>
                              </a:lnTo>
                              <a:lnTo>
                                <a:pt x="2294890" y="1697355"/>
                              </a:lnTo>
                              <a:lnTo>
                                <a:pt x="1896745" y="2043430"/>
                              </a:lnTo>
                              <a:lnTo>
                                <a:pt x="2164715" y="2364105"/>
                              </a:lnTo>
                              <a:lnTo>
                                <a:pt x="1186815" y="3290570"/>
                              </a:lnTo>
                              <a:lnTo>
                                <a:pt x="554355" y="3143250"/>
                              </a:lnTo>
                              <a:lnTo>
                                <a:pt x="225425" y="2762250"/>
                              </a:lnTo>
                              <a:lnTo>
                                <a:pt x="52070" y="2614930"/>
                              </a:lnTo>
                              <a:lnTo>
                                <a:pt x="0" y="2398395"/>
                              </a:lnTo>
                              <a:lnTo>
                                <a:pt x="52070" y="2069465"/>
                              </a:lnTo>
                              <a:lnTo>
                                <a:pt x="147320" y="2121535"/>
                              </a:lnTo>
                              <a:lnTo>
                                <a:pt x="372745" y="1957070"/>
                              </a:lnTo>
                              <a:lnTo>
                                <a:pt x="147320" y="1774825"/>
                              </a:lnTo>
                              <a:lnTo>
                                <a:pt x="1974215" y="52070"/>
                              </a:lnTo>
                              <a:lnTo>
                                <a:pt x="2199640" y="0"/>
                              </a:lnTo>
                            </a:path>
                          </a:pathLst>
                        </a:custGeom>
                        <a:solidFill>
                          <a:schemeClr val="bg1">
                            <a:lumMod val="75000"/>
                            <a:alpha val="30000"/>
                          </a:schemeClr>
                        </a:solidFill>
                        <a:ln w="12700" cap="flat" cmpd="sng" algn="ctr">
                          <a:solidFill>
                            <a:srgbClr val="FFFF00"/>
                          </a:solidFill>
                          <a:prstDash val="solid"/>
                          <a:miter lim="800000"/>
                        </a:ln>
                        <a:effectLst/>
                      </wps:spPr>
                      <wps:bodyPr/>
                    </wps:wsp>
                  </a:graphicData>
                </a:graphic>
              </wp:anchor>
            </w:drawing>
          </mc:Choice>
          <mc:Fallback>
            <w:pict>
              <v:shape id="_x0000_s1026" o:spid="_x0000_s1026" o:spt="100" style="position:absolute;left:0pt;margin-left:-198.6pt;margin-top:193.45pt;height:259.15pt;width:239.4pt;mso-position-horizontal-relative:char;mso-position-vertical-relative:line;z-index:251675648;mso-width-relative:page;mso-height-relative:page;" fillcolor="#BFBFBF [2412]" filled="t" stroked="t" coordsize="3039745,3290570" o:gfxdata="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" path="m2164715,0l2399030,216535,2615565,381000,3039745,883285,2320925,1506855,2216785,1593215,2294890,1697355,1896745,2043430,2164715,2364105,1186815,3290570,554355,3143250,225425,2762250,52070,2614930,0,2398395,52070,2069465,147320,2121535,372745,1957070,147320,1774825,1974215,52070,2199640,0e">
                <v:path o:connectlocs="2164715,0;2399030,216535;2615565,381000;3039745,883285;2320925,1506855;2216785,1593215;2294890,1697355;1896745,2043430;2164715,2364105;1186815,3290570;554355,3143250;225425,2762250;52070,2614930;0,2398395;52070,2069465;147320,2121535;372745,1957070;147320,1774825;1974215,52070;2199640,0" o:connectangles="0,0,0,0,0,0,0,0,0,0,0,0,0,0,0,0,0,0,0,0"/>
                <v:fill on="t" opacity="19660f" focussize="0,0"/>
                <v:stroke weight="1pt" color="#FFFF00" miterlimit="8" joinstyle="miter"/>
                <v:imagedata o:title=""/>
                <o:lock v:ext="edit" aspectratio="f"/>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haracter">
                  <wp:posOffset>97155</wp:posOffset>
                </wp:positionH>
                <wp:positionV relativeFrom="line">
                  <wp:posOffset>1729105</wp:posOffset>
                </wp:positionV>
                <wp:extent cx="2659380" cy="2745105"/>
                <wp:effectExtent l="15240" t="6350" r="11430" b="10795"/>
                <wp:wrapNone/>
                <wp:docPr id="32" name="任意多边形 32"/>
                <wp:cNvGraphicFramePr/>
                <a:graphic xmlns:a="http://schemas.openxmlformats.org/drawingml/2006/main">
                  <a:graphicData uri="http://schemas.microsoft.com/office/word/2010/wordprocessingShape">
                    <wps:wsp>
                      <wps:cNvSpPr/>
                      <wps:spPr>
                        <a:xfrm>
                          <a:off x="4036060" y="10160"/>
                          <a:ext cx="2658745" cy="2745105"/>
                        </a:xfrm>
                        <a:custGeom>
                          <a:avLst/>
                          <a:gdLst>
                            <a:gd name="connisteX0" fmla="*/ 0 w 2658745"/>
                            <a:gd name="connsiteY0" fmla="*/ 0 h 2745105"/>
                            <a:gd name="connisteX1" fmla="*/ 1879600 w 2658745"/>
                            <a:gd name="connsiteY1" fmla="*/ 1939925 h 2745105"/>
                            <a:gd name="connisteX2" fmla="*/ 1913890 w 2658745"/>
                            <a:gd name="connsiteY2" fmla="*/ 2104390 h 2745105"/>
                            <a:gd name="connisteX3" fmla="*/ 2078355 w 2658745"/>
                            <a:gd name="connsiteY3" fmla="*/ 2312035 h 2745105"/>
                            <a:gd name="connisteX4" fmla="*/ 2061210 w 2658745"/>
                            <a:gd name="connsiteY4" fmla="*/ 2528570 h 2745105"/>
                            <a:gd name="connisteX5" fmla="*/ 2320925 w 2658745"/>
                            <a:gd name="connsiteY5" fmla="*/ 2745105 h 2745105"/>
                            <a:gd name="connisteX6" fmla="*/ 2658745 w 2658745"/>
                            <a:gd name="connsiteY6" fmla="*/ 2364105 h 2745105"/>
                            <a:gd name="connisteX7" fmla="*/ 2658745 w 2658745"/>
                            <a:gd name="connsiteY7" fmla="*/ 2225675 h 2745105"/>
                            <a:gd name="connisteX8" fmla="*/ 2658745 w 2658745"/>
                            <a:gd name="connsiteY8" fmla="*/ 8890 h 2745105"/>
                            <a:gd name="connisteX9" fmla="*/ 43815 w 2658745"/>
                            <a:gd name="connsiteY9" fmla="*/ 0 h 2745105"/>
                            <a:gd name="connisteX10" fmla="*/ 0 w 2658745"/>
                            <a:gd name="connsiteY10" fmla="*/ 0 h 27451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658745" h="2745105">
                              <a:moveTo>
                                <a:pt x="0" y="0"/>
                              </a:moveTo>
                              <a:lnTo>
                                <a:pt x="1879600" y="1939925"/>
                              </a:lnTo>
                              <a:lnTo>
                                <a:pt x="1913890" y="2104390"/>
                              </a:lnTo>
                              <a:lnTo>
                                <a:pt x="2078355" y="2312035"/>
                              </a:lnTo>
                              <a:lnTo>
                                <a:pt x="2061210" y="2528570"/>
                              </a:lnTo>
                              <a:lnTo>
                                <a:pt x="2320925" y="2745105"/>
                              </a:lnTo>
                              <a:lnTo>
                                <a:pt x="2658745" y="2364105"/>
                              </a:lnTo>
                              <a:lnTo>
                                <a:pt x="2658745" y="2225675"/>
                              </a:lnTo>
                              <a:lnTo>
                                <a:pt x="2658745" y="8890"/>
                              </a:lnTo>
                              <a:lnTo>
                                <a:pt x="43815" y="0"/>
                              </a:lnTo>
                              <a:lnTo>
                                <a:pt x="0" y="0"/>
                              </a:lnTo>
                              <a:close/>
                            </a:path>
                          </a:pathLst>
                        </a:custGeom>
                        <a:solidFill>
                          <a:schemeClr val="bg1">
                            <a:lumMod val="75000"/>
                            <a:alpha val="30000"/>
                          </a:schemeClr>
                        </a:solidFill>
                        <a:ln w="12700" cap="flat" cmpd="sng" algn="ctr">
                          <a:solidFill>
                            <a:srgbClr val="FFFF00"/>
                          </a:solidFill>
                          <a:prstDash val="solid"/>
                          <a:miter lim="800000"/>
                        </a:ln>
                        <a:effectLst/>
                      </wps:spPr>
                      <wps:bodyPr/>
                    </wps:wsp>
                  </a:graphicData>
                </a:graphic>
              </wp:anchor>
            </w:drawing>
          </mc:Choice>
          <mc:Fallback>
            <w:pict>
              <v:shape id="_x0000_s1026" o:spid="_x0000_s1026" o:spt="100" style="position:absolute;left:0pt;margin-left:7.65pt;margin-top:136.15pt;height:216.15pt;width:209.4pt;mso-position-horizontal-relative:char;mso-position-vertical-relative:line;z-index:251675648;mso-width-relative:page;mso-height-relative:page;" fillcolor="#BFBFBF [2412]" filled="t" stroked="t" coordsize="2658745,2745105" o:gfxdata="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" path="m0,0l1879600,1939925,1913890,2104390,2078355,2312035,2061210,2528570,2320925,2745105,2658745,2364105,2658745,2225675,2658745,8890,43815,0,0,0xe">
                <v:path o:connectlocs="0,0;1879600,1939925;1913890,2104390;2078355,2312035;2061210,2528570;2320925,2745105;2658745,2364105;2658745,2225675;2658745,8890;43815,0;0,0" o:connectangles="0,0,0,0,0,0,0,0,0,0,0"/>
                <v:fill on="t" opacity="19660f" focussize="0,0"/>
                <v:stroke weight="1pt" color="#FFFF00" miterlimit="8" joinstyle="miter"/>
                <v:imagedata o:title=""/>
                <o:lock v:ext="edit" aspectratio="f"/>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haracter">
                  <wp:posOffset>-2196465</wp:posOffset>
                </wp:positionH>
                <wp:positionV relativeFrom="line">
                  <wp:posOffset>4803140</wp:posOffset>
                </wp:positionV>
                <wp:extent cx="4975860" cy="1948180"/>
                <wp:effectExtent l="10160" t="8255" r="24130" b="24765"/>
                <wp:wrapNone/>
                <wp:docPr id="31" name="任意多边形 31"/>
                <wp:cNvGraphicFramePr/>
                <a:graphic xmlns:a="http://schemas.openxmlformats.org/drawingml/2006/main">
                  <a:graphicData uri="http://schemas.microsoft.com/office/word/2010/wordprocessingShape">
                    <wps:wsp>
                      <wps:cNvSpPr/>
                      <wps:spPr>
                        <a:xfrm>
                          <a:off x="1741805" y="3084195"/>
                          <a:ext cx="4975860" cy="1948180"/>
                        </a:xfrm>
                        <a:custGeom>
                          <a:avLst/>
                          <a:gdLst>
                            <a:gd name="connsiteX0" fmla="*/ 7576 w 7836"/>
                            <a:gd name="connsiteY0" fmla="*/ 1337 h 3068"/>
                            <a:gd name="connsiteX1" fmla="*/ 7083 w 7836"/>
                            <a:gd name="connsiteY1" fmla="*/ 464 h 3068"/>
                            <a:gd name="connsiteX2" fmla="*/ 6658 w 7836"/>
                            <a:gd name="connsiteY2" fmla="*/ 0 h 3068"/>
                            <a:gd name="connsiteX3" fmla="*/ 6110 w 7836"/>
                            <a:gd name="connsiteY3" fmla="*/ 314 h 3068"/>
                            <a:gd name="connsiteX4" fmla="*/ 6397 w 7836"/>
                            <a:gd name="connsiteY4" fmla="*/ 968 h 3068"/>
                            <a:gd name="connsiteX5" fmla="*/ 5987 w 7836"/>
                            <a:gd name="connsiteY5" fmla="*/ 1105 h 3068"/>
                            <a:gd name="connsiteX6" fmla="*/ 5863 w 7836"/>
                            <a:gd name="connsiteY6" fmla="*/ 1173 h 3068"/>
                            <a:gd name="connsiteX7" fmla="*/ 6001 w 7836"/>
                            <a:gd name="connsiteY7" fmla="*/ 1337 h 3068"/>
                            <a:gd name="connsiteX8" fmla="*/ 5617 w 7836"/>
                            <a:gd name="connsiteY8" fmla="*/ 1732 h 3068"/>
                            <a:gd name="connsiteX9" fmla="*/ 5219 w 7836"/>
                            <a:gd name="connsiteY9" fmla="*/ 1432 h 3068"/>
                            <a:gd name="connsiteX10" fmla="*/ 5027 w 7836"/>
                            <a:gd name="connsiteY10" fmla="*/ 1568 h 3068"/>
                            <a:gd name="connsiteX11" fmla="*/ 4918 w 7836"/>
                            <a:gd name="connsiteY11" fmla="*/ 1691 h 3068"/>
                            <a:gd name="connsiteX12" fmla="*/ 4713 w 7836"/>
                            <a:gd name="connsiteY12" fmla="*/ 1691 h 3068"/>
                            <a:gd name="connsiteX13" fmla="*/ 4507 w 7836"/>
                            <a:gd name="connsiteY13" fmla="*/ 1473 h 3068"/>
                            <a:gd name="connsiteX14" fmla="*/ 4261 w 7836"/>
                            <a:gd name="connsiteY14" fmla="*/ 1514 h 3068"/>
                            <a:gd name="connsiteX15" fmla="*/ 4028 w 7836"/>
                            <a:gd name="connsiteY15" fmla="*/ 1241 h 3068"/>
                            <a:gd name="connsiteX16" fmla="*/ 3767 w 7836"/>
                            <a:gd name="connsiteY16" fmla="*/ 1446 h 3068"/>
                            <a:gd name="connsiteX17" fmla="*/ 3479 w 7836"/>
                            <a:gd name="connsiteY17" fmla="*/ 1268 h 3068"/>
                            <a:gd name="connsiteX18" fmla="*/ 3233 w 7836"/>
                            <a:gd name="connsiteY18" fmla="*/ 1446 h 3068"/>
                            <a:gd name="connsiteX19" fmla="*/ 3068 w 7836"/>
                            <a:gd name="connsiteY19" fmla="*/ 1868 h 3068"/>
                            <a:gd name="connsiteX20" fmla="*/ 2863 w 7836"/>
                            <a:gd name="connsiteY20" fmla="*/ 1964 h 3068"/>
                            <a:gd name="connsiteX21" fmla="*/ 2465 w 7836"/>
                            <a:gd name="connsiteY21" fmla="*/ 1500 h 3068"/>
                            <a:gd name="connsiteX22" fmla="*/ 1480 w 7836"/>
                            <a:gd name="connsiteY22" fmla="*/ 2032 h 3068"/>
                            <a:gd name="connsiteX23" fmla="*/ 1123 w 7836"/>
                            <a:gd name="connsiteY23" fmla="*/ 1691 h 3068"/>
                            <a:gd name="connsiteX24" fmla="*/ 822 w 7836"/>
                            <a:gd name="connsiteY24" fmla="*/ 1868 h 3068"/>
                            <a:gd name="connsiteX25" fmla="*/ 1068 w 7836"/>
                            <a:gd name="connsiteY25" fmla="*/ 2196 h 3068"/>
                            <a:gd name="connsiteX26" fmla="*/ 877 w 7836"/>
                            <a:gd name="connsiteY26" fmla="*/ 2482 h 3068"/>
                            <a:gd name="connsiteX27" fmla="*/ 452 w 7836"/>
                            <a:gd name="connsiteY27" fmla="*/ 2196 h 3068"/>
                            <a:gd name="connsiteX28" fmla="*/ 0 w 7836"/>
                            <a:gd name="connsiteY28" fmla="*/ 3068 h 3068"/>
                            <a:gd name="connsiteX29" fmla="*/ 7803 w 7836"/>
                            <a:gd name="connsiteY29" fmla="*/ 3063 h 3068"/>
                            <a:gd name="connsiteX30" fmla="*/ 7836 w 7836"/>
                            <a:gd name="connsiteY30" fmla="*/ 1637 h 3068"/>
                            <a:gd name="connsiteX31" fmla="*/ 7576 w 7836"/>
                            <a:gd name="connsiteY31" fmla="*/ 1337 h 30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7836" h="3068">
                              <a:moveTo>
                                <a:pt x="7576" y="1337"/>
                              </a:moveTo>
                              <a:lnTo>
                                <a:pt x="7083" y="464"/>
                              </a:lnTo>
                              <a:lnTo>
                                <a:pt x="6658" y="0"/>
                              </a:lnTo>
                              <a:lnTo>
                                <a:pt x="6110" y="314"/>
                              </a:lnTo>
                              <a:lnTo>
                                <a:pt x="6397" y="968"/>
                              </a:lnTo>
                              <a:lnTo>
                                <a:pt x="5987" y="1105"/>
                              </a:lnTo>
                              <a:lnTo>
                                <a:pt x="5863" y="1173"/>
                              </a:lnTo>
                              <a:lnTo>
                                <a:pt x="6001" y="1337"/>
                              </a:lnTo>
                              <a:lnTo>
                                <a:pt x="5617" y="1732"/>
                              </a:lnTo>
                              <a:lnTo>
                                <a:pt x="5219" y="1432"/>
                              </a:lnTo>
                              <a:lnTo>
                                <a:pt x="5027" y="1568"/>
                              </a:lnTo>
                              <a:lnTo>
                                <a:pt x="4918" y="1691"/>
                              </a:lnTo>
                              <a:lnTo>
                                <a:pt x="4713" y="1691"/>
                              </a:lnTo>
                              <a:lnTo>
                                <a:pt x="4507" y="1473"/>
                              </a:lnTo>
                              <a:lnTo>
                                <a:pt x="4261" y="1514"/>
                              </a:lnTo>
                              <a:lnTo>
                                <a:pt x="4028" y="1241"/>
                              </a:lnTo>
                              <a:lnTo>
                                <a:pt x="3767" y="1446"/>
                              </a:lnTo>
                              <a:lnTo>
                                <a:pt x="3479" y="1268"/>
                              </a:lnTo>
                              <a:lnTo>
                                <a:pt x="3233" y="1446"/>
                              </a:lnTo>
                              <a:lnTo>
                                <a:pt x="3068" y="1868"/>
                              </a:lnTo>
                              <a:lnTo>
                                <a:pt x="2863" y="1964"/>
                              </a:lnTo>
                              <a:lnTo>
                                <a:pt x="2465" y="1500"/>
                              </a:lnTo>
                              <a:lnTo>
                                <a:pt x="1480" y="2032"/>
                              </a:lnTo>
                              <a:lnTo>
                                <a:pt x="1123" y="1691"/>
                              </a:lnTo>
                              <a:lnTo>
                                <a:pt x="822" y="1868"/>
                              </a:lnTo>
                              <a:lnTo>
                                <a:pt x="1068" y="2196"/>
                              </a:lnTo>
                              <a:lnTo>
                                <a:pt x="877" y="2482"/>
                              </a:lnTo>
                              <a:lnTo>
                                <a:pt x="452" y="2196"/>
                              </a:lnTo>
                              <a:lnTo>
                                <a:pt x="0" y="3068"/>
                              </a:lnTo>
                              <a:lnTo>
                                <a:pt x="7803" y="3063"/>
                              </a:lnTo>
                              <a:lnTo>
                                <a:pt x="7836" y="1637"/>
                              </a:lnTo>
                              <a:lnTo>
                                <a:pt x="7576" y="1337"/>
                              </a:lnTo>
                              <a:close/>
                            </a:path>
                          </a:pathLst>
                        </a:custGeom>
                        <a:solidFill>
                          <a:schemeClr val="bg1">
                            <a:lumMod val="75000"/>
                            <a:alpha val="30000"/>
                          </a:schemeClr>
                        </a:solidFill>
                        <a:ln w="12700" cap="flat" cmpd="sng" algn="ctr">
                          <a:solidFill>
                            <a:srgbClr val="FFFF00"/>
                          </a:solidFill>
                          <a:prstDash val="solid"/>
                          <a:miter lim="800000"/>
                        </a:ln>
                        <a:effectLst/>
                      </wps:spPr>
                      <wps:bodyPr/>
                    </wps:wsp>
                  </a:graphicData>
                </a:graphic>
              </wp:anchor>
            </w:drawing>
          </mc:Choice>
          <mc:Fallback>
            <w:pict>
              <v:shape id="_x0000_s1026" o:spid="_x0000_s1026" o:spt="100" style="position:absolute;left:0pt;margin-left:-172.95pt;margin-top:378.2pt;height:153.4pt;width:391.8pt;mso-position-horizontal-relative:char;mso-position-vertical-relative:line;z-index:251675648;mso-width-relative:page;mso-height-relative:page;" fillcolor="#BFBFBF [2412]" filled="t" stroked="t" coordsize="7836,3068" o:gfxdata="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" path="m7576,1337l7083,464,6658,0,6110,314,6397,968,5987,1105,5863,1173,6001,1337,5617,1732,5219,1432,5027,1568,4918,1691,4713,1691,4507,1473,4261,1514,4028,1241,3767,1446,3479,1268,3233,1446,3068,1868,2863,1964,2465,1500,1480,2032,1123,1691,822,1868,1068,2196,877,2482,452,2196,0,3068,7803,3063,7836,1637,7576,1337xe">
                <v:path o:connectlocs="4810760,848995;4497705,294640;4227830,0;3879850,199390;4062095,614680;3801745,701675;3723005,744855;3810635,848995;3566795,1099820;3314065,909320;3192145,995680;3122930,1073785;2992755,1073785;2861945,935355;2705735,961390;2557780,788035;2392045,918210;2209165,805180;2052955,918210;1948180,1186180;1818005,1247140;1565275,952500;939800,1290320;713105,1073785;521970,1186180;678180,1394460;556895,1576070;287020,1394460;0,1948180;4954905,1945005;4975860,1039495;4810760,848995" o:connectangles="0,0,0,0,0,0,0,0,0,0,0,0,0,0,0,0,0,0,0,0,0,0,0,0,0,0,0,0,0,0,0,0"/>
                <v:fill on="t" opacity="19660f" focussize="0,0"/>
                <v:stroke weight="1pt" color="#FFFF00" miterlimit="8" joinstyle="miter"/>
                <v:imagedata o:title=""/>
                <o:lock v:ext="edit" aspectratio="f"/>
              </v:shape>
            </w:pict>
          </mc:Fallback>
        </mc:AlternateContent>
      </w:r>
      <w:r>
        <w:rPr>
          <w:color w:val="auto"/>
        </w:rPr>
        <mc:AlternateContent>
          <mc:Choice Requires="wps">
            <w:drawing>
              <wp:anchor distT="0" distB="0" distL="114300" distR="114300" simplePos="0" relativeHeight="251678720" behindDoc="0" locked="0" layoutInCell="1" allowOverlap="1">
                <wp:simplePos x="0" y="0"/>
                <wp:positionH relativeFrom="character">
                  <wp:posOffset>-103505</wp:posOffset>
                </wp:positionH>
                <wp:positionV relativeFrom="line">
                  <wp:posOffset>6177915</wp:posOffset>
                </wp:positionV>
                <wp:extent cx="840105" cy="335915"/>
                <wp:effectExtent l="0" t="0" r="0" b="0"/>
                <wp:wrapNone/>
                <wp:docPr id="26" name="文本框 26"/>
                <wp:cNvGraphicFramePr/>
                <a:graphic xmlns:a="http://schemas.openxmlformats.org/drawingml/2006/main">
                  <a:graphicData uri="http://schemas.microsoft.com/office/word/2010/wordprocessingShape">
                    <wps:wsp>
                      <wps:cNvSpPr txBox="1"/>
                      <wps:spPr>
                        <a:xfrm>
                          <a:off x="3144520" y="4426585"/>
                          <a:ext cx="840105" cy="335915"/>
                        </a:xfrm>
                        <a:prstGeom prst="rect">
                          <a:avLst/>
                        </a:prstGeom>
                        <a:noFill/>
                        <a:ln w="6350">
                          <a:noFill/>
                        </a:ln>
                        <a:effectLst/>
                      </wps:spPr>
                      <wps:txbx>
                        <w:txbxContent>
                          <w:p w14:paraId="77F85509">
                            <w:pPr>
                              <w:rPr>
                                <w:b/>
                                <w:bCs/>
                              </w:rPr>
                            </w:pPr>
                            <w:r>
                              <w:rPr>
                                <w:rFonts w:hint="eastAsia"/>
                                <w:b/>
                                <w:bCs/>
                              </w:rPr>
                              <w:t>西亨社区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5pt;margin-top:486.45pt;height:26.45pt;width:66.15pt;mso-position-horizontal-relative:char;mso-position-vertical-relative:line;z-index:251678720;mso-width-relative:page;mso-height-relative:page;" filled="f" stroked="f" coordsize="21600,21600" o:gfxdata="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7JTcjdAAAADAEA&#10;AA8AAAAAAAAAAQAgAAAAIgAAAGRycy9kb3ducmV2LnhtbFBLAQIUABQAAAAIAIdO4kCyC9+hTgIA&#10;AIEEAAAOAAAAAAAAAAEAIAAAACwBAABkcnMvZTJvRG9jLnhtbFBLBQYAAAAABgAGAFkBAADsBQAA&#10;AAA=&#10;">
                <v:fill on="f" focussize="0,0"/>
                <v:stroke on="f" weight="0.5pt"/>
                <v:imagedata o:title=""/>
                <o:lock v:ext="edit" aspectratio="f"/>
                <v:textbox>
                  <w:txbxContent>
                    <w:p w14:paraId="77F85509">
                      <w:pPr>
                        <w:rPr>
                          <w:b/>
                          <w:bCs/>
                        </w:rPr>
                      </w:pPr>
                      <w:r>
                        <w:rPr>
                          <w:rFonts w:hint="eastAsia"/>
                          <w:b/>
                          <w:bCs/>
                        </w:rPr>
                        <w:t>西亨社区</w:t>
                      </w:r>
                    </w:p>
                  </w:txbxContent>
                </v:textbox>
              </v:shap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haracter">
                  <wp:posOffset>355600</wp:posOffset>
                </wp:positionH>
                <wp:positionV relativeFrom="line">
                  <wp:posOffset>4545965</wp:posOffset>
                </wp:positionV>
                <wp:extent cx="1106805" cy="250190"/>
                <wp:effectExtent l="83820" t="274955" r="9525" b="8255"/>
                <wp:wrapNone/>
                <wp:docPr id="34" name="矩形标注 34"/>
                <wp:cNvGraphicFramePr/>
                <a:graphic xmlns:a="http://schemas.openxmlformats.org/drawingml/2006/main">
                  <a:graphicData uri="http://schemas.microsoft.com/office/word/2010/wordprocessingShape">
                    <wps:wsp>
                      <wps:cNvSpPr/>
                      <wps:spPr>
                        <a:xfrm>
                          <a:off x="4295140" y="2056765"/>
                          <a:ext cx="1106805" cy="250190"/>
                        </a:xfrm>
                        <a:prstGeom prst="wedgeRectCallout">
                          <a:avLst>
                            <a:gd name="adj1" fmla="val -54991"/>
                            <a:gd name="adj2" fmla="val -151522"/>
                          </a:avLst>
                        </a:prstGeom>
                        <a:solidFill>
                          <a:schemeClr val="bg1"/>
                        </a:solidFill>
                        <a:ln w="12700" cap="flat" cmpd="sng" algn="ctr">
                          <a:solidFill>
                            <a:srgbClr val="000000"/>
                          </a:solidFill>
                          <a:prstDash val="solid"/>
                          <a:miter lim="800000"/>
                        </a:ln>
                        <a:effectLst/>
                      </wps:spPr>
                      <wps:txbx>
                        <w:txbxContent>
                          <w:p w14:paraId="6ACDCC02">
                            <w:pPr>
                              <w:jc w:val="center"/>
                              <w:rPr>
                                <w:b/>
                                <w:bCs/>
                                <w:color w:val="auto"/>
                              </w:rPr>
                            </w:pPr>
                            <w:r>
                              <w:rPr>
                                <w:rFonts w:hint="eastAsia"/>
                                <w:b/>
                                <w:bCs/>
                                <w:color w:val="auto"/>
                              </w:rPr>
                              <w:t>项目</w:t>
                            </w:r>
                            <w:r>
                              <w:rPr>
                                <w:b/>
                                <w:bCs/>
                                <w:color w:val="auto"/>
                              </w:rPr>
                              <w:t>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pt;margin-top:357.95pt;height:19.7pt;width:87.15pt;mso-position-horizontal-relative:char;mso-position-vertical-relative:line;z-index:251684864;v-text-anchor:middle;mso-width-relative:page;mso-height-relative:page;" fillcolor="#FFFFFF [3212]" filled="t" stroked="t" coordsize="21600,21600" o:gfxdata="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CnTeHM1gAAAAoBAAAPAAAAAAAA&#10;AAEAIAAAACIAAABkcnMvZG93bnJldi54bWxQSwECFAAUAAAACACHTuJAY8NcAr8CAACBBQAADgAA&#10;AAAAAAABACAAAAAlAQAAZHJzL2Uyb0RvYy54bWxQSwUGAAAAAAYABgBZAQAAVgYAAAAA&#10;" adj="-1078,-21929">
                <v:fill on="t" focussize="0,0"/>
                <v:stroke weight="1pt" color="#000000" miterlimit="8" joinstyle="miter"/>
                <v:imagedata o:title=""/>
                <o:lock v:ext="edit" aspectratio="f"/>
                <v:textbox>
                  <w:txbxContent>
                    <w:p w14:paraId="6ACDCC02">
                      <w:pPr>
                        <w:jc w:val="center"/>
                        <w:rPr>
                          <w:b/>
                          <w:bCs/>
                          <w:color w:val="auto"/>
                        </w:rPr>
                      </w:pPr>
                      <w:r>
                        <w:rPr>
                          <w:rFonts w:hint="eastAsia"/>
                          <w:b/>
                          <w:bCs/>
                          <w:color w:val="auto"/>
                        </w:rPr>
                        <w:t>项目</w:t>
                      </w:r>
                      <w:r>
                        <w:rPr>
                          <w:b/>
                          <w:bCs/>
                          <w:color w:val="auto"/>
                        </w:rPr>
                        <w:t>所在地</w:t>
                      </w:r>
                    </w:p>
                  </w:txbxContent>
                </v:textbox>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haracter">
                  <wp:posOffset>-1667510</wp:posOffset>
                </wp:positionH>
                <wp:positionV relativeFrom="line">
                  <wp:posOffset>3707765</wp:posOffset>
                </wp:positionV>
                <wp:extent cx="1125220" cy="502285"/>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125220" cy="502285"/>
                        </a:xfrm>
                        <a:prstGeom prst="rect">
                          <a:avLst/>
                        </a:prstGeom>
                        <a:noFill/>
                        <a:ln w="6350">
                          <a:noFill/>
                        </a:ln>
                        <a:effectLst/>
                      </wps:spPr>
                      <wps:txbx>
                        <w:txbxContent>
                          <w:p w14:paraId="60C727E4">
                            <w:pPr>
                              <w:jc w:val="center"/>
                              <w:rPr>
                                <w:b/>
                                <w:bCs/>
                              </w:rPr>
                            </w:pPr>
                            <w:r>
                              <w:rPr>
                                <w:rFonts w:hint="eastAsia"/>
                                <w:b/>
                                <w:bCs/>
                              </w:rPr>
                              <w:t>中山市</w:t>
                            </w:r>
                            <w:r>
                              <w:rPr>
                                <w:rFonts w:hint="eastAsia"/>
                                <w:b/>
                                <w:bCs/>
                                <w:lang w:val="en-US" w:eastAsia="zh-CN"/>
                              </w:rPr>
                              <w:t>优耐特包装</w:t>
                            </w:r>
                            <w:r>
                              <w:rPr>
                                <w:rFonts w:hint="eastAsia"/>
                                <w:b/>
                                <w:bCs/>
                              </w:rPr>
                              <w:t>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3pt;margin-top:291.95pt;height:39.55pt;width:88.6pt;mso-position-horizontal-relative:char;mso-position-vertical-relative:line;z-index:251680768;mso-width-relative:page;mso-height-relative:page;" filled="f" stroked="f" coordsize="21600,21600" o:gfxdata="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m+P27dAAAADAEAAA8AAAAAAAAAAQAgAAAA&#10;IgAAAGRycy9kb3ducmV2LnhtbFBLAQIUABQAAAAIAIdO4kBTIizWPwIAAHYEAAAOAAAAAAAAAAEA&#10;IAAAACwBAABkcnMvZTJvRG9jLnhtbFBLBQYAAAAABgAGAFkBAADdBQAAAAA=&#10;">
                <v:fill on="f" focussize="0,0"/>
                <v:stroke on="f" weight="0.5pt"/>
                <v:imagedata o:title=""/>
                <o:lock v:ext="edit" aspectratio="f"/>
                <v:textbox>
                  <w:txbxContent>
                    <w:p w14:paraId="60C727E4">
                      <w:pPr>
                        <w:jc w:val="center"/>
                        <w:rPr>
                          <w:b/>
                          <w:bCs/>
                        </w:rPr>
                      </w:pPr>
                      <w:r>
                        <w:rPr>
                          <w:rFonts w:hint="eastAsia"/>
                          <w:b/>
                          <w:bCs/>
                        </w:rPr>
                        <w:t>中山市</w:t>
                      </w:r>
                      <w:r>
                        <w:rPr>
                          <w:rFonts w:hint="eastAsia"/>
                          <w:b/>
                          <w:bCs/>
                          <w:lang w:val="en-US" w:eastAsia="zh-CN"/>
                        </w:rPr>
                        <w:t>优耐特包装</w:t>
                      </w:r>
                      <w:r>
                        <w:rPr>
                          <w:rFonts w:hint="eastAsia"/>
                          <w:b/>
                          <w:bCs/>
                        </w:rPr>
                        <w:t>有限公司</w:t>
                      </w:r>
                    </w:p>
                  </w:txbxContent>
                </v:textbox>
              </v:shape>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haracter">
                  <wp:posOffset>1445895</wp:posOffset>
                </wp:positionH>
                <wp:positionV relativeFrom="line">
                  <wp:posOffset>2209165</wp:posOffset>
                </wp:positionV>
                <wp:extent cx="1179830" cy="50228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179830" cy="502285"/>
                        </a:xfrm>
                        <a:prstGeom prst="rect">
                          <a:avLst/>
                        </a:prstGeom>
                        <a:noFill/>
                        <a:ln w="6350">
                          <a:noFill/>
                        </a:ln>
                        <a:effectLst/>
                      </wps:spPr>
                      <wps:txbx>
                        <w:txbxContent>
                          <w:p w14:paraId="28E9B914">
                            <w:pPr>
                              <w:jc w:val="center"/>
                              <w:rPr>
                                <w:rFonts w:hint="default" w:eastAsia="宋体"/>
                                <w:b/>
                                <w:bCs/>
                                <w:lang w:val="en-US" w:eastAsia="zh-CN"/>
                              </w:rPr>
                            </w:pPr>
                            <w:r>
                              <w:rPr>
                                <w:rFonts w:hint="eastAsia"/>
                                <w:b/>
                                <w:bCs/>
                              </w:rPr>
                              <w:t>中山市</w:t>
                            </w:r>
                            <w:r>
                              <w:rPr>
                                <w:rFonts w:hint="eastAsia"/>
                                <w:b/>
                                <w:bCs/>
                                <w:lang w:val="en-US" w:eastAsia="zh-CN"/>
                              </w:rPr>
                              <w:t>南朗镇泓力包装材料厂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3.85pt;margin-top:173.95pt;height:39.55pt;width:92.9pt;mso-position-horizontal-relative:char;mso-position-vertical-relative:line;z-index:251681792;mso-width-relative:page;mso-height-relative:page;" filled="f" stroked="f" coordsize="21600,21600" o:gfxdata="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s6kC90AAAALAQAADwAAAAAAAAAB&#10;ACAAAAAiAAAAZHJzL2Rvd25yZXYueG1sUEsBAhQAFAAAAAgAh07iQDfrGY1EAgAAdgQAAA4AAAAA&#10;AAAAAQAgAAAALAEAAGRycy9lMm9Eb2MueG1sUEsFBgAAAAAGAAYAWQEAAOIFAAAAAA==&#10;">
                <v:fill on="f" focussize="0,0"/>
                <v:stroke on="f" weight="0.5pt"/>
                <v:imagedata o:title=""/>
                <o:lock v:ext="edit" aspectratio="f"/>
                <v:textbox>
                  <w:txbxContent>
                    <w:p w14:paraId="28E9B914">
                      <w:pPr>
                        <w:jc w:val="center"/>
                        <w:rPr>
                          <w:rFonts w:hint="default" w:eastAsia="宋体"/>
                          <w:b/>
                          <w:bCs/>
                          <w:lang w:val="en-US" w:eastAsia="zh-CN"/>
                        </w:rPr>
                      </w:pPr>
                      <w:r>
                        <w:rPr>
                          <w:rFonts w:hint="eastAsia"/>
                          <w:b/>
                          <w:bCs/>
                        </w:rPr>
                        <w:t>中山市</w:t>
                      </w:r>
                      <w:r>
                        <w:rPr>
                          <w:rFonts w:hint="eastAsia"/>
                          <w:b/>
                          <w:bCs/>
                          <w:lang w:val="en-US" w:eastAsia="zh-CN"/>
                        </w:rPr>
                        <w:t>南朗镇泓力包装材料厂</w:t>
                      </w:r>
                    </w:p>
                  </w:txbxContent>
                </v:textbox>
              </v:shape>
            </w:pict>
          </mc:Fallback>
        </mc:AlternateContent>
      </w:r>
      <w:r>
        <w:rPr>
          <w:color w:val="auto"/>
        </w:rPr>
        <mc:AlternateContent>
          <mc:Choice Requires="wps">
            <w:drawing>
              <wp:anchor distT="0" distB="0" distL="114300" distR="114300" simplePos="0" relativeHeight="251679744" behindDoc="0" locked="0" layoutInCell="1" allowOverlap="1">
                <wp:simplePos x="0" y="0"/>
                <wp:positionH relativeFrom="character">
                  <wp:posOffset>-2232025</wp:posOffset>
                </wp:positionH>
                <wp:positionV relativeFrom="line">
                  <wp:posOffset>2761615</wp:posOffset>
                </wp:positionV>
                <wp:extent cx="1291590" cy="351155"/>
                <wp:effectExtent l="0" t="0" r="0" b="0"/>
                <wp:wrapNone/>
                <wp:docPr id="47" name="文本框 47"/>
                <wp:cNvGraphicFramePr/>
                <a:graphic xmlns:a="http://schemas.openxmlformats.org/drawingml/2006/main">
                  <a:graphicData uri="http://schemas.microsoft.com/office/word/2010/wordprocessingShape">
                    <wps:wsp>
                      <wps:cNvSpPr txBox="1"/>
                      <wps:spPr>
                        <a:xfrm>
                          <a:off x="1426845" y="1261745"/>
                          <a:ext cx="1291590" cy="351155"/>
                        </a:xfrm>
                        <a:prstGeom prst="rect">
                          <a:avLst/>
                        </a:prstGeom>
                        <a:noFill/>
                        <a:ln w="6350">
                          <a:noFill/>
                        </a:ln>
                        <a:effectLst/>
                      </wps:spPr>
                      <wps:txbx>
                        <w:txbxContent>
                          <w:p w14:paraId="48CB23D1">
                            <w:pPr>
                              <w:rPr>
                                <w:b/>
                                <w:bCs/>
                              </w:rPr>
                            </w:pPr>
                            <w:r>
                              <w:rPr>
                                <w:rFonts w:hint="eastAsia"/>
                                <w:b/>
                                <w:bCs/>
                                <w:lang w:val="en-US" w:eastAsia="zh-CN"/>
                              </w:rPr>
                              <w:t>顺永气体</w:t>
                            </w:r>
                            <w:r>
                              <w:rPr>
                                <w:rFonts w:hint="eastAsia"/>
                                <w:b/>
                                <w:bCs/>
                              </w:rPr>
                              <w:t>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75pt;margin-top:217.45pt;height:27.65pt;width:101.7pt;mso-position-horizontal-relative:char;mso-position-vertical-relative:line;z-index:251679744;mso-width-relative:page;mso-height-relative:page;" filled="f" stroked="f" coordsize="21600,21600" o:gfxdata="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gVOfDeAAAADQEA&#10;AA8AAAAAAAAAAQAgAAAAIgAAAGRycy9kb3ducmV2LnhtbFBLAQIUABQAAAAIAIdO4kB2XkF4TQIA&#10;AIIEAAAOAAAAAAAAAAEAIAAAAC0BAABkcnMvZTJvRG9jLnhtbFBLBQYAAAAABgAGAFkBAADsBQAA&#10;AAA=&#10;">
                <v:fill on="f" focussize="0,0"/>
                <v:stroke on="f" weight="0.5pt"/>
                <v:imagedata o:title=""/>
                <o:lock v:ext="edit" aspectratio="f"/>
                <v:textbox>
                  <w:txbxContent>
                    <w:p w14:paraId="48CB23D1">
                      <w:pPr>
                        <w:rPr>
                          <w:b/>
                          <w:bCs/>
                        </w:rPr>
                      </w:pPr>
                      <w:r>
                        <w:rPr>
                          <w:rFonts w:hint="eastAsia"/>
                          <w:b/>
                          <w:bCs/>
                          <w:lang w:val="en-US" w:eastAsia="zh-CN"/>
                        </w:rPr>
                        <w:t>顺永气体</w:t>
                      </w:r>
                      <w:r>
                        <w:rPr>
                          <w:rFonts w:hint="eastAsia"/>
                          <w:b/>
                          <w:bCs/>
                        </w:rPr>
                        <w:t>有限公司</w:t>
                      </w:r>
                    </w:p>
                  </w:txbxContent>
                </v:textbox>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haracter">
                  <wp:posOffset>518795</wp:posOffset>
                </wp:positionH>
                <wp:positionV relativeFrom="line">
                  <wp:posOffset>3282315</wp:posOffset>
                </wp:positionV>
                <wp:extent cx="1179830" cy="26416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179830" cy="264160"/>
                        </a:xfrm>
                        <a:prstGeom prst="rect">
                          <a:avLst/>
                        </a:prstGeom>
                        <a:noFill/>
                        <a:ln w="6350">
                          <a:noFill/>
                        </a:ln>
                        <a:effectLst/>
                      </wps:spPr>
                      <wps:txbx>
                        <w:txbxContent>
                          <w:p w14:paraId="335C70D7">
                            <w:pPr>
                              <w:jc w:val="center"/>
                              <w:rPr>
                                <w:rFonts w:hint="default" w:eastAsia="宋体"/>
                                <w:b/>
                                <w:bCs/>
                                <w:lang w:val="en-US" w:eastAsia="zh-CN"/>
                              </w:rPr>
                            </w:pPr>
                            <w:r>
                              <w:rPr>
                                <w:rFonts w:hint="eastAsia"/>
                                <w:b/>
                                <w:bCs/>
                                <w:lang w:val="en-US" w:eastAsia="zh-CN"/>
                              </w:rPr>
                              <w:t>空置厂房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85pt;margin-top:258.45pt;height:20.8pt;width:92.9pt;mso-position-horizontal-relative:char;mso-position-vertical-relative:line;z-index:251682816;mso-width-relative:page;mso-height-relative:page;" filled="f" stroked="f" coordsize="21600,21600" o:gfxdata="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7IMmhNsAAAAKAQAADwAAAAAAAAABACAA&#10;AAAiAAAAZHJzL2Rvd25yZXYueG1sUEsBAhQAFAAAAAgAh07iQEOMaidDAgAAdgQAAA4AAAAAAAAA&#10;AQAgAAAAKgEAAGRycy9lMm9Eb2MueG1sUEsFBgAAAAAGAAYAWQEAAN8FAAAAAA==&#10;">
                <v:fill on="f" focussize="0,0"/>
                <v:stroke on="f" weight="0.5pt"/>
                <v:imagedata o:title=""/>
                <o:lock v:ext="edit" aspectratio="f"/>
                <v:textbox>
                  <w:txbxContent>
                    <w:p w14:paraId="335C70D7">
                      <w:pPr>
                        <w:jc w:val="center"/>
                        <w:rPr>
                          <w:rFonts w:hint="default" w:eastAsia="宋体"/>
                          <w:b/>
                          <w:bCs/>
                          <w:lang w:val="en-US" w:eastAsia="zh-CN"/>
                        </w:rPr>
                      </w:pPr>
                      <w:r>
                        <w:rPr>
                          <w:rFonts w:hint="eastAsia"/>
                          <w:b/>
                          <w:bCs/>
                          <w:lang w:val="en-US" w:eastAsia="zh-CN"/>
                        </w:rPr>
                        <w:t>空置厂房</w:t>
                      </w:r>
                    </w:p>
                  </w:txbxContent>
                </v:textbox>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haracter">
                  <wp:posOffset>-74930</wp:posOffset>
                </wp:positionH>
                <wp:positionV relativeFrom="line">
                  <wp:posOffset>3979545</wp:posOffset>
                </wp:positionV>
                <wp:extent cx="578485" cy="584200"/>
                <wp:effectExtent l="16510" t="7620" r="33655" b="17780"/>
                <wp:wrapNone/>
                <wp:docPr id="28" name="任意多边形 28"/>
                <wp:cNvGraphicFramePr/>
                <a:graphic xmlns:a="http://schemas.openxmlformats.org/drawingml/2006/main">
                  <a:graphicData uri="http://schemas.microsoft.com/office/word/2010/wordprocessingShape">
                    <wps:wsp>
                      <wps:cNvSpPr/>
                      <wps:spPr>
                        <a:xfrm>
                          <a:off x="3879850" y="2228850"/>
                          <a:ext cx="577850" cy="584200"/>
                        </a:xfrm>
                        <a:custGeom>
                          <a:avLst/>
                          <a:gdLst>
                            <a:gd name="connisteX0" fmla="*/ 165100 w 577850"/>
                            <a:gd name="connsiteY0" fmla="*/ 0 h 584200"/>
                            <a:gd name="connisteX1" fmla="*/ 577850 w 577850"/>
                            <a:gd name="connsiteY1" fmla="*/ 444500 h 584200"/>
                            <a:gd name="connisteX2" fmla="*/ 393700 w 577850"/>
                            <a:gd name="connsiteY2" fmla="*/ 584200 h 584200"/>
                            <a:gd name="connisteX3" fmla="*/ 0 w 577850"/>
                            <a:gd name="connsiteY3" fmla="*/ 190500 h 584200"/>
                            <a:gd name="connisteX4" fmla="*/ 177800 w 577850"/>
                            <a:gd name="connsiteY4" fmla="*/ 38100 h 584200"/>
                            <a:gd name="connisteX5" fmla="*/ 196850 w 577850"/>
                            <a:gd name="connsiteY5" fmla="*/ 38100 h 584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577850" h="584200">
                              <a:moveTo>
                                <a:pt x="165100" y="0"/>
                              </a:moveTo>
                              <a:lnTo>
                                <a:pt x="577850" y="444500"/>
                              </a:lnTo>
                              <a:lnTo>
                                <a:pt x="393700" y="584200"/>
                              </a:lnTo>
                              <a:lnTo>
                                <a:pt x="0" y="190500"/>
                              </a:lnTo>
                              <a:lnTo>
                                <a:pt x="177800" y="38100"/>
                              </a:lnTo>
                              <a:lnTo>
                                <a:pt x="196850" y="38100"/>
                              </a:lnTo>
                            </a:path>
                          </a:pathLst>
                        </a:custGeom>
                        <a:solidFill>
                          <a:schemeClr val="bg1">
                            <a:lumMod val="85000"/>
                            <a:alpha val="30000"/>
                          </a:schemeClr>
                        </a:solidFill>
                        <a:ln w="22225" cap="flat" cmpd="sng" algn="ctr">
                          <a:solidFill>
                            <a:srgbClr val="FF0000"/>
                          </a:solidFill>
                          <a:prstDash val="solid"/>
                          <a:miter lim="800000"/>
                        </a:ln>
                        <a:effectLst/>
                      </wps:spPr>
                      <wps:bodyPr/>
                    </wps:wsp>
                  </a:graphicData>
                </a:graphic>
              </wp:anchor>
            </w:drawing>
          </mc:Choice>
          <mc:Fallback>
            <w:pict>
              <v:shape id="_x0000_s1026" o:spid="_x0000_s1026" o:spt="100" style="position:absolute;left:0pt;margin-left:-5.9pt;margin-top:313.35pt;height:46pt;width:45.55pt;mso-position-horizontal-relative:char;mso-position-vertical-relative:line;z-index:251675648;mso-width-relative:page;mso-height-relative:page;" fillcolor="#D9D9D9 [2732]" filled="t" stroked="t" coordsize="577850,584200" o:gfxdata="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&#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Pru/EjZAAAACgEAAA8AAAAAAAAAAQAgAAAAIgAAAGRy&#10;cy9kb3ducmV2LnhtbFBLAQIUABQAAAAIAIdO4kC6GyaMWgMAAIoJAAAOAAAAAAAAAAEAIAAAACgB&#10;AABkcnMvZTJvRG9jLnhtbFBLBQYAAAAABgAGAFkBAAD0BgAAAAA=&#10;" path="m165100,0l577850,444500,393700,584200,0,190500,177800,38100,196850,38100e">
                <v:path o:connectlocs="165100,0;577850,444500;393700,584200;0,190500;177800,38100;196850,38100" o:connectangles="0,0,0,0,0,0"/>
                <v:fill on="t" opacity="19660f" focussize="0,0"/>
                <v:stroke weight="1.75pt" color="#FF0000" miterlimit="8" joinstyle="miter"/>
                <v:imagedata o:title=""/>
                <o:lock v:ext="edit" aspectratio="f"/>
              </v:shape>
            </w:pict>
          </mc:Fallback>
        </mc:AlternateContent>
      </w:r>
    </w:p>
    <w:p w14:paraId="3D1617B9">
      <w:pPr>
        <w:rPr>
          <w:color w:val="auto"/>
        </w:rPr>
      </w:pPr>
      <w:r>
        <w:rPr>
          <w:color w:val="auto"/>
          <w:sz w:val="21"/>
        </w:rPr>
        <mc:AlternateContent>
          <mc:Choice Requires="wps">
            <w:drawing>
              <wp:anchor distT="0" distB="0" distL="114300" distR="114300" simplePos="0" relativeHeight="251732992" behindDoc="0" locked="0" layoutInCell="1" allowOverlap="1">
                <wp:simplePos x="0" y="0"/>
                <wp:positionH relativeFrom="column">
                  <wp:posOffset>511810</wp:posOffset>
                </wp:positionH>
                <wp:positionV relativeFrom="paragraph">
                  <wp:posOffset>5652770</wp:posOffset>
                </wp:positionV>
                <wp:extent cx="325755" cy="221615"/>
                <wp:effectExtent l="4445" t="4445" r="12700" b="21590"/>
                <wp:wrapNone/>
                <wp:docPr id="54" name="矩形 54"/>
                <wp:cNvGraphicFramePr/>
                <a:graphic xmlns:a="http://schemas.openxmlformats.org/drawingml/2006/main">
                  <a:graphicData uri="http://schemas.microsoft.com/office/word/2010/wordprocessingShape">
                    <wps:wsp>
                      <wps:cNvSpPr/>
                      <wps:spPr>
                        <a:xfrm>
                          <a:off x="0" y="0"/>
                          <a:ext cx="325755" cy="22161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3pt;margin-top:445.1pt;height:17.45pt;width:25.65pt;z-index:251732992;v-text-anchor:middle;mso-width-relative:page;mso-height-relative:page;" filled="f" stroked="t" coordsize="21600,21600" o:gfxdata="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S9R0p2AAAAAoBAAAPAAAAAAAAAAEAIAAAACIA&#10;AABkcnMvZG93bnJldi54bWxQSwECFAAUAAAACACHTuJAVOVuQEICAAB5BAAADgAAAAAAAAABACAA&#10;AAAnAQAAZHJzL2Uyb0RvYy54bWxQSwUGAAAAAAYABgBZAQAA2wUAAAAA&#10;">
                <v:fill on="f" focussize="0,0"/>
                <v:stroke weight="0.5pt" color="#000000 [3204]" joinstyle="round"/>
                <v:imagedata o:title=""/>
                <o:lock v:ext="edit" aspectratio="f"/>
              </v:rect>
            </w:pict>
          </mc:Fallback>
        </mc:AlternateContent>
      </w:r>
      <w:r>
        <w:rPr>
          <w:color w:val="auto"/>
          <w:sz w:val="21"/>
        </w:rPr>
        <mc:AlternateContent>
          <mc:Choice Requires="wps">
            <w:drawing>
              <wp:anchor distT="0" distB="0" distL="114300" distR="114300" simplePos="0" relativeHeight="251730944" behindDoc="0" locked="0" layoutInCell="1" allowOverlap="1">
                <wp:simplePos x="0" y="0"/>
                <wp:positionH relativeFrom="column">
                  <wp:posOffset>2534920</wp:posOffset>
                </wp:positionH>
                <wp:positionV relativeFrom="paragraph">
                  <wp:posOffset>2397760</wp:posOffset>
                </wp:positionV>
                <wp:extent cx="491490" cy="27178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491490" cy="271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C5BFF5">
                            <w:pPr>
                              <w:jc w:val="center"/>
                              <w:rPr>
                                <w:rFonts w:hint="default" w:eastAsia="宋体"/>
                                <w:b/>
                                <w:bCs/>
                                <w:color w:val="843C0B" w:themeColor="accent2" w:themeShade="80"/>
                                <w:sz w:val="21"/>
                                <w:szCs w:val="24"/>
                                <w:lang w:val="en-US" w:eastAsia="zh-CN"/>
                              </w:rPr>
                            </w:pPr>
                            <w:r>
                              <w:rPr>
                                <w:rFonts w:hint="eastAsia"/>
                                <w:b/>
                                <w:bCs/>
                                <w:color w:val="843C0B" w:themeColor="accent2" w:themeShade="80"/>
                                <w:sz w:val="21"/>
                                <w:szCs w:val="24"/>
                                <w:lang w:val="en-US" w:eastAsia="zh-CN"/>
                              </w:rPr>
                              <w:t>G1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199.6pt;margin-top:188.8pt;height:21.4pt;width:38.7pt;z-index:251730944;v-text-anchor:middle;mso-width-relative:page;mso-height-relative:page;" filled="f" stroked="f" coordsize="21600,21600" o:gfxdata="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4kbNL2gAAAAsBAAAPAAAAAAAAAAEAIAAAACIAAABk&#10;cnMvZG93bnJldi54bWxQSwECFAAUAAAACACHTuJAtn6W2D0CAABpBAAADgAAAAAAAAABACAAAAAp&#10;AQAAZHJzL2Uyb0RvYy54bWxQSwUGAAAAAAYABgBZAQAA2AUAAAAA&#10;">
                <v:fill on="f" focussize="0,0"/>
                <v:stroke on="f" weight="0.5pt"/>
                <v:imagedata o:title=""/>
                <o:lock v:ext="edit" aspectratio="f"/>
                <v:textbox>
                  <w:txbxContent>
                    <w:p w14:paraId="52C5BFF5">
                      <w:pPr>
                        <w:jc w:val="center"/>
                        <w:rPr>
                          <w:rFonts w:hint="default" w:eastAsia="宋体"/>
                          <w:b/>
                          <w:bCs/>
                          <w:color w:val="843C0B" w:themeColor="accent2" w:themeShade="80"/>
                          <w:sz w:val="21"/>
                          <w:szCs w:val="24"/>
                          <w:lang w:val="en-US" w:eastAsia="zh-CN"/>
                        </w:rPr>
                      </w:pPr>
                      <w:r>
                        <w:rPr>
                          <w:rFonts w:hint="eastAsia"/>
                          <w:b/>
                          <w:bCs/>
                          <w:color w:val="843C0B" w:themeColor="accent2" w:themeShade="80"/>
                          <w:sz w:val="21"/>
                          <w:szCs w:val="24"/>
                          <w:lang w:val="en-US" w:eastAsia="zh-CN"/>
                        </w:rPr>
                        <w:t>G1</w:t>
                      </w:r>
                    </w:p>
                  </w:txbxContent>
                </v:textbox>
              </v:shape>
            </w:pict>
          </mc:Fallback>
        </mc:AlternateContent>
      </w:r>
      <w:r>
        <w:rPr>
          <w:color w:val="auto"/>
          <w:sz w:val="21"/>
        </w:rPr>
        <mc:AlternateContent>
          <mc:Choice Requires="wps">
            <w:drawing>
              <wp:anchor distT="0" distB="0" distL="114300" distR="114300" simplePos="0" relativeHeight="251738112" behindDoc="0" locked="0" layoutInCell="1" allowOverlap="1">
                <wp:simplePos x="0" y="0"/>
                <wp:positionH relativeFrom="column">
                  <wp:posOffset>2893060</wp:posOffset>
                </wp:positionH>
                <wp:positionV relativeFrom="paragraph">
                  <wp:posOffset>2595880</wp:posOffset>
                </wp:positionV>
                <wp:extent cx="781685" cy="21526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781685" cy="215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EBFA79">
                            <w:pPr>
                              <w:jc w:val="center"/>
                              <w:rPr>
                                <w:rFonts w:hint="default" w:eastAsia="宋体"/>
                                <w:sz w:val="16"/>
                                <w:szCs w:val="20"/>
                                <w:lang w:val="en-US" w:eastAsia="zh-CN"/>
                              </w:rPr>
                            </w:pPr>
                            <w:r>
                              <w:rPr>
                                <w:rFonts w:hint="eastAsia"/>
                                <w:sz w:val="16"/>
                                <w:szCs w:val="20"/>
                                <w:lang w:val="en-US" w:eastAsia="zh-CN"/>
                              </w:rPr>
                              <w:t>滤芯回收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227.8pt;margin-top:204.4pt;height:16.95pt;width:61.55pt;z-index:251738112;v-text-anchor:middle;mso-width-relative:page;mso-height-relative:page;" filled="f" stroked="f" coordsize="21600,21600" o:gfxdata="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XHsmNsAAAALAQAADwAAAAAAAAABACAAAAAiAAAA&#10;ZHJzL2Rvd25yZXYueG1sUEsBAhQAFAAAAAgAh07iQLH6z6o9AgAAaQQAAA4AAAAAAAAAAQAgAAAA&#10;KgEAAGRycy9lMm9Eb2MueG1sUEsFBgAAAAAGAAYAWQEAANkFAAAAAA==&#10;">
                <v:fill on="f" focussize="0,0"/>
                <v:stroke on="f" weight="0.5pt"/>
                <v:imagedata o:title=""/>
                <o:lock v:ext="edit" aspectratio="f"/>
                <v:textbox>
                  <w:txbxContent>
                    <w:p w14:paraId="43EBFA79">
                      <w:pPr>
                        <w:jc w:val="center"/>
                        <w:rPr>
                          <w:rFonts w:hint="default" w:eastAsia="宋体"/>
                          <w:sz w:val="16"/>
                          <w:szCs w:val="20"/>
                          <w:lang w:val="en-US" w:eastAsia="zh-CN"/>
                        </w:rPr>
                      </w:pPr>
                      <w:r>
                        <w:rPr>
                          <w:rFonts w:hint="eastAsia"/>
                          <w:sz w:val="16"/>
                          <w:szCs w:val="20"/>
                          <w:lang w:val="en-US" w:eastAsia="zh-CN"/>
                        </w:rPr>
                        <w:t>滤芯回收</w:t>
                      </w:r>
                    </w:p>
                  </w:txbxContent>
                </v:textbox>
              </v:shape>
            </w:pict>
          </mc:Fallback>
        </mc:AlternateContent>
      </w:r>
      <w:r>
        <w:rPr>
          <w:color w:val="auto"/>
          <w:sz w:val="21"/>
        </w:rPr>
        <mc:AlternateContent>
          <mc:Choice Requires="wps">
            <w:drawing>
              <wp:anchor distT="0" distB="0" distL="114300" distR="114300" simplePos="0" relativeHeight="251736064" behindDoc="0" locked="0" layoutInCell="1" allowOverlap="1">
                <wp:simplePos x="0" y="0"/>
                <wp:positionH relativeFrom="column">
                  <wp:posOffset>2875280</wp:posOffset>
                </wp:positionH>
                <wp:positionV relativeFrom="paragraph">
                  <wp:posOffset>2621915</wp:posOffset>
                </wp:positionV>
                <wp:extent cx="187960" cy="165100"/>
                <wp:effectExtent l="4445" t="4445" r="17145" b="20955"/>
                <wp:wrapNone/>
                <wp:docPr id="67" name="文本框 67"/>
                <wp:cNvGraphicFramePr/>
                <a:graphic xmlns:a="http://schemas.openxmlformats.org/drawingml/2006/main">
                  <a:graphicData uri="http://schemas.microsoft.com/office/word/2010/wordprocessingShape">
                    <wps:wsp>
                      <wps:cNvSpPr txBox="1"/>
                      <wps:spPr>
                        <a:xfrm>
                          <a:off x="0" y="0"/>
                          <a:ext cx="187960" cy="16510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9416B24">
                            <w:pPr>
                              <w:jc w:val="center"/>
                              <w:rPr>
                                <w:rFonts w:hint="default" w:eastAsia="宋体"/>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226.4pt;margin-top:206.45pt;height:13pt;width:14.8pt;z-index:251736064;v-text-anchor:middle;mso-width-relative:page;mso-height-relative:page;" filled="f" stroked="t" coordsize="21600,21600" o:gfxdata="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iXqu9gAAAALAQAA&#10;DwAAAAAAAAABACAAAAAiAAAAZHJzL2Rvd25yZXYueG1sUEsBAhQAFAAAAAgAh07iQLJzWthSAgAA&#10;kQQAAA4AAAAAAAAAAQAgAAAAJwEAAGRycy9lMm9Eb2MueG1sUEsFBgAAAAAGAAYAWQEAAOsFAAAA&#10;AA==&#10;">
                <v:fill on="f" focussize="0,0"/>
                <v:stroke weight="0.5pt" color="#000000 [3204]" joinstyle="round"/>
                <v:imagedata o:title=""/>
                <o:lock v:ext="edit" aspectratio="f"/>
                <v:textbox>
                  <w:txbxContent>
                    <w:p w14:paraId="79416B24">
                      <w:pPr>
                        <w:jc w:val="center"/>
                        <w:rPr>
                          <w:rFonts w:hint="default" w:eastAsia="宋体"/>
                          <w:lang w:val="en-US" w:eastAsia="zh-CN"/>
                        </w:rPr>
                      </w:pPr>
                    </w:p>
                  </w:txbxContent>
                </v:textbox>
              </v:shape>
            </w:pict>
          </mc:Fallback>
        </mc:AlternateContent>
      </w:r>
      <w:r>
        <w:rPr>
          <w:color w:val="auto"/>
          <w:sz w:val="21"/>
        </w:rPr>
        <mc:AlternateContent>
          <mc:Choice Requires="wps">
            <w:drawing>
              <wp:anchor distT="0" distB="0" distL="114300" distR="114300" simplePos="0" relativeHeight="251737088" behindDoc="0" locked="0" layoutInCell="1" allowOverlap="1">
                <wp:simplePos x="0" y="0"/>
                <wp:positionH relativeFrom="column">
                  <wp:posOffset>3612515</wp:posOffset>
                </wp:positionH>
                <wp:positionV relativeFrom="paragraph">
                  <wp:posOffset>2795905</wp:posOffset>
                </wp:positionV>
                <wp:extent cx="187960" cy="165100"/>
                <wp:effectExtent l="4445" t="4445" r="17145" b="20955"/>
                <wp:wrapNone/>
                <wp:docPr id="69" name="文本框 69"/>
                <wp:cNvGraphicFramePr/>
                <a:graphic xmlns:a="http://schemas.openxmlformats.org/drawingml/2006/main">
                  <a:graphicData uri="http://schemas.microsoft.com/office/word/2010/wordprocessingShape">
                    <wps:wsp>
                      <wps:cNvSpPr txBox="1"/>
                      <wps:spPr>
                        <a:xfrm>
                          <a:off x="0" y="0"/>
                          <a:ext cx="187960" cy="16510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7DDC60C">
                            <w:pPr>
                              <w:jc w:val="center"/>
                              <w:rPr>
                                <w:rFonts w:hint="default" w:eastAsia="宋体"/>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284.45pt;margin-top:220.15pt;height:13pt;width:14.8pt;z-index:251737088;v-text-anchor:middle;mso-width-relative:page;mso-height-relative:page;" filled="f" stroked="t" coordsize="21600,21600" o:gfxdata="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7o1fnZAAAACwEA&#10;AA8AAAAAAAAAAQAgAAAAIgAAAGRycy9kb3ducmV2LnhtbFBLAQIUABQAAAAIAIdO4kCl6spFUgIA&#10;AJEEAAAOAAAAAAAAAAEAIAAAACgBAABkcnMvZTJvRG9jLnhtbFBLBQYAAAAABgAGAFkBAADsBQAA&#10;AAA=&#10;">
                <v:fill on="f" focussize="0,0"/>
                <v:stroke weight="0.5pt" color="#000000 [3204]" joinstyle="round"/>
                <v:imagedata o:title=""/>
                <o:lock v:ext="edit" aspectratio="f"/>
                <v:textbox>
                  <w:txbxContent>
                    <w:p w14:paraId="37DDC60C">
                      <w:pPr>
                        <w:jc w:val="center"/>
                        <w:rPr>
                          <w:rFonts w:hint="default" w:eastAsia="宋体"/>
                          <w:lang w:val="en-US" w:eastAsia="zh-CN"/>
                        </w:rPr>
                      </w:pPr>
                    </w:p>
                  </w:txbxContent>
                </v:textbox>
              </v:shape>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3837940</wp:posOffset>
                </wp:positionH>
                <wp:positionV relativeFrom="paragraph">
                  <wp:posOffset>2800350</wp:posOffset>
                </wp:positionV>
                <wp:extent cx="133350" cy="142875"/>
                <wp:effectExtent l="9525" t="9525" r="9525" b="19050"/>
                <wp:wrapNone/>
                <wp:docPr id="191" name="椭圆 191"/>
                <wp:cNvGraphicFramePr/>
                <a:graphic xmlns:a="http://schemas.openxmlformats.org/drawingml/2006/main">
                  <a:graphicData uri="http://schemas.microsoft.com/office/word/2010/wordprocessingShape">
                    <wps:wsp>
                      <wps:cNvSpPr/>
                      <wps:spPr>
                        <a:xfrm>
                          <a:off x="4143375" y="3609340"/>
                          <a:ext cx="133350" cy="142875"/>
                        </a:xfrm>
                        <a:prstGeom prst="ellipse">
                          <a:avLst/>
                        </a:prstGeom>
                        <a:noFill/>
                        <a:ln w="19050">
                          <a:solidFill>
                            <a:schemeClr val="accent2">
                              <a:lumMod val="50000"/>
                            </a:schemeClr>
                          </a:solid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2.2pt;margin-top:220.5pt;height:11.25pt;width:10.5pt;z-index:251694080;v-text-anchor:middle;mso-width-relative:page;mso-height-relative:page;" filled="f" stroked="t" coordsize="21600,21600" o:gfxdata="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15VkQ1wAAAAsBAAAPAAAAAAAAAAEAIAAAACIAAABkcnMvZG93bnJldi54bWxQSwECFAAUAAAA&#10;CACHTuJAiAbNtmECAACuBAAADgAAAAAAAAABACAAAAAmAQAAZHJzL2Uyb0RvYy54bWxQSwUGAAAA&#10;AAYABgBZAQAA+QUAAAAA&#10;">
                <v:fill on="f" focussize="0,0"/>
                <v:stroke weight="1.5pt" color="#843C0B [1605]" joinstyle="round"/>
                <v:imagedata o:title=""/>
                <o:lock v:ext="edit" aspectratio="f"/>
              </v:shape>
            </w:pict>
          </mc:Fallback>
        </mc:AlternateContent>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-45720</wp:posOffset>
                </wp:positionH>
                <wp:positionV relativeFrom="paragraph">
                  <wp:posOffset>5433695</wp:posOffset>
                </wp:positionV>
                <wp:extent cx="518795" cy="228600"/>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518795" cy="228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728D07">
                            <w:pPr>
                              <w:jc w:val="center"/>
                              <w:rPr>
                                <w:rFonts w:hint="default" w:eastAsia="宋体"/>
                                <w:sz w:val="16"/>
                                <w:szCs w:val="20"/>
                                <w:lang w:val="en-US" w:eastAsia="zh-CN"/>
                              </w:rPr>
                            </w:pPr>
                            <w:r>
                              <w:rPr>
                                <w:rFonts w:hint="eastAsia"/>
                                <w:sz w:val="16"/>
                                <w:szCs w:val="20"/>
                                <w:lang w:val="en-US" w:eastAsia="zh-CN"/>
                              </w:rPr>
                              <w:t>危废仓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3.6pt;margin-top:427.85pt;height:18pt;width:40.85pt;z-index:251692032;v-text-anchor:middle;mso-width-relative:page;mso-height-relative:page;" filled="f" stroked="f" coordsize="21600,21600" o:gfxdata="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gcGH7aAAAACQEAAA8AAAAAAAAAAQAgAAAAIgAA&#10;AGRycy9kb3ducmV2LnhtbFBLAQIUABQAAAAIAIdO4kDLiAzTPwIAAGsEAAAOAAAAAAAAAAEAIAAA&#10;ACkBAABkcnMvZTJvRG9jLnhtbFBLBQYAAAAABgAGAFkBAADaBQAAAAA=&#10;">
                <v:fill on="f" focussize="0,0"/>
                <v:stroke on="f" weight="0.5pt"/>
                <v:imagedata o:title=""/>
                <o:lock v:ext="edit" aspectratio="f"/>
                <v:textbox>
                  <w:txbxContent>
                    <w:p w14:paraId="12728D07">
                      <w:pPr>
                        <w:jc w:val="center"/>
                        <w:rPr>
                          <w:rFonts w:hint="default" w:eastAsia="宋体"/>
                          <w:sz w:val="16"/>
                          <w:szCs w:val="20"/>
                          <w:lang w:val="en-US" w:eastAsia="zh-CN"/>
                        </w:rPr>
                      </w:pPr>
                      <w:r>
                        <w:rPr>
                          <w:rFonts w:hint="eastAsia"/>
                          <w:sz w:val="16"/>
                          <w:szCs w:val="20"/>
                          <w:lang w:val="en-US" w:eastAsia="zh-CN"/>
                        </w:rPr>
                        <w:t>危废仓</w:t>
                      </w:r>
                    </w:p>
                  </w:txbxContent>
                </v:textbox>
              </v:shape>
            </w:pict>
          </mc:Fallback>
        </mc:AlternateContent>
      </w:r>
      <w:r>
        <w:rPr>
          <w:color w:val="auto"/>
          <w:sz w:val="21"/>
        </w:rPr>
        <mc:AlternateContent>
          <mc:Choice Requires="wps">
            <w:drawing>
              <wp:anchor distT="0" distB="0" distL="114300" distR="114300" simplePos="0" relativeHeight="251734016" behindDoc="0" locked="0" layoutInCell="1" allowOverlap="1">
                <wp:simplePos x="0" y="0"/>
                <wp:positionH relativeFrom="column">
                  <wp:posOffset>398145</wp:posOffset>
                </wp:positionH>
                <wp:positionV relativeFrom="paragraph">
                  <wp:posOffset>5426710</wp:posOffset>
                </wp:positionV>
                <wp:extent cx="606425" cy="25209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606425" cy="2520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735ACB">
                            <w:pPr>
                              <w:jc w:val="center"/>
                              <w:rPr>
                                <w:rFonts w:hint="default" w:eastAsia="宋体"/>
                                <w:sz w:val="16"/>
                                <w:szCs w:val="20"/>
                                <w:lang w:val="en-US" w:eastAsia="zh-CN"/>
                              </w:rPr>
                            </w:pPr>
                            <w:r>
                              <w:rPr>
                                <w:rFonts w:hint="eastAsia"/>
                                <w:sz w:val="16"/>
                                <w:szCs w:val="20"/>
                                <w:lang w:val="en-US" w:eastAsia="zh-CN"/>
                              </w:rPr>
                              <w:t>化学品仓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31.35pt;margin-top:427.3pt;height:19.85pt;width:47.75pt;z-index:251734016;v-text-anchor:middle;mso-width-relative:page;mso-height-relative:page;" filled="f" stroked="f" coordsize="21600,21600" o:gfxdata="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93Hup2wAAAAoBAAAPAAAAAAAAAAEAIAAAACIAAABk&#10;cnMvZG93bnJldi54bWxQSwECFAAUAAAACACHTuJAH3spYzwCAABpBAAADgAAAAAAAAABACAAAAAq&#10;AQAAZHJzL2Uyb0RvYy54bWxQSwUGAAAAAAYABgBZAQAA2AUAAAAA&#10;">
                <v:fill on="f" focussize="0,0"/>
                <v:stroke on="f" weight="0.5pt"/>
                <v:imagedata o:title=""/>
                <o:lock v:ext="edit" aspectratio="f"/>
                <v:textbox>
                  <w:txbxContent>
                    <w:p w14:paraId="7B735ACB">
                      <w:pPr>
                        <w:jc w:val="center"/>
                        <w:rPr>
                          <w:rFonts w:hint="default" w:eastAsia="宋体"/>
                          <w:sz w:val="16"/>
                          <w:szCs w:val="20"/>
                          <w:lang w:val="en-US" w:eastAsia="zh-CN"/>
                        </w:rPr>
                      </w:pPr>
                      <w:r>
                        <w:rPr>
                          <w:rFonts w:hint="eastAsia"/>
                          <w:sz w:val="16"/>
                          <w:szCs w:val="20"/>
                          <w:lang w:val="en-US" w:eastAsia="zh-CN"/>
                        </w:rPr>
                        <w:t>化学品仓</w:t>
                      </w:r>
                    </w:p>
                  </w:txbxContent>
                </v:textbox>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-36830</wp:posOffset>
                </wp:positionH>
                <wp:positionV relativeFrom="paragraph">
                  <wp:posOffset>5652135</wp:posOffset>
                </wp:positionV>
                <wp:extent cx="545465" cy="220980"/>
                <wp:effectExtent l="5080" t="4445" r="20955" b="22225"/>
                <wp:wrapNone/>
                <wp:docPr id="189" name="矩形 189"/>
                <wp:cNvGraphicFramePr/>
                <a:graphic xmlns:a="http://schemas.openxmlformats.org/drawingml/2006/main">
                  <a:graphicData uri="http://schemas.microsoft.com/office/word/2010/wordprocessingShape">
                    <wps:wsp>
                      <wps:cNvSpPr/>
                      <wps:spPr>
                        <a:xfrm>
                          <a:off x="1177290" y="4739005"/>
                          <a:ext cx="545465" cy="2209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pt;margin-top:445.05pt;height:17.4pt;width:42.95pt;z-index:251693056;v-text-anchor:middle;mso-width-relative:page;mso-height-relative:page;" filled="f" stroked="t" coordsize="21600,21600" o:gfxdata="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FsB7x9cAAAAJAQAADwAA&#10;AAAAAAABACAAAAAiAAAAZHJzL2Rvd25yZXYueG1sUEsBAhQAFAAAAAgAh07iQF3Uls5QAgAAhwQA&#10;AA4AAAAAAAAAAQAgAAAAJgEAAGRycy9lMm9Eb2MueG1sUEsFBgAAAAAGAAYAWQEAAOgFAAAAAA==&#10;">
                <v:fill on="f" focussize="0,0"/>
                <v:stroke weight="0.5pt" color="#000000 [3204]" joinstyle="round"/>
                <v:imagedata o:title=""/>
                <o:lock v:ext="edit" aspectratio="f"/>
              </v:rect>
            </w:pict>
          </mc:Fallback>
        </mc:AlternateContent>
      </w:r>
      <w:r>
        <w:rPr>
          <w:color w:val="auto"/>
          <w:sz w:val="21"/>
        </w:rPr>
        <mc:AlternateContent>
          <mc:Choice Requires="wps">
            <w:drawing>
              <wp:anchor distT="0" distB="0" distL="114300" distR="114300" simplePos="0" relativeHeight="251729920" behindDoc="0" locked="0" layoutInCell="1" allowOverlap="1">
                <wp:simplePos x="0" y="0"/>
                <wp:positionH relativeFrom="column">
                  <wp:posOffset>2723515</wp:posOffset>
                </wp:positionH>
                <wp:positionV relativeFrom="paragraph">
                  <wp:posOffset>2651125</wp:posOffset>
                </wp:positionV>
                <wp:extent cx="133350" cy="142875"/>
                <wp:effectExtent l="9525" t="9525" r="9525" b="19050"/>
                <wp:wrapNone/>
                <wp:docPr id="40" name="椭圆 40"/>
                <wp:cNvGraphicFramePr/>
                <a:graphic xmlns:a="http://schemas.openxmlformats.org/drawingml/2006/main">
                  <a:graphicData uri="http://schemas.microsoft.com/office/word/2010/wordprocessingShape">
                    <wps:wsp>
                      <wps:cNvSpPr/>
                      <wps:spPr>
                        <a:xfrm>
                          <a:off x="0" y="0"/>
                          <a:ext cx="133350" cy="142875"/>
                        </a:xfrm>
                        <a:prstGeom prst="ellipse">
                          <a:avLst/>
                        </a:prstGeom>
                        <a:noFill/>
                        <a:ln w="19050">
                          <a:solidFill>
                            <a:schemeClr val="accent2">
                              <a:lumMod val="50000"/>
                            </a:schemeClr>
                          </a:solid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4.45pt;margin-top:208.75pt;height:11.25pt;width:10.5pt;z-index:251729920;v-text-anchor:middle;mso-width-relative:page;mso-height-relative:page;" filled="f" stroked="t" coordsize="21600,21600" o:gfxdata="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5FzvbYAAAACwEA&#10;AA8AAAAAAAAAAQAgAAAAIgAAAGRycy9kb3ducmV2LnhtbFBLAQIUABQAAAAIAIdO4kDYz1uOUwIA&#10;AKAEAAAOAAAAAAAAAAEAIAAAACcBAABkcnMvZTJvRG9jLnhtbFBLBQYAAAAABgAGAFkBAADsBQAA&#10;AAA=&#10;">
                <v:fill on="f" focussize="0,0"/>
                <v:stroke weight="1.5pt" color="#843C0B [1605]" joinstyle="round"/>
                <v:imagedata o:title=""/>
                <o:lock v:ext="edit" aspectratio="f"/>
              </v:shape>
            </w:pict>
          </mc:Fallback>
        </mc:AlternateContent>
      </w:r>
      <w:r>
        <w:rPr>
          <w:color w:val="auto"/>
          <w:szCs w:val="21"/>
        </w:rPr>
        <mc:AlternateContent>
          <mc:Choice Requires="wps">
            <w:drawing>
              <wp:anchor distT="0" distB="0" distL="114300" distR="114300" simplePos="0" relativeHeight="251696128" behindDoc="0" locked="0" layoutInCell="1" allowOverlap="1">
                <wp:simplePos x="0" y="0"/>
                <wp:positionH relativeFrom="column">
                  <wp:posOffset>1564005</wp:posOffset>
                </wp:positionH>
                <wp:positionV relativeFrom="paragraph">
                  <wp:posOffset>6993255</wp:posOffset>
                </wp:positionV>
                <wp:extent cx="2585720" cy="409575"/>
                <wp:effectExtent l="0" t="0" r="0" b="0"/>
                <wp:wrapNone/>
                <wp:docPr id="195" name="文本框 172"/>
                <wp:cNvGraphicFramePr/>
                <a:graphic xmlns:a="http://schemas.openxmlformats.org/drawingml/2006/main">
                  <a:graphicData uri="http://schemas.microsoft.com/office/word/2010/wordprocessingShape">
                    <wps:wsp>
                      <wps:cNvSpPr txBox="1">
                        <a:spLocks noChangeArrowheads="1"/>
                      </wps:cNvSpPr>
                      <wps:spPr bwMode="auto">
                        <a:xfrm>
                          <a:off x="0" y="0"/>
                          <a:ext cx="2585720" cy="409575"/>
                        </a:xfrm>
                        <a:prstGeom prst="rect">
                          <a:avLst/>
                        </a:prstGeom>
                        <a:noFill/>
                        <a:ln>
                          <a:noFill/>
                        </a:ln>
                        <a:effectLst/>
                      </wps:spPr>
                      <wps:txbx>
                        <w:txbxContent>
                          <w:p w14:paraId="3A524E9D">
                            <w:pPr>
                              <w:rPr>
                                <w:b/>
                                <w:color w:val="auto"/>
                                <w:sz w:val="28"/>
                                <w:szCs w:val="28"/>
                                <w:highlight w:val="none"/>
                              </w:rPr>
                            </w:pPr>
                            <w:r>
                              <w:rPr>
                                <w:rFonts w:hint="eastAsia"/>
                                <w:b/>
                                <w:color w:val="auto"/>
                                <w:sz w:val="28"/>
                                <w:szCs w:val="28"/>
                                <w:highlight w:val="none"/>
                              </w:rPr>
                              <w:t>附图</w:t>
                            </w:r>
                            <w:r>
                              <w:rPr>
                                <w:rFonts w:hint="eastAsia"/>
                                <w:b/>
                                <w:color w:val="auto"/>
                                <w:sz w:val="28"/>
                                <w:szCs w:val="28"/>
                                <w:highlight w:val="none"/>
                                <w:lang w:val="en-US" w:eastAsia="zh-CN"/>
                              </w:rPr>
                              <w:t>3</w:t>
                            </w:r>
                            <w:r>
                              <w:rPr>
                                <w:rFonts w:hint="eastAsia" w:ascii="宋体" w:hAnsi="宋体"/>
                                <w:b/>
                                <w:color w:val="auto"/>
                                <w:sz w:val="28"/>
                                <w:szCs w:val="28"/>
                                <w:highlight w:val="none"/>
                              </w:rPr>
                              <w:t xml:space="preserve">   </w:t>
                            </w:r>
                            <w:r>
                              <w:rPr>
                                <w:rFonts w:hint="eastAsia" w:ascii="宋体" w:hAnsi="宋体"/>
                                <w:b/>
                                <w:color w:val="auto"/>
                                <w:sz w:val="28"/>
                                <w:szCs w:val="28"/>
                                <w:highlight w:val="none"/>
                                <w:lang w:val="en-US" w:eastAsia="zh-CN"/>
                              </w:rPr>
                              <w:t>建设</w:t>
                            </w:r>
                            <w:r>
                              <w:rPr>
                                <w:rFonts w:hint="eastAsia" w:ascii="宋体" w:hAnsi="宋体"/>
                                <w:b/>
                                <w:color w:val="auto"/>
                                <w:sz w:val="28"/>
                                <w:szCs w:val="28"/>
                                <w:highlight w:val="none"/>
                              </w:rPr>
                              <w:t>项目</w:t>
                            </w:r>
                            <w:r>
                              <w:rPr>
                                <w:rFonts w:hint="eastAsia" w:ascii="宋体" w:hAnsi="宋体"/>
                                <w:b/>
                                <w:color w:val="auto"/>
                                <w:sz w:val="28"/>
                                <w:szCs w:val="28"/>
                                <w:highlight w:val="none"/>
                                <w:lang w:val="en-US" w:eastAsia="zh-CN"/>
                              </w:rPr>
                              <w:t>厂区平面</w:t>
                            </w:r>
                            <w:r>
                              <w:rPr>
                                <w:rFonts w:hint="eastAsia" w:ascii="宋体" w:hAnsi="宋体"/>
                                <w:b/>
                                <w:color w:val="auto"/>
                                <w:sz w:val="28"/>
                                <w:szCs w:val="28"/>
                                <w:highlight w:val="none"/>
                              </w:rPr>
                              <w:t>图</w:t>
                            </w:r>
                          </w:p>
                        </w:txbxContent>
                      </wps:txbx>
                      <wps:bodyPr rot="0" vert="horz" wrap="square" lIns="91440" tIns="45720" rIns="91440" bIns="45720" anchor="t" anchorCtr="0" upright="1">
                        <a:noAutofit/>
                      </wps:bodyPr>
                    </wps:wsp>
                  </a:graphicData>
                </a:graphic>
              </wp:anchor>
            </w:drawing>
          </mc:Choice>
          <mc:Fallback>
            <w:pict>
              <v:shape id="文本框 172" o:spid="_x0000_s1026" o:spt="202" type="#_x0000_t202" style="position:absolute;left:0pt;margin-left:123.15pt;margin-top:550.65pt;height:32.25pt;width:203.6pt;z-index:251696128;mso-width-relative:page;mso-height-relative:page;" filled="f" stroked="f" coordsize="21600,21600" o:gfxdata="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Ri0vh2QAA&#10;AA0BAAAPAAAAAAAAAAEAIAAAACIAAABkcnMvZG93bnJldi54bWxQSwECFAAUAAAACACHTuJAiwEN&#10;Bh0CAAAnBAAADgAAAAAAAAABACAAAAAoAQAAZHJzL2Uyb0RvYy54bWxQSwUGAAAAAAYABgBZAQAA&#10;twUAAAAA&#10;">
                <v:fill on="f" focussize="0,0"/>
                <v:stroke on="f"/>
                <v:imagedata o:title=""/>
                <o:lock v:ext="edit" aspectratio="f"/>
                <v:textbox>
                  <w:txbxContent>
                    <w:p w14:paraId="3A524E9D">
                      <w:pPr>
                        <w:rPr>
                          <w:b/>
                          <w:color w:val="auto"/>
                          <w:sz w:val="28"/>
                          <w:szCs w:val="28"/>
                          <w:highlight w:val="none"/>
                        </w:rPr>
                      </w:pPr>
                      <w:r>
                        <w:rPr>
                          <w:rFonts w:hint="eastAsia"/>
                          <w:b/>
                          <w:color w:val="auto"/>
                          <w:sz w:val="28"/>
                          <w:szCs w:val="28"/>
                          <w:highlight w:val="none"/>
                        </w:rPr>
                        <w:t>附图</w:t>
                      </w:r>
                      <w:r>
                        <w:rPr>
                          <w:rFonts w:hint="eastAsia"/>
                          <w:b/>
                          <w:color w:val="auto"/>
                          <w:sz w:val="28"/>
                          <w:szCs w:val="28"/>
                          <w:highlight w:val="none"/>
                          <w:lang w:val="en-US" w:eastAsia="zh-CN"/>
                        </w:rPr>
                        <w:t>3</w:t>
                      </w:r>
                      <w:r>
                        <w:rPr>
                          <w:rFonts w:hint="eastAsia" w:ascii="宋体" w:hAnsi="宋体"/>
                          <w:b/>
                          <w:color w:val="auto"/>
                          <w:sz w:val="28"/>
                          <w:szCs w:val="28"/>
                          <w:highlight w:val="none"/>
                        </w:rPr>
                        <w:t xml:space="preserve">   </w:t>
                      </w:r>
                      <w:r>
                        <w:rPr>
                          <w:rFonts w:hint="eastAsia" w:ascii="宋体" w:hAnsi="宋体"/>
                          <w:b/>
                          <w:color w:val="auto"/>
                          <w:sz w:val="28"/>
                          <w:szCs w:val="28"/>
                          <w:highlight w:val="none"/>
                          <w:lang w:val="en-US" w:eastAsia="zh-CN"/>
                        </w:rPr>
                        <w:t>建设</w:t>
                      </w:r>
                      <w:r>
                        <w:rPr>
                          <w:rFonts w:hint="eastAsia" w:ascii="宋体" w:hAnsi="宋体"/>
                          <w:b/>
                          <w:color w:val="auto"/>
                          <w:sz w:val="28"/>
                          <w:szCs w:val="28"/>
                          <w:highlight w:val="none"/>
                        </w:rPr>
                        <w:t>项目</w:t>
                      </w:r>
                      <w:r>
                        <w:rPr>
                          <w:rFonts w:hint="eastAsia" w:ascii="宋体" w:hAnsi="宋体"/>
                          <w:b/>
                          <w:color w:val="auto"/>
                          <w:sz w:val="28"/>
                          <w:szCs w:val="28"/>
                          <w:highlight w:val="none"/>
                          <w:lang w:val="en-US" w:eastAsia="zh-CN"/>
                        </w:rPr>
                        <w:t>厂区平面</w:t>
                      </w:r>
                      <w:r>
                        <w:rPr>
                          <w:rFonts w:hint="eastAsia" w:ascii="宋体" w:hAnsi="宋体"/>
                          <w:b/>
                          <w:color w:val="auto"/>
                          <w:sz w:val="28"/>
                          <w:szCs w:val="28"/>
                          <w:highlight w:val="none"/>
                        </w:rPr>
                        <w:t>图</w:t>
                      </w:r>
                    </w:p>
                  </w:txbxContent>
                </v:textbox>
              </v:shape>
            </w:pict>
          </mc:Fallback>
        </mc:AlternateContent>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-53340</wp:posOffset>
                </wp:positionH>
                <wp:positionV relativeFrom="paragraph">
                  <wp:posOffset>4052570</wp:posOffset>
                </wp:positionV>
                <wp:extent cx="883285" cy="464820"/>
                <wp:effectExtent l="4445" t="5080" r="7620" b="6350"/>
                <wp:wrapNone/>
                <wp:docPr id="183" name="文本框 183"/>
                <wp:cNvGraphicFramePr/>
                <a:graphic xmlns:a="http://schemas.openxmlformats.org/drawingml/2006/main">
                  <a:graphicData uri="http://schemas.microsoft.com/office/word/2010/wordprocessingShape">
                    <wps:wsp>
                      <wps:cNvSpPr txBox="1"/>
                      <wps:spPr>
                        <a:xfrm>
                          <a:off x="0" y="0"/>
                          <a:ext cx="883285" cy="46482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061F76D">
                            <w:pPr>
                              <w:jc w:val="center"/>
                              <w:rPr>
                                <w:rFonts w:hint="default" w:eastAsia="宋体"/>
                                <w:sz w:val="18"/>
                                <w:szCs w:val="21"/>
                                <w:lang w:val="en-US" w:eastAsia="zh-CN"/>
                              </w:rPr>
                            </w:pPr>
                            <w:r>
                              <w:rPr>
                                <w:rFonts w:hint="eastAsia"/>
                                <w:sz w:val="18"/>
                                <w:szCs w:val="21"/>
                                <w:lang w:val="en-US" w:eastAsia="zh-CN"/>
                              </w:rPr>
                              <w:t>办公区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4.2pt;margin-top:319.1pt;height:36.6pt;width:69.55pt;z-index:251691008;v-text-anchor:middle;mso-width-relative:page;mso-height-relative:page;" filled="f" stroked="t" coordsize="21600,21600" o:gfxdata="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OCxLNgAAAAK&#10;AQAADwAAAAAAAAABACAAAAAiAAAAZHJzL2Rvd25yZXYueG1sUEsBAhQAFAAAAAgAh07iQDdTK41V&#10;AgAAkwQAAA4AAAAAAAAAAQAgAAAAJwEAAGRycy9lMm9Eb2MueG1sUEsFBgAAAAAGAAYAWQEAAO4F&#10;AAAAAA==&#10;">
                <v:fill on="f" focussize="0,0"/>
                <v:stroke weight="0.5pt" color="#000000 [3204]" joinstyle="round"/>
                <v:imagedata o:title=""/>
                <o:lock v:ext="edit" aspectratio="f"/>
                <v:textbox>
                  <w:txbxContent>
                    <w:p w14:paraId="4061F76D">
                      <w:pPr>
                        <w:jc w:val="center"/>
                        <w:rPr>
                          <w:rFonts w:hint="default" w:eastAsia="宋体"/>
                          <w:sz w:val="18"/>
                          <w:szCs w:val="21"/>
                          <w:lang w:val="en-US" w:eastAsia="zh-CN"/>
                        </w:rPr>
                      </w:pPr>
                      <w:r>
                        <w:rPr>
                          <w:rFonts w:hint="eastAsia"/>
                          <w:sz w:val="18"/>
                          <w:szCs w:val="21"/>
                          <w:lang w:val="en-US" w:eastAsia="zh-CN"/>
                        </w:rPr>
                        <w:t>办公区</w:t>
                      </w:r>
                    </w:p>
                  </w:txbxContent>
                </v:textbox>
              </v:shape>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-49530</wp:posOffset>
                </wp:positionH>
                <wp:positionV relativeFrom="paragraph">
                  <wp:posOffset>2787015</wp:posOffset>
                </wp:positionV>
                <wp:extent cx="3333750" cy="549275"/>
                <wp:effectExtent l="4445" t="4445" r="14605" b="17780"/>
                <wp:wrapNone/>
                <wp:docPr id="177" name="文本框 177"/>
                <wp:cNvGraphicFramePr/>
                <a:graphic xmlns:a="http://schemas.openxmlformats.org/drawingml/2006/main">
                  <a:graphicData uri="http://schemas.microsoft.com/office/word/2010/wordprocessingShape">
                    <wps:wsp>
                      <wps:cNvSpPr txBox="1"/>
                      <wps:spPr>
                        <a:xfrm>
                          <a:off x="0" y="0"/>
                          <a:ext cx="3333750" cy="54927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7F3D514">
                            <w:pPr>
                              <w:jc w:val="center"/>
                              <w:rPr>
                                <w:rFonts w:hint="eastAsia" w:eastAsia="宋体"/>
                                <w:sz w:val="18"/>
                                <w:szCs w:val="21"/>
                                <w:lang w:val="en-US" w:eastAsia="zh-CN"/>
                              </w:rPr>
                            </w:pPr>
                            <w:r>
                              <w:rPr>
                                <w:rFonts w:hint="eastAsia"/>
                                <w:sz w:val="18"/>
                                <w:szCs w:val="21"/>
                                <w:lang w:val="en-US" w:eastAsia="zh-CN"/>
                              </w:rPr>
                              <w:t>手动前处理线、手动喷粉柜</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3.9pt;margin-top:219.45pt;height:43.25pt;width:262.5pt;z-index:251689984;v-text-anchor:middle;mso-width-relative:page;mso-height-relative:page;" filled="f" stroked="t" coordsize="21600,21600" o:gfxdata="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xMutbZAAAACgEA&#10;AA8AAAAAAAAAAQAgAAAAIgAAAGRycy9kb3ducmV2LnhtbFBLAQIUABQAAAAIAIdO4kA9R+h/UgIA&#10;AJQEAAAOAAAAAAAAAAEAIAAAACgBAABkcnMvZTJvRG9jLnhtbFBLBQYAAAAABgAGAFkBAADsBQAA&#10;AAA=&#10;">
                <v:fill on="f" focussize="0,0"/>
                <v:stroke weight="0.5pt" color="#000000 [3204]" joinstyle="round"/>
                <v:imagedata o:title=""/>
                <o:lock v:ext="edit" aspectratio="f"/>
                <v:textbox>
                  <w:txbxContent>
                    <w:p w14:paraId="67F3D514">
                      <w:pPr>
                        <w:jc w:val="center"/>
                        <w:rPr>
                          <w:rFonts w:hint="eastAsia" w:eastAsia="宋体"/>
                          <w:sz w:val="18"/>
                          <w:szCs w:val="21"/>
                          <w:lang w:val="en-US" w:eastAsia="zh-CN"/>
                        </w:rPr>
                      </w:pPr>
                      <w:r>
                        <w:rPr>
                          <w:rFonts w:hint="eastAsia"/>
                          <w:sz w:val="18"/>
                          <w:szCs w:val="21"/>
                          <w:lang w:val="en-US" w:eastAsia="zh-CN"/>
                        </w:rPr>
                        <w:t>手动前处理线、手动喷粉柜</w:t>
                      </w:r>
                    </w:p>
                  </w:txbxContent>
                </v:textbox>
              </v:shape>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-50165</wp:posOffset>
                </wp:positionH>
                <wp:positionV relativeFrom="paragraph">
                  <wp:posOffset>2787015</wp:posOffset>
                </wp:positionV>
                <wp:extent cx="5755005" cy="3088005"/>
                <wp:effectExtent l="6350" t="6350" r="10795" b="10795"/>
                <wp:wrapNone/>
                <wp:docPr id="154" name="矩形 154"/>
                <wp:cNvGraphicFramePr/>
                <a:graphic xmlns:a="http://schemas.openxmlformats.org/drawingml/2006/main">
                  <a:graphicData uri="http://schemas.microsoft.com/office/word/2010/wordprocessingShape">
                    <wps:wsp>
                      <wps:cNvSpPr/>
                      <wps:spPr>
                        <a:xfrm>
                          <a:off x="985520" y="1756410"/>
                          <a:ext cx="5755005" cy="308800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5pt;margin-top:219.45pt;height:243.15pt;width:453.15pt;z-index:251687936;v-text-anchor:middle;mso-width-relative:page;mso-height-relative:page;" filled="f" stroked="t" coordsize="21600,21600" o:gfxdata="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DzKW3ZAAAACgEAAA8AAAAAAAAAAQAgAAAAIgAAAGRy&#10;cy9kb3ducmV2LnhtbFBLAQIUABQAAAAIAIdO4kCiPLH1dgIAANsEAAAOAAAAAAAAAAEAIAAAACgB&#10;AABkcnMvZTJvRG9jLnhtbFBLBQYAAAAABgAGAFkBAAAQBgAAAAA=&#10;">
                <v:fill on="f" focussize="0,0"/>
                <v:stroke weight="1pt" color="#000000 [3213]" miterlimit="8" joinstyle="miter"/>
                <v:imagedata o:title=""/>
                <o:lock v:ext="edit" aspectratio="f"/>
              </v:rect>
            </w:pict>
          </mc:Fallback>
        </mc:AlternateContent>
      </w:r>
      <w:r>
        <w:rPr>
          <w:color w:val="auto"/>
        </w:rPr>
        <w:drawing>
          <wp:anchor distT="0" distB="0" distL="114300" distR="114300" simplePos="0" relativeHeight="251714560" behindDoc="0" locked="0" layoutInCell="1" allowOverlap="1">
            <wp:simplePos x="0" y="0"/>
            <wp:positionH relativeFrom="character">
              <wp:posOffset>4826000</wp:posOffset>
            </wp:positionH>
            <wp:positionV relativeFrom="line">
              <wp:posOffset>1710055</wp:posOffset>
            </wp:positionV>
            <wp:extent cx="468630" cy="667385"/>
            <wp:effectExtent l="73660" t="141605" r="78105" b="151765"/>
            <wp:wrapNone/>
            <wp:docPr id="37" name="图片 232" descr="玫瑰"/>
            <wp:cNvGraphicFramePr/>
            <a:graphic xmlns:a="http://schemas.openxmlformats.org/drawingml/2006/main">
              <a:graphicData uri="http://schemas.openxmlformats.org/drawingml/2006/picture">
                <pic:pic xmlns:pic="http://schemas.openxmlformats.org/drawingml/2006/picture">
                  <pic:nvPicPr>
                    <pic:cNvPr id="37" name="图片 232" descr="玫瑰"/>
                    <pic:cNvPicPr/>
                  </pic:nvPicPr>
                  <pic:blipFill>
                    <a:blip r:embed="rId22">
                      <a:extLst>
                        <a:ext uri="{28A0092B-C50C-407E-A947-70E740481C1C}">
                          <a14:useLocalDpi xmlns:a14="http://schemas.microsoft.com/office/drawing/2010/main" val="0"/>
                        </a:ext>
                      </a:extLst>
                    </a:blip>
                    <a:srcRect l="13611" r="13472"/>
                    <a:stretch>
                      <a:fillRect/>
                    </a:stretch>
                  </pic:blipFill>
                  <pic:spPr>
                    <a:xfrm rot="18120000">
                      <a:off x="0" y="0"/>
                      <a:ext cx="468630" cy="667385"/>
                    </a:xfrm>
                    <a:prstGeom prst="rect">
                      <a:avLst/>
                    </a:prstGeom>
                    <a:noFill/>
                    <a:ln>
                      <a:noFill/>
                    </a:ln>
                    <a:effectLst/>
                  </pic:spPr>
                </pic:pic>
              </a:graphicData>
            </a:graphic>
          </wp:anchor>
        </w:drawing>
      </w:r>
    </w:p>
    <w:p w14:paraId="77EA7B2B">
      <w:pPr>
        <w:bidi w:val="0"/>
        <w:rPr>
          <w:rFonts w:hint="eastAsia" w:ascii="Times New Roman" w:hAnsi="Times New Roman" w:eastAsia="宋体" w:cs="Times New Roman"/>
          <w:color w:val="auto"/>
          <w:kern w:val="2"/>
          <w:sz w:val="21"/>
          <w:szCs w:val="24"/>
          <w:lang w:val="en-US" w:eastAsia="zh-CN" w:bidi="ar-SA"/>
        </w:rPr>
      </w:pPr>
    </w:p>
    <w:p w14:paraId="27729168">
      <w:pPr>
        <w:bidi w:val="0"/>
        <w:rPr>
          <w:rFonts w:hint="eastAsia"/>
          <w:color w:val="auto"/>
          <w:lang w:val="en-US" w:eastAsia="zh-CN"/>
        </w:rPr>
      </w:pPr>
    </w:p>
    <w:p w14:paraId="73B96A8B">
      <w:pPr>
        <w:bidi w:val="0"/>
        <w:rPr>
          <w:rFonts w:hint="eastAsia"/>
          <w:color w:val="auto"/>
          <w:lang w:val="en-US" w:eastAsia="zh-CN"/>
        </w:rPr>
      </w:pPr>
    </w:p>
    <w:p w14:paraId="631EE70B">
      <w:pPr>
        <w:bidi w:val="0"/>
        <w:rPr>
          <w:rFonts w:hint="eastAsia"/>
          <w:color w:val="auto"/>
          <w:lang w:val="en-US" w:eastAsia="zh-CN"/>
        </w:rPr>
      </w:pPr>
    </w:p>
    <w:p w14:paraId="5BD9FC06">
      <w:pPr>
        <w:bidi w:val="0"/>
        <w:rPr>
          <w:rFonts w:hint="eastAsia"/>
          <w:color w:val="auto"/>
          <w:lang w:val="en-US" w:eastAsia="zh-CN"/>
        </w:rPr>
      </w:pPr>
    </w:p>
    <w:p w14:paraId="70BC26DB">
      <w:pPr>
        <w:bidi w:val="0"/>
        <w:rPr>
          <w:rFonts w:hint="eastAsia"/>
          <w:color w:val="auto"/>
          <w:lang w:val="en-US" w:eastAsia="zh-CN"/>
        </w:rPr>
      </w:pPr>
    </w:p>
    <w:p w14:paraId="1C2D0B24">
      <w:pPr>
        <w:bidi w:val="0"/>
        <w:rPr>
          <w:rFonts w:hint="eastAsia"/>
          <w:color w:val="auto"/>
          <w:lang w:val="en-US" w:eastAsia="zh-CN"/>
        </w:rPr>
      </w:pPr>
    </w:p>
    <w:p w14:paraId="08240FB4">
      <w:pPr>
        <w:bidi w:val="0"/>
        <w:rPr>
          <w:rFonts w:hint="eastAsia"/>
          <w:color w:val="auto"/>
          <w:lang w:val="en-US" w:eastAsia="zh-CN"/>
        </w:rPr>
      </w:pPr>
    </w:p>
    <w:p w14:paraId="05C33969">
      <w:pPr>
        <w:bidi w:val="0"/>
        <w:rPr>
          <w:rFonts w:hint="eastAsia"/>
          <w:color w:val="auto"/>
          <w:lang w:val="en-US" w:eastAsia="zh-CN"/>
        </w:rPr>
      </w:pPr>
    </w:p>
    <w:p w14:paraId="2D2876F2">
      <w:pPr>
        <w:bidi w:val="0"/>
        <w:rPr>
          <w:rFonts w:hint="eastAsia"/>
          <w:color w:val="auto"/>
          <w:lang w:val="en-US" w:eastAsia="zh-CN"/>
        </w:rPr>
      </w:pPr>
    </w:p>
    <w:p w14:paraId="64E816F7">
      <w:pPr>
        <w:bidi w:val="0"/>
        <w:rPr>
          <w:rFonts w:hint="eastAsia"/>
          <w:color w:val="auto"/>
          <w:lang w:val="en-US" w:eastAsia="zh-CN"/>
        </w:rPr>
      </w:pPr>
    </w:p>
    <w:p w14:paraId="128C8F81">
      <w:pPr>
        <w:bidi w:val="0"/>
        <w:rPr>
          <w:rFonts w:hint="eastAsia"/>
          <w:color w:val="auto"/>
          <w:lang w:val="en-US" w:eastAsia="zh-CN"/>
        </w:rPr>
      </w:pPr>
    </w:p>
    <w:p w14:paraId="36774C2C">
      <w:pPr>
        <w:bidi w:val="0"/>
        <w:rPr>
          <w:rFonts w:hint="eastAsia"/>
          <w:color w:val="auto"/>
          <w:lang w:val="en-US" w:eastAsia="zh-CN"/>
        </w:rPr>
      </w:pPr>
    </w:p>
    <w:p w14:paraId="10CB7CF1">
      <w:pPr>
        <w:tabs>
          <w:tab w:val="left" w:pos="466"/>
        </w:tabs>
        <w:bidi w:val="0"/>
        <w:jc w:val="left"/>
        <w:rPr>
          <w:rFonts w:hint="eastAsia"/>
          <w:color w:val="auto"/>
          <w:lang w:val="en-US" w:eastAsia="zh-CN"/>
        </w:rPr>
      </w:pPr>
      <w:r>
        <w:rPr>
          <w:color w:val="auto"/>
          <w:sz w:val="21"/>
        </w:rPr>
        <mc:AlternateContent>
          <mc:Choice Requires="wps">
            <w:drawing>
              <wp:anchor distT="0" distB="0" distL="114300" distR="114300" simplePos="0" relativeHeight="251735040" behindDoc="0" locked="0" layoutInCell="1" allowOverlap="1">
                <wp:simplePos x="0" y="0"/>
                <wp:positionH relativeFrom="column">
                  <wp:posOffset>3315970</wp:posOffset>
                </wp:positionH>
                <wp:positionV relativeFrom="paragraph">
                  <wp:posOffset>473710</wp:posOffset>
                </wp:positionV>
                <wp:extent cx="781685" cy="215265"/>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781685" cy="215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947D26">
                            <w:pPr>
                              <w:jc w:val="center"/>
                              <w:rPr>
                                <w:rFonts w:hint="default" w:eastAsia="宋体"/>
                                <w:sz w:val="16"/>
                                <w:szCs w:val="20"/>
                                <w:lang w:val="en-US" w:eastAsia="zh-CN"/>
                              </w:rPr>
                            </w:pPr>
                            <w:r>
                              <w:rPr>
                                <w:rFonts w:hint="eastAsia"/>
                                <w:sz w:val="16"/>
                                <w:szCs w:val="20"/>
                                <w:lang w:val="en-US" w:eastAsia="zh-CN"/>
                              </w:rPr>
                              <w:t>活性炭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261.1pt;margin-top:37.3pt;height:16.95pt;width:61.55pt;z-index:251735040;v-text-anchor:middle;mso-width-relative:page;mso-height-relative:page;" filled="f" stroked="f" coordsize="21600,21600" o:gfxdata="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&#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ld31U2wAAAAoBAAAPAAAAAAAAAAEAIAAAACIAAABk&#10;cnMvZG93bnJldi54bWxQSwECFAAUAAAACACHTuJALg6o1TwCAABpBAAADgAAAAAAAAABACAAAAAq&#10;AQAAZHJzL2Uyb0RvYy54bWxQSwUGAAAAAAYABgBZAQAA2AUAAAAA&#10;">
                <v:fill on="f" focussize="0,0"/>
                <v:stroke on="f" weight="0.5pt"/>
                <v:imagedata o:title=""/>
                <o:lock v:ext="edit" aspectratio="f"/>
                <v:textbox>
                  <w:txbxContent>
                    <w:p w14:paraId="7A947D26">
                      <w:pPr>
                        <w:jc w:val="center"/>
                        <w:rPr>
                          <w:rFonts w:hint="default" w:eastAsia="宋体"/>
                          <w:sz w:val="16"/>
                          <w:szCs w:val="20"/>
                          <w:lang w:val="en-US" w:eastAsia="zh-CN"/>
                        </w:rPr>
                      </w:pPr>
                      <w:r>
                        <w:rPr>
                          <w:rFonts w:hint="eastAsia"/>
                          <w:sz w:val="16"/>
                          <w:szCs w:val="20"/>
                          <w:lang w:val="en-US" w:eastAsia="zh-CN"/>
                        </w:rPr>
                        <w:t>活性炭</w:t>
                      </w:r>
                    </w:p>
                  </w:txbxContent>
                </v:textbox>
              </v:shape>
            </w:pict>
          </mc:Fallback>
        </mc:AlternateContent>
      </w:r>
    </w:p>
    <w:p w14:paraId="2FEC94BA">
      <w:pPr>
        <w:tabs>
          <w:tab w:val="left" w:pos="466"/>
        </w:tabs>
        <w:bidi w:val="0"/>
        <w:jc w:val="left"/>
        <w:rPr>
          <w:rFonts w:hint="eastAsia"/>
          <w:color w:val="auto"/>
          <w:lang w:val="en-US" w:eastAsia="zh-CN"/>
        </w:rPr>
      </w:pPr>
      <w:r>
        <w:rPr>
          <w:color w:val="auto"/>
          <w:sz w:val="21"/>
        </w:rPr>
        <mc:AlternateContent>
          <mc:Choice Requires="wps">
            <w:drawing>
              <wp:anchor distT="0" distB="0" distL="114300" distR="114300" simplePos="0" relativeHeight="251752448" behindDoc="0" locked="0" layoutInCell="1" allowOverlap="1">
                <wp:simplePos x="0" y="0"/>
                <wp:positionH relativeFrom="column">
                  <wp:posOffset>-54610</wp:posOffset>
                </wp:positionH>
                <wp:positionV relativeFrom="paragraph">
                  <wp:posOffset>22225</wp:posOffset>
                </wp:positionV>
                <wp:extent cx="883285" cy="464820"/>
                <wp:effectExtent l="4445" t="5080" r="7620" b="6350"/>
                <wp:wrapNone/>
                <wp:docPr id="94" name="文本框 94"/>
                <wp:cNvGraphicFramePr/>
                <a:graphic xmlns:a="http://schemas.openxmlformats.org/drawingml/2006/main">
                  <a:graphicData uri="http://schemas.microsoft.com/office/word/2010/wordprocessingShape">
                    <wps:wsp>
                      <wps:cNvSpPr txBox="1"/>
                      <wps:spPr>
                        <a:xfrm>
                          <a:off x="0" y="0"/>
                          <a:ext cx="883285" cy="46482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42F9439">
                            <w:pPr>
                              <w:jc w:val="center"/>
                              <w:rPr>
                                <w:rFonts w:hint="default" w:eastAsia="宋体"/>
                                <w:sz w:val="18"/>
                                <w:szCs w:val="21"/>
                                <w:lang w:val="en-US" w:eastAsia="zh-CN"/>
                              </w:rPr>
                            </w:pPr>
                            <w:r>
                              <w:rPr>
                                <w:rFonts w:hint="eastAsia"/>
                                <w:sz w:val="18"/>
                                <w:szCs w:val="21"/>
                                <w:lang w:val="en-US" w:eastAsia="zh-CN"/>
                              </w:rPr>
                              <w:t>废水暂存区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4.3pt;margin-top:1.75pt;height:36.6pt;width:69.55pt;z-index:251752448;v-text-anchor:middle;mso-width-relative:page;mso-height-relative:page;" filled="f" stroked="t" coordsize="21600,21600" o:gfxdata="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TkAEz1QAAAAcBAAAP&#10;AAAAAAAAAAEAIAAAACIAAABkcnMvZG93bnJldi54bWxQSwECFAAUAAAACACHTuJAF2ckWFQCAACR&#10;BAAADgAAAAAAAAABACAAAAAkAQAAZHJzL2Uyb0RvYy54bWxQSwUGAAAAAAYABgBZAQAA6gUAAAAA&#10;">
                <v:fill on="f" focussize="0,0"/>
                <v:stroke weight="0.5pt" color="#000000 [3204]" joinstyle="round"/>
                <v:imagedata o:title=""/>
                <o:lock v:ext="edit" aspectratio="f"/>
                <v:textbox>
                  <w:txbxContent>
                    <w:p w14:paraId="042F9439">
                      <w:pPr>
                        <w:jc w:val="center"/>
                        <w:rPr>
                          <w:rFonts w:hint="default" w:eastAsia="宋体"/>
                          <w:sz w:val="18"/>
                          <w:szCs w:val="21"/>
                          <w:lang w:val="en-US" w:eastAsia="zh-CN"/>
                        </w:rPr>
                      </w:pPr>
                      <w:r>
                        <w:rPr>
                          <w:rFonts w:hint="eastAsia"/>
                          <w:sz w:val="18"/>
                          <w:szCs w:val="21"/>
                          <w:lang w:val="en-US" w:eastAsia="zh-CN"/>
                        </w:rPr>
                        <w:t>废水暂存区</w:t>
                      </w:r>
                    </w:p>
                  </w:txbxContent>
                </v:textbox>
              </v:shape>
            </w:pict>
          </mc:Fallback>
        </mc:AlternateContent>
      </w:r>
    </w:p>
    <w:p w14:paraId="3E6EEF1A">
      <w:pPr>
        <w:tabs>
          <w:tab w:val="left" w:pos="466"/>
        </w:tabs>
        <w:bidi w:val="0"/>
        <w:jc w:val="left"/>
        <w:rPr>
          <w:rFonts w:hint="default"/>
          <w:color w:val="auto"/>
          <w:lang w:val="en-US" w:eastAsia="zh-CN"/>
        </w:rPr>
        <w:sectPr>
          <w:pgSz w:w="11907" w:h="16839"/>
          <w:pgMar w:top="1701" w:right="1531" w:bottom="1701" w:left="1531" w:header="851" w:footer="567" w:gutter="0"/>
          <w:pgBorders>
            <w:top w:val="none" w:sz="0" w:space="0"/>
            <w:left w:val="none" w:sz="0" w:space="0"/>
            <w:bottom w:val="none" w:sz="0" w:space="0"/>
            <w:right w:val="none" w:sz="0" w:space="0"/>
          </w:pgBorders>
          <w:cols w:space="720" w:num="1"/>
          <w:docGrid w:linePitch="312" w:charSpace="0"/>
        </w:sectPr>
      </w:pPr>
      <w:r>
        <w:rPr>
          <w:color w:val="auto"/>
          <w:sz w:val="21"/>
        </w:rPr>
        <mc:AlternateContent>
          <mc:Choice Requires="wps">
            <w:drawing>
              <wp:anchor distT="0" distB="0" distL="114300" distR="114300" simplePos="0" relativeHeight="251750400" behindDoc="0" locked="0" layoutInCell="1" allowOverlap="1">
                <wp:simplePos x="0" y="0"/>
                <wp:positionH relativeFrom="column">
                  <wp:posOffset>-148590</wp:posOffset>
                </wp:positionH>
                <wp:positionV relativeFrom="paragraph">
                  <wp:posOffset>269240</wp:posOffset>
                </wp:positionV>
                <wp:extent cx="5647055" cy="900430"/>
                <wp:effectExtent l="6350" t="6350" r="23495" b="7620"/>
                <wp:wrapNone/>
                <wp:docPr id="81" name="文本框 81"/>
                <wp:cNvGraphicFramePr/>
                <a:graphic xmlns:a="http://schemas.openxmlformats.org/drawingml/2006/main">
                  <a:graphicData uri="http://schemas.microsoft.com/office/word/2010/wordprocessingShape">
                    <wps:wsp>
                      <wps:cNvSpPr txBox="1"/>
                      <wps:spPr>
                        <a:xfrm>
                          <a:off x="805180" y="3734435"/>
                          <a:ext cx="5647055" cy="900430"/>
                        </a:xfrm>
                        <a:prstGeom prst="rect">
                          <a:avLst/>
                        </a:prstGeom>
                        <a:noFill/>
                        <a:ln w="12700">
                          <a:solidFill>
                            <a:srgbClr val="0000FF"/>
                          </a:solidFill>
                          <a:prstDash val="dash"/>
                        </a:ln>
                      </wps:spPr>
                      <wps:style>
                        <a:lnRef idx="0">
                          <a:schemeClr val="accent1"/>
                        </a:lnRef>
                        <a:fillRef idx="0">
                          <a:schemeClr val="accent1"/>
                        </a:fillRef>
                        <a:effectRef idx="0">
                          <a:schemeClr val="accent1"/>
                        </a:effectRef>
                        <a:fontRef idx="minor">
                          <a:schemeClr val="dk1"/>
                        </a:fontRef>
                      </wps:style>
                      <wps:txbx>
                        <w:txbxContent>
                          <w:p w14:paraId="16C8CF4A">
                            <w:pPr>
                              <w:rPr>
                                <w:rFonts w:hint="eastAsia"/>
                                <w:lang w:val="en-US" w:eastAsia="zh-CN"/>
                              </w:rPr>
                            </w:pPr>
                          </w:p>
                          <w:p w14:paraId="361AC7D7">
                            <w:pPr>
                              <w:rPr>
                                <w:rFonts w:hint="eastAsia"/>
                                <w:lang w:val="en-US" w:eastAsia="zh-CN"/>
                              </w:rPr>
                            </w:pPr>
                          </w:p>
                          <w:p w14:paraId="1134C27D">
                            <w:pPr>
                              <w:rPr>
                                <w:rFonts w:hint="eastAsia"/>
                                <w:lang w:val="en-US" w:eastAsia="zh-CN"/>
                              </w:rPr>
                            </w:pPr>
                          </w:p>
                          <w:p w14:paraId="2FCE71B8">
                            <w:pPr>
                              <w:jc w:val="right"/>
                              <w:rPr>
                                <w:rFonts w:hint="eastAsia" w:ascii="Times New Roman" w:hAnsi="Times New Roman" w:eastAsia="宋体" w:cs="Times New Roman"/>
                                <w:color w:val="0000FF"/>
                                <w:kern w:val="2"/>
                                <w:sz w:val="21"/>
                                <w:szCs w:val="21"/>
                                <w:lang w:val="en-US" w:eastAsia="zh-CN" w:bidi="ar-SA"/>
                              </w:rPr>
                            </w:pPr>
                          </w:p>
                          <w:p w14:paraId="1724AB8D">
                            <w:pPr>
                              <w:jc w:val="right"/>
                              <w:rPr>
                                <w:rFonts w:hint="default" w:eastAsia="宋体"/>
                                <w:b/>
                                <w:bCs/>
                                <w:color w:val="FF0000"/>
                                <w:lang w:val="en-US" w:eastAsia="zh-CN"/>
                              </w:rPr>
                            </w:pPr>
                            <w:r>
                              <w:rPr>
                                <w:rFonts w:hint="eastAsia" w:ascii="Times New Roman" w:hAnsi="Times New Roman" w:eastAsia="宋体" w:cs="Times New Roman"/>
                                <w:color w:val="0000FF"/>
                                <w:kern w:val="2"/>
                                <w:sz w:val="21"/>
                                <w:szCs w:val="21"/>
                                <w:lang w:val="en-US" w:eastAsia="zh-CN" w:bidi="ar-SA"/>
                              </w:rPr>
                              <w:t>手动线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pt;margin-top:21.2pt;height:70.9pt;width:444.65pt;z-index:251750400;mso-width-relative:page;mso-height-relative:page;" filled="f" stroked="t" coordsize="21600,21600" o:gfxdata="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NkzSbcAAAACgEAAA8AAAAAAAAAAQAgAAAAIgAAAGRycy9kb3ducmV2&#10;LnhtbFBLAQIUABQAAAAIAIdO4kDWMKhCagIAALUEAAAOAAAAAAAAAAEAIAAAACsBAABkcnMvZTJv&#10;RG9jLnhtbFBLBQYAAAAABgAGAFkBAAAHBgAAAAA=&#10;">
                <v:fill on="f" focussize="0,0"/>
                <v:stroke weight="1pt" color="#0000FF [3204]" joinstyle="round" dashstyle="dash"/>
                <v:imagedata o:title=""/>
                <o:lock v:ext="edit" aspectratio="f"/>
                <v:textbox>
                  <w:txbxContent>
                    <w:p w14:paraId="16C8CF4A">
                      <w:pPr>
                        <w:rPr>
                          <w:rFonts w:hint="eastAsia"/>
                          <w:lang w:val="en-US" w:eastAsia="zh-CN"/>
                        </w:rPr>
                      </w:pPr>
                    </w:p>
                    <w:p w14:paraId="361AC7D7">
                      <w:pPr>
                        <w:rPr>
                          <w:rFonts w:hint="eastAsia"/>
                          <w:lang w:val="en-US" w:eastAsia="zh-CN"/>
                        </w:rPr>
                      </w:pPr>
                    </w:p>
                    <w:p w14:paraId="1134C27D">
                      <w:pPr>
                        <w:rPr>
                          <w:rFonts w:hint="eastAsia"/>
                          <w:lang w:val="en-US" w:eastAsia="zh-CN"/>
                        </w:rPr>
                      </w:pPr>
                    </w:p>
                    <w:p w14:paraId="2FCE71B8">
                      <w:pPr>
                        <w:jc w:val="right"/>
                        <w:rPr>
                          <w:rFonts w:hint="eastAsia" w:ascii="Times New Roman" w:hAnsi="Times New Roman" w:eastAsia="宋体" w:cs="Times New Roman"/>
                          <w:color w:val="0000FF"/>
                          <w:kern w:val="2"/>
                          <w:sz w:val="21"/>
                          <w:szCs w:val="21"/>
                          <w:lang w:val="en-US" w:eastAsia="zh-CN" w:bidi="ar-SA"/>
                        </w:rPr>
                      </w:pPr>
                    </w:p>
                    <w:p w14:paraId="1724AB8D">
                      <w:pPr>
                        <w:jc w:val="right"/>
                        <w:rPr>
                          <w:rFonts w:hint="default" w:eastAsia="宋体"/>
                          <w:b/>
                          <w:bCs/>
                          <w:color w:val="FF0000"/>
                          <w:lang w:val="en-US" w:eastAsia="zh-CN"/>
                        </w:rPr>
                      </w:pPr>
                      <w:r>
                        <w:rPr>
                          <w:rFonts w:hint="eastAsia" w:ascii="Times New Roman" w:hAnsi="Times New Roman" w:eastAsia="宋体" w:cs="Times New Roman"/>
                          <w:color w:val="0000FF"/>
                          <w:kern w:val="2"/>
                          <w:sz w:val="21"/>
                          <w:szCs w:val="21"/>
                          <w:lang w:val="en-US" w:eastAsia="zh-CN" w:bidi="ar-SA"/>
                        </w:rPr>
                        <w:t>手动线</w:t>
                      </w:r>
                    </w:p>
                  </w:txbxContent>
                </v:textbox>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3691890</wp:posOffset>
                </wp:positionH>
                <wp:positionV relativeFrom="paragraph">
                  <wp:posOffset>83820</wp:posOffset>
                </wp:positionV>
                <wp:extent cx="491490" cy="27178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491490" cy="271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9868B">
                            <w:pPr>
                              <w:jc w:val="center"/>
                              <w:rPr>
                                <w:rFonts w:hint="default" w:eastAsia="宋体"/>
                                <w:b/>
                                <w:bCs/>
                                <w:color w:val="843C0B" w:themeColor="accent2" w:themeShade="80"/>
                                <w:sz w:val="21"/>
                                <w:szCs w:val="24"/>
                                <w:lang w:val="en-US" w:eastAsia="zh-CN"/>
                              </w:rPr>
                            </w:pPr>
                            <w:r>
                              <w:rPr>
                                <w:rFonts w:hint="eastAsia"/>
                                <w:b/>
                                <w:bCs/>
                                <w:color w:val="843C0B" w:themeColor="accent2" w:themeShade="80"/>
                                <w:sz w:val="21"/>
                                <w:szCs w:val="24"/>
                                <w:lang w:val="en-US" w:eastAsia="zh-CN"/>
                              </w:rPr>
                              <w:t>G2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290.7pt;margin-top:6.6pt;height:21.4pt;width:38.7pt;z-index:251695104;v-text-anchor:middle;mso-width-relative:page;mso-height-relative:page;" filled="f" stroked="f" coordsize="21600,21600" o:gfxdata="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uZ8y9gAAAAJAQAADwAAAAAAAAABACAAAAAiAAAAZHJz&#10;L2Rvd25yZXYueG1sUEsBAhQAFAAAAAgAh07iQNwOsEM9AgAAawQAAA4AAAAAAAAAAQAgAAAAJwEA&#10;AGRycy9lMm9Eb2MueG1sUEsFBgAAAAAGAAYAWQEAANYFAAAAAA==&#10;">
                <v:fill on="f" focussize="0,0"/>
                <v:stroke on="f" weight="0.5pt"/>
                <v:imagedata o:title=""/>
                <o:lock v:ext="edit" aspectratio="f"/>
                <v:textbox>
                  <w:txbxContent>
                    <w:p w14:paraId="6AE9868B">
                      <w:pPr>
                        <w:jc w:val="center"/>
                        <w:rPr>
                          <w:rFonts w:hint="default" w:eastAsia="宋体"/>
                          <w:b/>
                          <w:bCs/>
                          <w:color w:val="843C0B" w:themeColor="accent2" w:themeShade="80"/>
                          <w:sz w:val="21"/>
                          <w:szCs w:val="24"/>
                          <w:lang w:val="en-US" w:eastAsia="zh-CN"/>
                        </w:rPr>
                      </w:pPr>
                      <w:r>
                        <w:rPr>
                          <w:rFonts w:hint="eastAsia"/>
                          <w:b/>
                          <w:bCs/>
                          <w:color w:val="843C0B" w:themeColor="accent2" w:themeShade="80"/>
                          <w:sz w:val="21"/>
                          <w:szCs w:val="24"/>
                          <w:lang w:val="en-US" w:eastAsia="zh-CN"/>
                        </w:rPr>
                        <w:t>G2</w:t>
                      </w:r>
                    </w:p>
                  </w:txbxContent>
                </v:textbox>
              </v:shape>
            </w:pict>
          </mc:Fallback>
        </mc:AlternateContent>
      </w:r>
      <w:r>
        <w:rPr>
          <w:color w:val="auto"/>
          <w:sz w:val="21"/>
        </w:rPr>
        <mc:AlternateContent>
          <mc:Choice Requires="wps">
            <w:drawing>
              <wp:anchor distT="0" distB="0" distL="114300" distR="114300" simplePos="0" relativeHeight="251755520" behindDoc="0" locked="0" layoutInCell="1" allowOverlap="1">
                <wp:simplePos x="0" y="0"/>
                <wp:positionH relativeFrom="column">
                  <wp:posOffset>-5080</wp:posOffset>
                </wp:positionH>
                <wp:positionV relativeFrom="paragraph">
                  <wp:posOffset>2287270</wp:posOffset>
                </wp:positionV>
                <wp:extent cx="955675" cy="710565"/>
                <wp:effectExtent l="6350" t="6350" r="9525" b="6985"/>
                <wp:wrapNone/>
                <wp:docPr id="101" name="文本框 101"/>
                <wp:cNvGraphicFramePr/>
                <a:graphic xmlns:a="http://schemas.openxmlformats.org/drawingml/2006/main">
                  <a:graphicData uri="http://schemas.microsoft.com/office/word/2010/wordprocessingShape">
                    <wps:wsp>
                      <wps:cNvSpPr txBox="1"/>
                      <wps:spPr>
                        <a:xfrm>
                          <a:off x="0" y="0"/>
                          <a:ext cx="955675" cy="710565"/>
                        </a:xfrm>
                        <a:prstGeom prst="rect">
                          <a:avLst/>
                        </a:prstGeom>
                        <a:noFill/>
                        <a:ln w="12700">
                          <a:solidFill>
                            <a:srgbClr val="0000FF"/>
                          </a:solidFill>
                          <a:prstDash val="dash"/>
                        </a:ln>
                      </wps:spPr>
                      <wps:style>
                        <a:lnRef idx="0">
                          <a:schemeClr val="accent1"/>
                        </a:lnRef>
                        <a:fillRef idx="0">
                          <a:schemeClr val="accent1"/>
                        </a:fillRef>
                        <a:effectRef idx="0">
                          <a:schemeClr val="accent1"/>
                        </a:effectRef>
                        <a:fontRef idx="minor">
                          <a:schemeClr val="dk1"/>
                        </a:fontRef>
                      </wps:style>
                      <wps:txbx>
                        <w:txbxContent>
                          <w:p w14:paraId="07BCCFFF">
                            <w:pPr>
                              <w:jc w:val="left"/>
                              <w:rPr>
                                <w:rFonts w:hint="default" w:eastAsia="宋体"/>
                                <w:b/>
                                <w:bCs/>
                                <w:color w:val="FF0000"/>
                                <w:lang w:val="en-US" w:eastAsia="zh-CN"/>
                              </w:rPr>
                            </w:pPr>
                            <w:r>
                              <w:rPr>
                                <w:rFonts w:hint="eastAsia" w:ascii="Times New Roman" w:hAnsi="Times New Roman" w:eastAsia="宋体" w:cs="Times New Roman"/>
                                <w:color w:val="0000FF"/>
                                <w:kern w:val="2"/>
                                <w:sz w:val="21"/>
                                <w:szCs w:val="21"/>
                                <w:lang w:val="en-US" w:eastAsia="zh-CN" w:bidi="ar-SA"/>
                              </w:rPr>
                              <w:t>手动线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pt;margin-top:180.1pt;height:55.95pt;width:75.25pt;z-index:251755520;mso-width-relative:page;mso-height-relative:page;" filled="f" stroked="t" coordsize="21600,21600" o:gfxdata="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hqDniNsAAAAJAQAADwAAAAAAAAABACAAAAAiAAAAZHJzL2Rvd25yZXYueG1sUEsBAhQAFAAAAAgA&#10;h07iQAB+DVVbAgAAqwQAAA4AAAAAAAAAAQAgAAAAKgEAAGRycy9lMm9Eb2MueG1sUEsFBgAAAAAG&#10;AAYAWQEAAPcFAAAAAA==&#10;">
                <v:fill on="f" focussize="0,0"/>
                <v:stroke weight="1pt" color="#0000FF [3204]" joinstyle="round" dashstyle="dash"/>
                <v:imagedata o:title=""/>
                <o:lock v:ext="edit" aspectratio="f"/>
                <v:textbox>
                  <w:txbxContent>
                    <w:p w14:paraId="07BCCFFF">
                      <w:pPr>
                        <w:jc w:val="left"/>
                        <w:rPr>
                          <w:rFonts w:hint="default" w:eastAsia="宋体"/>
                          <w:b/>
                          <w:bCs/>
                          <w:color w:val="FF0000"/>
                          <w:lang w:val="en-US" w:eastAsia="zh-CN"/>
                        </w:rPr>
                      </w:pPr>
                      <w:r>
                        <w:rPr>
                          <w:rFonts w:hint="eastAsia" w:ascii="Times New Roman" w:hAnsi="Times New Roman" w:eastAsia="宋体" w:cs="Times New Roman"/>
                          <w:color w:val="0000FF"/>
                          <w:kern w:val="2"/>
                          <w:sz w:val="21"/>
                          <w:szCs w:val="21"/>
                          <w:lang w:val="en-US" w:eastAsia="zh-CN" w:bidi="ar-SA"/>
                        </w:rPr>
                        <w:t>手动线</w:t>
                      </w:r>
                    </w:p>
                  </w:txbxContent>
                </v:textbox>
              </v:shape>
            </w:pict>
          </mc:Fallback>
        </mc:AlternateContent>
      </w:r>
      <w:r>
        <w:rPr>
          <w:color w:val="auto"/>
          <w:sz w:val="21"/>
        </w:rPr>
        <mc:AlternateContent>
          <mc:Choice Requires="wps">
            <w:drawing>
              <wp:anchor distT="0" distB="0" distL="114300" distR="114300" simplePos="0" relativeHeight="251754496" behindDoc="0" locked="0" layoutInCell="1" allowOverlap="1">
                <wp:simplePos x="0" y="0"/>
                <wp:positionH relativeFrom="column">
                  <wp:posOffset>114300</wp:posOffset>
                </wp:positionH>
                <wp:positionV relativeFrom="paragraph">
                  <wp:posOffset>2585720</wp:posOffset>
                </wp:positionV>
                <wp:extent cx="741045" cy="345440"/>
                <wp:effectExtent l="4445" t="4445" r="16510" b="12065"/>
                <wp:wrapNone/>
                <wp:docPr id="100" name="文本框 100"/>
                <wp:cNvGraphicFramePr/>
                <a:graphic xmlns:a="http://schemas.openxmlformats.org/drawingml/2006/main">
                  <a:graphicData uri="http://schemas.microsoft.com/office/word/2010/wordprocessingShape">
                    <wps:wsp>
                      <wps:cNvSpPr txBox="1"/>
                      <wps:spPr>
                        <a:xfrm>
                          <a:off x="0" y="0"/>
                          <a:ext cx="741045" cy="34544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60E3364">
                            <w:pPr>
                              <w:jc w:val="center"/>
                              <w:rPr>
                                <w:rFonts w:hint="default" w:eastAsia="宋体"/>
                                <w:sz w:val="18"/>
                                <w:szCs w:val="21"/>
                                <w:lang w:val="en-US" w:eastAsia="zh-CN"/>
                              </w:rPr>
                            </w:pPr>
                            <w:r>
                              <w:rPr>
                                <w:rFonts w:hint="eastAsia"/>
                                <w:sz w:val="18"/>
                                <w:szCs w:val="21"/>
                                <w:lang w:val="en-US" w:eastAsia="zh-CN"/>
                              </w:rPr>
                              <w:t>面包炉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9pt;margin-top:203.6pt;height:27.2pt;width:58.35pt;z-index:251754496;v-text-anchor:middle;mso-width-relative:page;mso-height-relative:page;" filled="f" stroked="t" coordsize="21600,21600" o:gfxdata="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47Dwh1wAAAAoBAAAP&#10;AAAAAAAAAAEAIAAAACIAAABkcnMvZG93bnJldi54bWxQSwECFAAUAAAACACHTuJAFD8fkFICAACT&#10;BAAADgAAAAAAAAABACAAAAAmAQAAZHJzL2Uyb0RvYy54bWxQSwUGAAAAAAYABgBZAQAA6gUAAAAA&#10;">
                <v:fill on="f" focussize="0,0"/>
                <v:stroke weight="0.5pt" color="#000000 [3204]" joinstyle="round"/>
                <v:imagedata o:title=""/>
                <o:lock v:ext="edit" aspectratio="f"/>
                <v:textbox>
                  <w:txbxContent>
                    <w:p w14:paraId="060E3364">
                      <w:pPr>
                        <w:jc w:val="center"/>
                        <w:rPr>
                          <w:rFonts w:hint="default" w:eastAsia="宋体"/>
                          <w:sz w:val="18"/>
                          <w:szCs w:val="21"/>
                          <w:lang w:val="en-US" w:eastAsia="zh-CN"/>
                        </w:rPr>
                      </w:pPr>
                      <w:r>
                        <w:rPr>
                          <w:rFonts w:hint="eastAsia"/>
                          <w:sz w:val="18"/>
                          <w:szCs w:val="21"/>
                          <w:lang w:val="en-US" w:eastAsia="zh-CN"/>
                        </w:rPr>
                        <w:t>面包炉</w:t>
                      </w:r>
                    </w:p>
                  </w:txbxContent>
                </v:textbox>
              </v:shape>
            </w:pict>
          </mc:Fallback>
        </mc:AlternateContent>
      </w:r>
      <w:r>
        <w:rPr>
          <w:color w:val="auto"/>
          <w:sz w:val="21"/>
        </w:rPr>
        <mc:AlternateContent>
          <mc:Choice Requires="wps">
            <w:drawing>
              <wp:anchor distT="0" distB="0" distL="114300" distR="114300" simplePos="0" relativeHeight="251751424" behindDoc="0" locked="0" layoutInCell="1" allowOverlap="1">
                <wp:simplePos x="0" y="0"/>
                <wp:positionH relativeFrom="column">
                  <wp:posOffset>1022350</wp:posOffset>
                </wp:positionH>
                <wp:positionV relativeFrom="paragraph">
                  <wp:posOffset>1499235</wp:posOffset>
                </wp:positionV>
                <wp:extent cx="4474845" cy="2249805"/>
                <wp:effectExtent l="6350" t="6350" r="14605" b="10795"/>
                <wp:wrapNone/>
                <wp:docPr id="82" name="文本框 82"/>
                <wp:cNvGraphicFramePr/>
                <a:graphic xmlns:a="http://schemas.openxmlformats.org/drawingml/2006/main">
                  <a:graphicData uri="http://schemas.microsoft.com/office/word/2010/wordprocessingShape">
                    <wps:wsp>
                      <wps:cNvSpPr txBox="1"/>
                      <wps:spPr>
                        <a:xfrm>
                          <a:off x="0" y="0"/>
                          <a:ext cx="4474845" cy="2249805"/>
                        </a:xfrm>
                        <a:prstGeom prst="rect">
                          <a:avLst/>
                        </a:prstGeom>
                        <a:noFill/>
                        <a:ln w="12700">
                          <a:solidFill>
                            <a:srgbClr val="FF0000"/>
                          </a:solidFill>
                          <a:prstDash val="dash"/>
                        </a:ln>
                      </wps:spPr>
                      <wps:style>
                        <a:lnRef idx="0">
                          <a:schemeClr val="accent1"/>
                        </a:lnRef>
                        <a:fillRef idx="0">
                          <a:schemeClr val="accent1"/>
                        </a:fillRef>
                        <a:effectRef idx="0">
                          <a:schemeClr val="accent1"/>
                        </a:effectRef>
                        <a:fontRef idx="minor">
                          <a:schemeClr val="dk1"/>
                        </a:fontRef>
                      </wps:style>
                      <wps:txbx>
                        <w:txbxContent>
                          <w:p w14:paraId="736852AC">
                            <w:pPr>
                              <w:rPr>
                                <w:rFonts w:hint="eastAsia"/>
                                <w:lang w:val="en-US" w:eastAsia="zh-CN"/>
                              </w:rPr>
                            </w:pPr>
                          </w:p>
                          <w:p w14:paraId="6D27E90B">
                            <w:pPr>
                              <w:rPr>
                                <w:rFonts w:hint="eastAsia"/>
                                <w:lang w:val="en-US" w:eastAsia="zh-CN"/>
                              </w:rPr>
                            </w:pPr>
                          </w:p>
                          <w:p w14:paraId="05BC5572">
                            <w:pPr>
                              <w:rPr>
                                <w:rFonts w:hint="eastAsia"/>
                                <w:lang w:val="en-US" w:eastAsia="zh-CN"/>
                              </w:rPr>
                            </w:pPr>
                          </w:p>
                          <w:p w14:paraId="50976698">
                            <w:pPr>
                              <w:rPr>
                                <w:rFonts w:hint="eastAsia"/>
                                <w:lang w:val="en-US" w:eastAsia="zh-CN"/>
                              </w:rPr>
                            </w:pPr>
                          </w:p>
                          <w:p w14:paraId="2C0C27DF">
                            <w:pPr>
                              <w:jc w:val="right"/>
                              <w:rPr>
                                <w:rFonts w:hint="eastAsia"/>
                                <w:lang w:val="en-US" w:eastAsia="zh-CN"/>
                              </w:rPr>
                            </w:pPr>
                          </w:p>
                          <w:p w14:paraId="14EC203E">
                            <w:pPr>
                              <w:jc w:val="right"/>
                              <w:rPr>
                                <w:rFonts w:hint="eastAsia"/>
                                <w:b/>
                                <w:bCs/>
                                <w:color w:val="FF0000"/>
                                <w:lang w:val="en-US" w:eastAsia="zh-CN"/>
                              </w:rPr>
                            </w:pPr>
                          </w:p>
                          <w:p w14:paraId="5BECFA88">
                            <w:pPr>
                              <w:jc w:val="right"/>
                              <w:rPr>
                                <w:rFonts w:hint="eastAsia"/>
                                <w:b/>
                                <w:bCs/>
                                <w:color w:val="FF0000"/>
                                <w:lang w:val="en-US" w:eastAsia="zh-CN"/>
                              </w:rPr>
                            </w:pPr>
                          </w:p>
                          <w:p w14:paraId="63E6F158">
                            <w:pPr>
                              <w:jc w:val="right"/>
                              <w:rPr>
                                <w:rFonts w:hint="eastAsia"/>
                                <w:b/>
                                <w:bCs/>
                                <w:color w:val="FF0000"/>
                                <w:lang w:val="en-US" w:eastAsia="zh-CN"/>
                              </w:rPr>
                            </w:pPr>
                          </w:p>
                          <w:p w14:paraId="65C12712">
                            <w:pPr>
                              <w:jc w:val="right"/>
                              <w:rPr>
                                <w:rFonts w:hint="eastAsia"/>
                                <w:b/>
                                <w:bCs/>
                                <w:color w:val="FF0000"/>
                                <w:lang w:val="en-US" w:eastAsia="zh-CN"/>
                              </w:rPr>
                            </w:pPr>
                          </w:p>
                          <w:p w14:paraId="16EF2CFE">
                            <w:pPr>
                              <w:jc w:val="right"/>
                              <w:rPr>
                                <w:rFonts w:hint="eastAsia"/>
                                <w:b/>
                                <w:bCs/>
                                <w:color w:val="FF0000"/>
                                <w:lang w:val="en-US" w:eastAsia="zh-CN"/>
                              </w:rPr>
                            </w:pPr>
                            <w:r>
                              <w:rPr>
                                <w:rFonts w:hint="eastAsia"/>
                                <w:b/>
                                <w:bCs/>
                                <w:color w:val="FF0000"/>
                                <w:lang w:val="en-US" w:eastAsia="zh-CN"/>
                              </w:rPr>
                              <w:t xml:space="preserve"> </w:t>
                            </w:r>
                          </w:p>
                          <w:p w14:paraId="67B895C5">
                            <w:pPr>
                              <w:jc w:val="right"/>
                              <w:rPr>
                                <w:rFonts w:hint="eastAsia"/>
                                <w:b/>
                                <w:bCs/>
                                <w:color w:val="FF0000"/>
                                <w:lang w:val="en-US" w:eastAsia="zh-CN"/>
                              </w:rPr>
                            </w:pPr>
                          </w:p>
                          <w:p w14:paraId="2E427BEA">
                            <w:pPr>
                              <w:jc w:val="right"/>
                              <w:rPr>
                                <w:rFonts w:hint="eastAsia"/>
                                <w:b/>
                                <w:bCs/>
                                <w:color w:val="FF0000"/>
                                <w:lang w:val="en-US" w:eastAsia="zh-CN"/>
                              </w:rPr>
                            </w:pPr>
                          </w:p>
                          <w:p w14:paraId="40A19AEC">
                            <w:pPr>
                              <w:jc w:val="right"/>
                              <w:rPr>
                                <w:rFonts w:hint="eastAsia"/>
                                <w:b/>
                                <w:bCs/>
                                <w:color w:val="FF0000"/>
                                <w:lang w:val="en-US" w:eastAsia="zh-CN"/>
                              </w:rPr>
                            </w:pPr>
                          </w:p>
                          <w:p w14:paraId="6A6ADBD4">
                            <w:pPr>
                              <w:jc w:val="right"/>
                              <w:rPr>
                                <w:rFonts w:hint="default" w:eastAsia="宋体"/>
                                <w:b/>
                                <w:bCs/>
                                <w:color w:val="FF0000"/>
                                <w:lang w:val="en-US" w:eastAsia="zh-CN"/>
                              </w:rPr>
                            </w:pPr>
                            <w:r>
                              <w:rPr>
                                <w:rFonts w:hint="eastAsia"/>
                                <w:b/>
                                <w:bCs/>
                                <w:color w:val="FF0000"/>
                                <w:lang w:val="en-US" w:eastAsia="zh-CN"/>
                              </w:rPr>
                              <w:t>自动线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5pt;margin-top:118.05pt;height:177.15pt;width:352.35pt;z-index:251751424;mso-width-relative:page;mso-height-relative:page;" filled="f" stroked="t" coordsize="21600,21600" o:gfxdata="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qa/+sdsAAAALAQAADwAAAAAAAAABACAAAAAiAAAAZHJzL2Rvd25yZXYueG1sUEsBAhQAFAAA&#10;AAgAh07iQK5MSC9eAgAAqwQAAA4AAAAAAAAAAQAgAAAAKgEAAGRycy9lMm9Eb2MueG1sUEsFBgAA&#10;AAAGAAYAWQEAAPoFAAAAAA==&#10;">
                <v:fill on="f" focussize="0,0"/>
                <v:stroke weight="1pt" color="#FF0000 [3204]" joinstyle="round" dashstyle="dash"/>
                <v:imagedata o:title=""/>
                <o:lock v:ext="edit" aspectratio="f"/>
                <v:textbox>
                  <w:txbxContent>
                    <w:p w14:paraId="736852AC">
                      <w:pPr>
                        <w:rPr>
                          <w:rFonts w:hint="eastAsia"/>
                          <w:lang w:val="en-US" w:eastAsia="zh-CN"/>
                        </w:rPr>
                      </w:pPr>
                    </w:p>
                    <w:p w14:paraId="6D27E90B">
                      <w:pPr>
                        <w:rPr>
                          <w:rFonts w:hint="eastAsia"/>
                          <w:lang w:val="en-US" w:eastAsia="zh-CN"/>
                        </w:rPr>
                      </w:pPr>
                    </w:p>
                    <w:p w14:paraId="05BC5572">
                      <w:pPr>
                        <w:rPr>
                          <w:rFonts w:hint="eastAsia"/>
                          <w:lang w:val="en-US" w:eastAsia="zh-CN"/>
                        </w:rPr>
                      </w:pPr>
                    </w:p>
                    <w:p w14:paraId="50976698">
                      <w:pPr>
                        <w:rPr>
                          <w:rFonts w:hint="eastAsia"/>
                          <w:lang w:val="en-US" w:eastAsia="zh-CN"/>
                        </w:rPr>
                      </w:pPr>
                    </w:p>
                    <w:p w14:paraId="2C0C27DF">
                      <w:pPr>
                        <w:jc w:val="right"/>
                        <w:rPr>
                          <w:rFonts w:hint="eastAsia"/>
                          <w:lang w:val="en-US" w:eastAsia="zh-CN"/>
                        </w:rPr>
                      </w:pPr>
                    </w:p>
                    <w:p w14:paraId="14EC203E">
                      <w:pPr>
                        <w:jc w:val="right"/>
                        <w:rPr>
                          <w:rFonts w:hint="eastAsia"/>
                          <w:b/>
                          <w:bCs/>
                          <w:color w:val="FF0000"/>
                          <w:lang w:val="en-US" w:eastAsia="zh-CN"/>
                        </w:rPr>
                      </w:pPr>
                    </w:p>
                    <w:p w14:paraId="5BECFA88">
                      <w:pPr>
                        <w:jc w:val="right"/>
                        <w:rPr>
                          <w:rFonts w:hint="eastAsia"/>
                          <w:b/>
                          <w:bCs/>
                          <w:color w:val="FF0000"/>
                          <w:lang w:val="en-US" w:eastAsia="zh-CN"/>
                        </w:rPr>
                      </w:pPr>
                    </w:p>
                    <w:p w14:paraId="63E6F158">
                      <w:pPr>
                        <w:jc w:val="right"/>
                        <w:rPr>
                          <w:rFonts w:hint="eastAsia"/>
                          <w:b/>
                          <w:bCs/>
                          <w:color w:val="FF0000"/>
                          <w:lang w:val="en-US" w:eastAsia="zh-CN"/>
                        </w:rPr>
                      </w:pPr>
                    </w:p>
                    <w:p w14:paraId="65C12712">
                      <w:pPr>
                        <w:jc w:val="right"/>
                        <w:rPr>
                          <w:rFonts w:hint="eastAsia"/>
                          <w:b/>
                          <w:bCs/>
                          <w:color w:val="FF0000"/>
                          <w:lang w:val="en-US" w:eastAsia="zh-CN"/>
                        </w:rPr>
                      </w:pPr>
                    </w:p>
                    <w:p w14:paraId="16EF2CFE">
                      <w:pPr>
                        <w:jc w:val="right"/>
                        <w:rPr>
                          <w:rFonts w:hint="eastAsia"/>
                          <w:b/>
                          <w:bCs/>
                          <w:color w:val="FF0000"/>
                          <w:lang w:val="en-US" w:eastAsia="zh-CN"/>
                        </w:rPr>
                      </w:pPr>
                      <w:r>
                        <w:rPr>
                          <w:rFonts w:hint="eastAsia"/>
                          <w:b/>
                          <w:bCs/>
                          <w:color w:val="FF0000"/>
                          <w:lang w:val="en-US" w:eastAsia="zh-CN"/>
                        </w:rPr>
                        <w:t xml:space="preserve"> </w:t>
                      </w:r>
                    </w:p>
                    <w:p w14:paraId="67B895C5">
                      <w:pPr>
                        <w:jc w:val="right"/>
                        <w:rPr>
                          <w:rFonts w:hint="eastAsia"/>
                          <w:b/>
                          <w:bCs/>
                          <w:color w:val="FF0000"/>
                          <w:lang w:val="en-US" w:eastAsia="zh-CN"/>
                        </w:rPr>
                      </w:pPr>
                    </w:p>
                    <w:p w14:paraId="2E427BEA">
                      <w:pPr>
                        <w:jc w:val="right"/>
                        <w:rPr>
                          <w:rFonts w:hint="eastAsia"/>
                          <w:b/>
                          <w:bCs/>
                          <w:color w:val="FF0000"/>
                          <w:lang w:val="en-US" w:eastAsia="zh-CN"/>
                        </w:rPr>
                      </w:pPr>
                    </w:p>
                    <w:p w14:paraId="40A19AEC">
                      <w:pPr>
                        <w:jc w:val="right"/>
                        <w:rPr>
                          <w:rFonts w:hint="eastAsia"/>
                          <w:b/>
                          <w:bCs/>
                          <w:color w:val="FF0000"/>
                          <w:lang w:val="en-US" w:eastAsia="zh-CN"/>
                        </w:rPr>
                      </w:pPr>
                    </w:p>
                    <w:p w14:paraId="6A6ADBD4">
                      <w:pPr>
                        <w:jc w:val="right"/>
                        <w:rPr>
                          <w:rFonts w:hint="default" w:eastAsia="宋体"/>
                          <w:b/>
                          <w:bCs/>
                          <w:color w:val="FF0000"/>
                          <w:lang w:val="en-US" w:eastAsia="zh-CN"/>
                        </w:rPr>
                      </w:pPr>
                      <w:r>
                        <w:rPr>
                          <w:rFonts w:hint="eastAsia"/>
                          <w:b/>
                          <w:bCs/>
                          <w:color w:val="FF0000"/>
                          <w:lang w:val="en-US" w:eastAsia="zh-CN"/>
                        </w:rPr>
                        <w:t>自动线</w:t>
                      </w:r>
                    </w:p>
                  </w:txbxContent>
                </v:textbox>
              </v:shape>
            </w:pict>
          </mc:Fallback>
        </mc:AlternateContent>
      </w:r>
      <w:r>
        <w:rPr>
          <w:color w:val="auto"/>
          <w:sz w:val="21"/>
        </w:rPr>
        <mc:AlternateContent>
          <mc:Choice Requires="wps">
            <w:drawing>
              <wp:anchor distT="0" distB="0" distL="114300" distR="114300" simplePos="0" relativeHeight="251731968" behindDoc="0" locked="0" layoutInCell="1" allowOverlap="1">
                <wp:simplePos x="0" y="0"/>
                <wp:positionH relativeFrom="column">
                  <wp:posOffset>1114425</wp:posOffset>
                </wp:positionH>
                <wp:positionV relativeFrom="paragraph">
                  <wp:posOffset>2586990</wp:posOffset>
                </wp:positionV>
                <wp:extent cx="3816350" cy="1070610"/>
                <wp:effectExtent l="5080" t="4445" r="7620" b="10795"/>
                <wp:wrapNone/>
                <wp:docPr id="53" name="文本框 53"/>
                <wp:cNvGraphicFramePr/>
                <a:graphic xmlns:a="http://schemas.openxmlformats.org/drawingml/2006/main">
                  <a:graphicData uri="http://schemas.microsoft.com/office/word/2010/wordprocessingShape">
                    <wps:wsp>
                      <wps:cNvSpPr txBox="1"/>
                      <wps:spPr>
                        <a:xfrm>
                          <a:off x="0" y="0"/>
                          <a:ext cx="3816350" cy="1070610"/>
                        </a:xfrm>
                        <a:prstGeom prst="rect">
                          <a:avLst/>
                        </a:prstGeom>
                        <a:solidFill>
                          <a:schemeClr val="bg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28BB4BC">
                            <w:pPr>
                              <w:jc w:val="center"/>
                              <w:rPr>
                                <w:rFonts w:hint="default" w:eastAsia="宋体"/>
                                <w:sz w:val="18"/>
                                <w:szCs w:val="21"/>
                                <w:highlight w:val="none"/>
                                <w:lang w:val="en-US" w:eastAsia="zh-CN"/>
                              </w:rPr>
                            </w:pPr>
                            <w:r>
                              <w:rPr>
                                <w:rFonts w:hint="default"/>
                                <w:sz w:val="18"/>
                                <w:szCs w:val="21"/>
                                <w:highlight w:val="none"/>
                                <w:lang w:val="en-US" w:eastAsia="zh-CN"/>
                              </w:rPr>
                              <w:t>自动前处理线、</w:t>
                            </w:r>
                            <w:r>
                              <w:rPr>
                                <w:rFonts w:hint="default"/>
                                <w:color w:val="000000" w:themeColor="text1"/>
                                <w:sz w:val="18"/>
                                <w:szCs w:val="21"/>
                                <w:highlight w:val="none"/>
                                <w:lang w:val="en-US"/>
                                <w14:textFill>
                                  <w14:solidFill>
                                    <w14:schemeClr w14:val="tx1"/>
                                  </w14:solidFill>
                                </w14:textFill>
                              </w:rPr>
                              <w:t>烘干线+固化线（一体线）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87.75pt;margin-top:203.7pt;height:84.3pt;width:300.5pt;z-index:251731968;v-text-anchor:middle;mso-width-relative:page;mso-height-relative:page;" fillcolor="#FFFFFF [3212]" filled="t" stroked="t" coordsize="21600,21600" o:gfxdata="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vMNgg&#10;2QAAAAsBAAAPAAAAAAAAAAEAIAAAACIAAABkcnMvZG93bnJldi54bWxQSwECFAAUAAAACACHTuJA&#10;nfwwilkCAAC8BAAADgAAAAAAAAABACAAAAAoAQAAZHJzL2Uyb0RvYy54bWxQSwUGAAAAAAYABgBZ&#10;AQAA8wUAAAAA&#10;">
                <v:fill on="t" focussize="0,0"/>
                <v:stroke weight="0.5pt" color="#000000 [3204]" joinstyle="round"/>
                <v:imagedata o:title=""/>
                <o:lock v:ext="edit" aspectratio="f"/>
                <v:textbox>
                  <w:txbxContent>
                    <w:p w14:paraId="528BB4BC">
                      <w:pPr>
                        <w:jc w:val="center"/>
                        <w:rPr>
                          <w:rFonts w:hint="default" w:eastAsia="宋体"/>
                          <w:sz w:val="18"/>
                          <w:szCs w:val="21"/>
                          <w:highlight w:val="none"/>
                          <w:lang w:val="en-US" w:eastAsia="zh-CN"/>
                        </w:rPr>
                      </w:pPr>
                      <w:r>
                        <w:rPr>
                          <w:rFonts w:hint="default"/>
                          <w:sz w:val="18"/>
                          <w:szCs w:val="21"/>
                          <w:highlight w:val="none"/>
                          <w:lang w:val="en-US" w:eastAsia="zh-CN"/>
                        </w:rPr>
                        <w:t>自动前处理线、</w:t>
                      </w:r>
                      <w:r>
                        <w:rPr>
                          <w:rFonts w:hint="default"/>
                          <w:color w:val="000000" w:themeColor="text1"/>
                          <w:sz w:val="18"/>
                          <w:szCs w:val="21"/>
                          <w:highlight w:val="none"/>
                          <w:lang w:val="en-US"/>
                          <w14:textFill>
                            <w14:solidFill>
                              <w14:schemeClr w14:val="tx1"/>
                            </w14:solidFill>
                          </w14:textFill>
                        </w:rPr>
                        <w:t>烘干线+固化线（一体线）</w:t>
                      </w:r>
                    </w:p>
                  </w:txbxContent>
                </v:textbox>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1124585</wp:posOffset>
                </wp:positionH>
                <wp:positionV relativeFrom="paragraph">
                  <wp:posOffset>1628775</wp:posOffset>
                </wp:positionV>
                <wp:extent cx="3808095" cy="732155"/>
                <wp:effectExtent l="4445" t="4445" r="16510" b="6350"/>
                <wp:wrapNone/>
                <wp:docPr id="155" name="文本框 155"/>
                <wp:cNvGraphicFramePr/>
                <a:graphic xmlns:a="http://schemas.openxmlformats.org/drawingml/2006/main">
                  <a:graphicData uri="http://schemas.microsoft.com/office/word/2010/wordprocessingShape">
                    <wps:wsp>
                      <wps:cNvSpPr txBox="1"/>
                      <wps:spPr>
                        <a:xfrm>
                          <a:off x="2731770" y="3391535"/>
                          <a:ext cx="3808095" cy="73215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6FF0157">
                            <w:pPr>
                              <w:jc w:val="center"/>
                              <w:rPr>
                                <w:rFonts w:hint="default" w:eastAsia="宋体"/>
                                <w:sz w:val="18"/>
                                <w:szCs w:val="21"/>
                                <w:lang w:val="en-US" w:eastAsia="zh-CN"/>
                              </w:rPr>
                            </w:pPr>
                            <w:r>
                              <w:rPr>
                                <w:rFonts w:hint="eastAsia"/>
                                <w:sz w:val="18"/>
                                <w:szCs w:val="21"/>
                                <w:lang w:val="en-US" w:eastAsia="zh-CN"/>
                              </w:rPr>
                              <w:t>自动喷粉房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88.55pt;margin-top:128.25pt;height:57.65pt;width:299.85pt;z-index:251688960;v-text-anchor:middle;mso-width-relative:page;mso-height-relative:page;" filled="f" stroked="t" coordsize="21600,21600" o:gfxdata="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I5tT42AAAAAsBAAAPAAAAAAAAAAEAIAAAACIAAABkcnMvZG93bnJldi54bWxQSwECFAAUAAAA&#10;CACHTuJA9nqOd2ACAACgBAAADgAAAAAAAAABACAAAAAnAQAAZHJzL2Uyb0RvYy54bWxQSwUGAAAA&#10;AAYABgBZAQAA+QUAAAAA&#10;">
                <v:fill on="f" focussize="0,0"/>
                <v:stroke weight="0.5pt" color="#000000 [3204]" joinstyle="round"/>
                <v:imagedata o:title=""/>
                <o:lock v:ext="edit" aspectratio="f"/>
                <v:textbox>
                  <w:txbxContent>
                    <w:p w14:paraId="56FF0157">
                      <w:pPr>
                        <w:jc w:val="center"/>
                        <w:rPr>
                          <w:rFonts w:hint="default" w:eastAsia="宋体"/>
                          <w:sz w:val="18"/>
                          <w:szCs w:val="21"/>
                          <w:lang w:val="en-US" w:eastAsia="zh-CN"/>
                        </w:rPr>
                      </w:pPr>
                      <w:r>
                        <w:rPr>
                          <w:rFonts w:hint="eastAsia"/>
                          <w:sz w:val="18"/>
                          <w:szCs w:val="21"/>
                          <w:lang w:val="en-US" w:eastAsia="zh-CN"/>
                        </w:rPr>
                        <w:t>自动喷粉房</w:t>
                      </w:r>
                    </w:p>
                  </w:txbxContent>
                </v:textbox>
              </v:shape>
            </w:pict>
          </mc:Fallback>
        </mc:AlternateContent>
      </w:r>
      <w:r>
        <w:rPr>
          <w:color w:val="auto"/>
          <w:sz w:val="21"/>
        </w:rPr>
        <mc:AlternateContent>
          <mc:Choice Requires="wps">
            <w:drawing>
              <wp:anchor distT="0" distB="0" distL="114300" distR="114300" simplePos="0" relativeHeight="251749376" behindDoc="0" locked="0" layoutInCell="1" allowOverlap="1">
                <wp:simplePos x="0" y="0"/>
                <wp:positionH relativeFrom="column">
                  <wp:posOffset>4209415</wp:posOffset>
                </wp:positionH>
                <wp:positionV relativeFrom="paragraph">
                  <wp:posOffset>346075</wp:posOffset>
                </wp:positionV>
                <wp:extent cx="1220470" cy="551180"/>
                <wp:effectExtent l="5080" t="4445" r="12700" b="15875"/>
                <wp:wrapNone/>
                <wp:docPr id="74" name="文本框 74"/>
                <wp:cNvGraphicFramePr/>
                <a:graphic xmlns:a="http://schemas.openxmlformats.org/drawingml/2006/main">
                  <a:graphicData uri="http://schemas.microsoft.com/office/word/2010/wordprocessingShape">
                    <wps:wsp>
                      <wps:cNvSpPr txBox="1"/>
                      <wps:spPr>
                        <a:xfrm>
                          <a:off x="0" y="0"/>
                          <a:ext cx="1220470" cy="5511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FCBF19">
                            <w:pPr>
                              <w:jc w:val="center"/>
                              <w:rPr>
                                <w:rFonts w:hint="default" w:eastAsia="宋体"/>
                                <w:sz w:val="18"/>
                                <w:szCs w:val="21"/>
                                <w:lang w:val="en-US" w:eastAsia="zh-CN"/>
                              </w:rPr>
                            </w:pPr>
                            <w:r>
                              <w:rPr>
                                <w:rFonts w:hint="eastAsia"/>
                                <w:sz w:val="18"/>
                                <w:szCs w:val="21"/>
                                <w:lang w:val="en-US" w:eastAsia="zh-CN"/>
                              </w:rPr>
                              <w:t>手动喷粉柜</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331.45pt;margin-top:27.25pt;height:43.4pt;width:96.1pt;z-index:251749376;v-text-anchor:middle;mso-width-relative:page;mso-height-relative:page;" filled="f" stroked="t" coordsize="21600,21600" o:gfxdata="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im7s/YAAAACgEA&#10;AA8AAAAAAAAAAQAgAAAAIgAAAGRycy9kb3ducmV2LnhtbFBLAQIUABQAAAAIAIdO4kC5gjXRUwIA&#10;AJIEAAAOAAAAAAAAAAEAIAAAACcBAABkcnMvZTJvRG9jLnhtbFBLBQYAAAAABgAGAFkBAADsBQAA&#10;AAA=&#10;">
                <v:fill on="f" focussize="0,0"/>
                <v:stroke weight="0.5pt" color="#000000 [3204]" joinstyle="round"/>
                <v:imagedata o:title=""/>
                <o:lock v:ext="edit" aspectratio="f"/>
                <v:textbox>
                  <w:txbxContent>
                    <w:p w14:paraId="7BFCBF19">
                      <w:pPr>
                        <w:jc w:val="center"/>
                        <w:rPr>
                          <w:rFonts w:hint="default" w:eastAsia="宋体"/>
                          <w:sz w:val="18"/>
                          <w:szCs w:val="21"/>
                          <w:lang w:val="en-US" w:eastAsia="zh-CN"/>
                        </w:rPr>
                      </w:pPr>
                      <w:r>
                        <w:rPr>
                          <w:rFonts w:hint="eastAsia"/>
                          <w:sz w:val="18"/>
                          <w:szCs w:val="21"/>
                          <w:lang w:val="en-US" w:eastAsia="zh-CN"/>
                        </w:rPr>
                        <w:t>手动喷粉柜</w:t>
                      </w:r>
                    </w:p>
                  </w:txbxContent>
                </v:textbox>
              </v:shape>
            </w:pict>
          </mc:Fallback>
        </mc:AlternateContent>
      </w:r>
      <w:r>
        <w:rPr>
          <w:color w:val="auto"/>
        </w:rPr>
        <mc:AlternateContent>
          <mc:Choice Requires="wpg">
            <w:drawing>
              <wp:anchor distT="0" distB="0" distL="114300" distR="114300" simplePos="0" relativeHeight="251739136" behindDoc="0" locked="0" layoutInCell="1" allowOverlap="1">
                <wp:simplePos x="0" y="0"/>
                <wp:positionH relativeFrom="column">
                  <wp:posOffset>98425</wp:posOffset>
                </wp:positionH>
                <wp:positionV relativeFrom="paragraph">
                  <wp:posOffset>3802380</wp:posOffset>
                </wp:positionV>
                <wp:extent cx="571500" cy="368300"/>
                <wp:effectExtent l="0" t="0" r="19050" b="0"/>
                <wp:wrapNone/>
                <wp:docPr id="108" name="组合 108"/>
                <wp:cNvGraphicFramePr/>
                <a:graphic xmlns:a="http://schemas.openxmlformats.org/drawingml/2006/main">
                  <a:graphicData uri="http://schemas.microsoft.com/office/word/2010/wordprocessingGroup">
                    <wpg:wgp>
                      <wpg:cNvGrpSpPr/>
                      <wpg:grpSpPr>
                        <a:xfrm>
                          <a:off x="0" y="0"/>
                          <a:ext cx="571500" cy="368300"/>
                          <a:chOff x="11962" y="585975"/>
                          <a:chExt cx="915" cy="591"/>
                        </a:xfrm>
                      </wpg:grpSpPr>
                      <wps:wsp>
                        <wps:cNvPr id="104" name="直接连接符 104"/>
                        <wps:cNvCnPr/>
                        <wps:spPr>
                          <a:xfrm>
                            <a:off x="11962" y="586177"/>
                            <a:ext cx="915" cy="1"/>
                          </a:xfrm>
                          <a:prstGeom prst="line">
                            <a:avLst/>
                          </a:prstGeom>
                          <a:ln w="19050" cap="flat" cmpd="sng">
                            <a:solidFill>
                              <a:srgbClr val="000000"/>
                            </a:solidFill>
                            <a:prstDash val="solid"/>
                            <a:headEnd type="none" w="med" len="med"/>
                            <a:tailEnd type="none" w="med" len="med"/>
                          </a:ln>
                        </wps:spPr>
                        <wps:bodyPr upright="1"/>
                      </wps:wsp>
                      <wps:wsp>
                        <wps:cNvPr id="105" name="直接连接符 105"/>
                        <wps:cNvCnPr/>
                        <wps:spPr>
                          <a:xfrm flipV="1">
                            <a:off x="12862" y="585975"/>
                            <a:ext cx="1" cy="203"/>
                          </a:xfrm>
                          <a:prstGeom prst="line">
                            <a:avLst/>
                          </a:prstGeom>
                          <a:ln w="19050" cap="flat" cmpd="sng">
                            <a:solidFill>
                              <a:srgbClr val="000000"/>
                            </a:solidFill>
                            <a:prstDash val="solid"/>
                            <a:headEnd type="none" w="med" len="med"/>
                            <a:tailEnd type="none" w="med" len="med"/>
                          </a:ln>
                        </wps:spPr>
                        <wps:bodyPr upright="1"/>
                      </wps:wsp>
                      <wps:wsp>
                        <wps:cNvPr id="106" name="直接连接符 106"/>
                        <wps:cNvCnPr/>
                        <wps:spPr>
                          <a:xfrm flipV="1">
                            <a:off x="11977" y="585985"/>
                            <a:ext cx="1" cy="203"/>
                          </a:xfrm>
                          <a:prstGeom prst="line">
                            <a:avLst/>
                          </a:prstGeom>
                          <a:ln w="19050" cap="flat" cmpd="sng">
                            <a:solidFill>
                              <a:srgbClr val="000000"/>
                            </a:solidFill>
                            <a:prstDash val="solid"/>
                            <a:headEnd type="none" w="med" len="med"/>
                            <a:tailEnd type="none" w="med" len="med"/>
                          </a:ln>
                        </wps:spPr>
                        <wps:bodyPr upright="1"/>
                      </wps:wsp>
                      <wps:wsp>
                        <wps:cNvPr id="107" name="文本框 107"/>
                        <wps:cNvSpPr txBox="1"/>
                        <wps:spPr>
                          <a:xfrm>
                            <a:off x="12128" y="586146"/>
                            <a:ext cx="705" cy="420"/>
                          </a:xfrm>
                          <a:prstGeom prst="rect">
                            <a:avLst/>
                          </a:prstGeom>
                          <a:noFill/>
                          <a:ln>
                            <a:noFill/>
                          </a:ln>
                        </wps:spPr>
                        <wps:txbx>
                          <w:txbxContent>
                            <w:p w14:paraId="7BB7EC67">
                              <w:pPr>
                                <w:rPr>
                                  <w:rFonts w:hint="default" w:eastAsia="宋体"/>
                                  <w:b/>
                                  <w:bCs/>
                                  <w:color w:val="000000"/>
                                  <w:lang w:val="en-US" w:eastAsia="zh-CN"/>
                                </w:rPr>
                              </w:pPr>
                              <w:r>
                                <w:rPr>
                                  <w:rFonts w:hint="eastAsia"/>
                                  <w:b/>
                                  <w:bCs/>
                                  <w:color w:val="000000"/>
                                  <w:lang w:val="en-US" w:eastAsia="zh-CN"/>
                                </w:rPr>
                                <w:t>3m</w:t>
                              </w:r>
                            </w:p>
                          </w:txbxContent>
                        </wps:txbx>
                        <wps:bodyPr upright="1"/>
                      </wps:wsp>
                    </wpg:wgp>
                  </a:graphicData>
                </a:graphic>
              </wp:anchor>
            </w:drawing>
          </mc:Choice>
          <mc:Fallback>
            <w:pict>
              <v:group id="_x0000_s1026" o:spid="_x0000_s1026" o:spt="203" style="position:absolute;left:0pt;margin-left:7.75pt;margin-top:299.4pt;height:29pt;width:45pt;z-index:251739136;mso-width-relative:page;mso-height-relative:page;" coordorigin="11962,585975" coordsize="915,591" o:gfxdata="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">
                <o:lock v:ext="edit" aspectratio="f"/>
                <v:line id="_x0000_s1026" o:spid="_x0000_s1026" o:spt="20" style="position:absolute;left:11962;top:586177;height:1;width:915;" filled="f" stroked="t" coordsize="21600,21600" o:gfxdata="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MRazb4A&#10;AADcAAAADwAAAAAAAAABACAAAAAiAAAAZHJzL2Rvd25yZXYueG1sUEsBAhQAFAAAAAgAh07iQDMv&#10;BZ47AAAAOQAAABAAAAAAAAAAAQAgAAAADQEAAGRycy9zaGFwZXhtbC54bWxQSwUGAAAAAAYABgBb&#10;AQAAtwMAAAAA&#10;">
                  <v:fill on="f" focussize="0,0"/>
                  <v:stroke weight="1.5pt" color="#000000" joinstyle="round"/>
                  <v:imagedata o:title=""/>
                  <o:lock v:ext="edit" aspectratio="f"/>
                </v:line>
                <v:line id="_x0000_s1026" o:spid="_x0000_s1026" o:spt="20" style="position:absolute;left:12862;top:585975;flip:y;height:203;width:1;" filled="f" stroked="t" coordsize="21600,21600" o:gfxdata="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FVSpy5AAAA3AAA&#10;AA8AAAAAAAAAAQAgAAAAIgAAAGRycy9kb3ducmV2LnhtbFBLAQIUABQAAAAIAIdO4kAzLwWeOwAA&#10;ADkAAAAQAAAAAAAAAAEAIAAAAAgBAABkcnMvc2hhcGV4bWwueG1sUEsFBgAAAAAGAAYAWwEAALID&#10;AAAAAA==&#10;">
                  <v:fill on="f" focussize="0,0"/>
                  <v:stroke weight="1.5pt" color="#000000" joinstyle="round"/>
                  <v:imagedata o:title=""/>
                  <o:lock v:ext="edit" aspectratio="f"/>
                </v:line>
                <v:line id="_x0000_s1026" o:spid="_x0000_s1026" o:spt="20" style="position:absolute;left:11977;top:585985;flip:y;height:203;width:1;" filled="f" stroked="t" coordsize="21600,21600" o:gfxdata="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GH1Ou5AAAA3AAA&#10;AA8AAAAAAAAAAQAgAAAAIgAAAGRycy9kb3ducmV2LnhtbFBLAQIUABQAAAAIAIdO4kAzLwWeOwAA&#10;ADkAAAAQAAAAAAAAAAEAIAAAAAgBAABkcnMvc2hhcGV4bWwueG1sUEsFBgAAAAAGAAYAWwEAALID&#10;AAAAAA==&#10;">
                  <v:fill on="f" focussize="0,0"/>
                  <v:stroke weight="1.5pt" color="#000000" joinstyle="round"/>
                  <v:imagedata o:title=""/>
                  <o:lock v:ext="edit" aspectratio="f"/>
                </v:line>
                <v:shape id="_x0000_s1026" o:spid="_x0000_s1026" o:spt="202" type="#_x0000_t202" style="position:absolute;left:12128;top:586146;height:420;width:705;" filled="f" stroked="f" coordsize="21600,21600" o:gfxdata="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XngBm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7BB7EC67">
                        <w:pPr>
                          <w:rPr>
                            <w:rFonts w:hint="default" w:eastAsia="宋体"/>
                            <w:b/>
                            <w:bCs/>
                            <w:color w:val="000000"/>
                            <w:lang w:val="en-US" w:eastAsia="zh-CN"/>
                          </w:rPr>
                        </w:pPr>
                        <w:r>
                          <w:rPr>
                            <w:rFonts w:hint="eastAsia"/>
                            <w:b/>
                            <w:bCs/>
                            <w:color w:val="000000"/>
                            <w:lang w:val="en-US" w:eastAsia="zh-CN"/>
                          </w:rPr>
                          <w:t>3m</w:t>
                        </w:r>
                      </w:p>
                    </w:txbxContent>
                  </v:textbox>
                </v:shape>
              </v:group>
            </w:pict>
          </mc:Fallback>
        </mc:AlternateContent>
      </w:r>
    </w:p>
    <w:p w14:paraId="177ECE27">
      <w:pPr>
        <w:pStyle w:val="46"/>
        <w:rPr>
          <w:rFonts w:hint="eastAsia"/>
          <w:color w:val="auto"/>
          <w:lang w:eastAsia="zh-CN"/>
        </w:rPr>
      </w:pPr>
      <w:r>
        <w:rPr>
          <w:rFonts w:hint="eastAsia"/>
          <w:color w:val="auto"/>
          <w:lang w:eastAsia="zh-CN"/>
        </w:rPr>
        <w:drawing>
          <wp:inline distT="0" distB="0" distL="114300" distR="114300">
            <wp:extent cx="5576570" cy="8273415"/>
            <wp:effectExtent l="0" t="0" r="5080" b="13335"/>
            <wp:docPr id="2" name="图片 2" descr="1603915bb3f42af85fe6c3f6d07728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03915bb3f42af85fe6c3f6d07728db"/>
                    <pic:cNvPicPr>
                      <a:picLocks noChangeAspect="1"/>
                    </pic:cNvPicPr>
                  </pic:nvPicPr>
                  <pic:blipFill>
                    <a:blip r:embed="rId24">
                      <a:lum bright="12000"/>
                    </a:blip>
                    <a:stretch>
                      <a:fillRect/>
                    </a:stretch>
                  </pic:blipFill>
                  <pic:spPr>
                    <a:xfrm>
                      <a:off x="0" y="0"/>
                      <a:ext cx="5576570" cy="8273415"/>
                    </a:xfrm>
                    <a:prstGeom prst="rect">
                      <a:avLst/>
                    </a:prstGeom>
                  </pic:spPr>
                </pic:pic>
              </a:graphicData>
            </a:graphic>
          </wp:inline>
        </w:drawing>
      </w:r>
    </w:p>
    <w:p w14:paraId="4AE1B408">
      <w:pPr>
        <w:pStyle w:val="46"/>
        <w:rPr>
          <w:rFonts w:hint="default"/>
          <w:color w:val="auto"/>
          <w:lang w:val="en-US" w:eastAsia="zh-CN"/>
        </w:rPr>
        <w:sectPr>
          <w:pgSz w:w="11907" w:h="16839"/>
          <w:pgMar w:top="1701" w:right="1531" w:bottom="1701" w:left="1531" w:header="851" w:footer="567"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t>附图4-1  中山市自然资源局关于项目所在地用地规划信息公开的答复</w:t>
      </w:r>
    </w:p>
    <w:p w14:paraId="17F2D476">
      <w:pPr>
        <w:rPr>
          <w:rFonts w:hint="eastAsia"/>
          <w:color w:val="auto"/>
          <w:lang w:eastAsia="zh-CN"/>
        </w:rPr>
      </w:pPr>
      <w:r>
        <w:rPr>
          <w:color w:val="auto"/>
          <w:sz w:val="21"/>
        </w:rPr>
        <mc:AlternateContent>
          <mc:Choice Requires="wps">
            <w:drawing>
              <wp:anchor distT="0" distB="0" distL="114300" distR="114300" simplePos="0" relativeHeight="251746304" behindDoc="0" locked="0" layoutInCell="1" allowOverlap="1">
                <wp:simplePos x="0" y="0"/>
                <wp:positionH relativeFrom="column">
                  <wp:posOffset>5787390</wp:posOffset>
                </wp:positionH>
                <wp:positionV relativeFrom="paragraph">
                  <wp:posOffset>1551940</wp:posOffset>
                </wp:positionV>
                <wp:extent cx="1166495" cy="363855"/>
                <wp:effectExtent l="42545" t="6350" r="10160" b="734695"/>
                <wp:wrapNone/>
                <wp:docPr id="79" name="矩形标注 79"/>
                <wp:cNvGraphicFramePr/>
                <a:graphic xmlns:a="http://schemas.openxmlformats.org/drawingml/2006/main">
                  <a:graphicData uri="http://schemas.microsoft.com/office/word/2010/wordprocessingShape">
                    <wps:wsp>
                      <wps:cNvSpPr/>
                      <wps:spPr>
                        <a:xfrm>
                          <a:off x="5947410" y="2879725"/>
                          <a:ext cx="1166495" cy="363855"/>
                        </a:xfrm>
                        <a:prstGeom prst="wedgeRectCallout">
                          <a:avLst>
                            <a:gd name="adj1" fmla="val -52123"/>
                            <a:gd name="adj2" fmla="val 239922"/>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F8268F">
                            <w:pPr>
                              <w:jc w:val="center"/>
                              <w:rPr>
                                <w:rFonts w:hint="default" w:ascii="宋体" w:hAnsi="Times New Roman" w:eastAsia="宋体" w:cs="宋体"/>
                                <w:color w:val="000000"/>
                                <w:kern w:val="2"/>
                                <w:sz w:val="24"/>
                                <w:szCs w:val="24"/>
                                <w:lang w:val="en-US" w:eastAsia="zh-CN" w:bidi="ar-SA"/>
                              </w:rPr>
                            </w:pPr>
                            <w:r>
                              <w:rPr>
                                <w:rFonts w:hint="eastAsia" w:ascii="宋体" w:hAnsi="Times New Roman" w:eastAsia="宋体" w:cs="宋体"/>
                                <w:color w:val="000000"/>
                                <w:kern w:val="2"/>
                                <w:sz w:val="24"/>
                                <w:szCs w:val="24"/>
                                <w:lang w:val="en-US" w:eastAsia="zh-CN" w:bidi="ar-S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5.7pt;margin-top:122.2pt;height:28.65pt;width:91.85pt;z-index:251746304;v-text-anchor:middle;mso-width-relative:page;mso-height-relative:page;" fillcolor="#FFFFFF [3212]" filled="t" stroked="t" coordsize="21600,21600" o:gfxdata="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pz0J2toAAAAMAQAADwAAAAAA&#10;AAABACAAAAAiAAAAZHJzL2Rvd25yZXYueG1sUEsBAhQAFAAAAAgAh07iQEIa5cy8AgAAcgUAAA4A&#10;AAAAAAAAAQAgAAAAKQEAAGRycy9lMm9Eb2MueG1sUEsFBgAAAAAGAAYAWQEAAFcGAAAAAA==&#10;" adj="-459,62623">
                <v:fill on="t" focussize="0,0"/>
                <v:stroke weight="1pt" color="#000000 [3213]" miterlimit="8" joinstyle="miter"/>
                <v:imagedata o:title=""/>
                <o:lock v:ext="edit" aspectratio="f"/>
                <v:textbox>
                  <w:txbxContent>
                    <w:p w14:paraId="53F8268F">
                      <w:pPr>
                        <w:jc w:val="center"/>
                        <w:rPr>
                          <w:rFonts w:hint="default" w:ascii="宋体" w:hAnsi="Times New Roman" w:eastAsia="宋体" w:cs="宋体"/>
                          <w:color w:val="000000"/>
                          <w:kern w:val="2"/>
                          <w:sz w:val="24"/>
                          <w:szCs w:val="24"/>
                          <w:lang w:val="en-US" w:eastAsia="zh-CN" w:bidi="ar-SA"/>
                        </w:rPr>
                      </w:pPr>
                      <w:r>
                        <w:rPr>
                          <w:rFonts w:hint="eastAsia" w:ascii="宋体" w:hAnsi="Times New Roman" w:eastAsia="宋体" w:cs="宋体"/>
                          <w:color w:val="000000"/>
                          <w:kern w:val="2"/>
                          <w:sz w:val="24"/>
                          <w:szCs w:val="24"/>
                          <w:lang w:val="en-US" w:eastAsia="zh-CN" w:bidi="ar-SA"/>
                        </w:rPr>
                        <w:t>本项目</w:t>
                      </w:r>
                    </w:p>
                  </w:txbxContent>
                </v:textbox>
              </v:shape>
            </w:pict>
          </mc:Fallback>
        </mc:AlternateContent>
      </w:r>
      <w:r>
        <w:rPr>
          <w:color w:val="auto"/>
          <w:sz w:val="21"/>
        </w:rPr>
        <mc:AlternateContent>
          <mc:Choice Requires="wps">
            <w:drawing>
              <wp:anchor distT="0" distB="0" distL="114300" distR="114300" simplePos="0" relativeHeight="251745280" behindDoc="0" locked="0" layoutInCell="1" allowOverlap="1">
                <wp:simplePos x="0" y="0"/>
                <wp:positionH relativeFrom="column">
                  <wp:posOffset>5731510</wp:posOffset>
                </wp:positionH>
                <wp:positionV relativeFrom="paragraph">
                  <wp:posOffset>2555240</wp:posOffset>
                </wp:positionV>
                <wp:extent cx="76200" cy="142240"/>
                <wp:effectExtent l="15240" t="47625" r="33020" b="47625"/>
                <wp:wrapNone/>
                <wp:docPr id="76" name="矩形 76"/>
                <wp:cNvGraphicFramePr/>
                <a:graphic xmlns:a="http://schemas.openxmlformats.org/drawingml/2006/main">
                  <a:graphicData uri="http://schemas.microsoft.com/office/word/2010/wordprocessingShape">
                    <wps:wsp>
                      <wps:cNvSpPr/>
                      <wps:spPr>
                        <a:xfrm rot="18840000">
                          <a:off x="3296285" y="2141220"/>
                          <a:ext cx="76200" cy="14224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3pt;margin-top:201.2pt;height:11.2pt;width:6pt;rotation:-3014656f;z-index:251745280;v-text-anchor:middle;mso-width-relative:page;mso-height-relative:page;" fillcolor="#FF0000" filled="t" stroked="t" coordsize="21600,21600" o:gfxdata="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oEvrYtkAAAALAQAADwAAAAAA&#10;AAABACAAAAAiAAAAZHJzL2Rvd25yZXYueG1sUEsBAhQAFAAAAAgAh07iQFCf6vOEAgAADwUAAA4A&#10;AAAAAAAAAQAgAAAAKAEAAGRycy9lMm9Eb2MueG1sUEsFBgAAAAAGAAYAWQEAAB4GAAAAAA==&#10;">
                <v:fill on="t" focussize="0,0"/>
                <v:stroke weight="1pt" color="#000000 [3213]" miterlimit="8" joinstyle="miter"/>
                <v:imagedata o:title=""/>
                <o:lock v:ext="edit" aspectratio="f"/>
              </v:rect>
            </w:pict>
          </mc:Fallback>
        </mc:AlternateContent>
      </w:r>
      <w:r>
        <w:rPr>
          <w:rFonts w:hint="eastAsia"/>
          <w:color w:val="auto"/>
          <w:lang w:eastAsia="zh-CN"/>
        </w:rPr>
        <w:drawing>
          <wp:inline distT="0" distB="0" distL="114300" distR="114300">
            <wp:extent cx="5128260" cy="8081010"/>
            <wp:effectExtent l="0" t="0" r="15240" b="15240"/>
            <wp:docPr id="9" name="图片 9" descr="3ab644c7eee1cc525a6086021222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ab644c7eee1cc525a60860212224725"/>
                    <pic:cNvPicPr>
                      <a:picLocks noChangeAspect="1"/>
                    </pic:cNvPicPr>
                  </pic:nvPicPr>
                  <pic:blipFill>
                    <a:blip r:embed="rId25">
                      <a:lum bright="12000"/>
                    </a:blip>
                    <a:srcRect l="6620" t="3882" r="7964" b="1480"/>
                    <a:stretch>
                      <a:fillRect/>
                    </a:stretch>
                  </pic:blipFill>
                  <pic:spPr>
                    <a:xfrm rot="16200000">
                      <a:off x="0" y="0"/>
                      <a:ext cx="5128260" cy="8081010"/>
                    </a:xfrm>
                    <a:prstGeom prst="rect">
                      <a:avLst/>
                    </a:prstGeom>
                  </pic:spPr>
                </pic:pic>
              </a:graphicData>
            </a:graphic>
          </wp:inline>
        </w:drawing>
      </w:r>
    </w:p>
    <w:p w14:paraId="2028B244">
      <w:pPr>
        <w:pStyle w:val="46"/>
        <w:rPr>
          <w:rFonts w:hint="eastAsia"/>
          <w:color w:val="auto"/>
          <w:lang w:eastAsia="zh-CN"/>
        </w:rPr>
      </w:pPr>
    </w:p>
    <w:p w14:paraId="742A49F9">
      <w:pPr>
        <w:jc w:val="center"/>
        <w:rPr>
          <w:rFonts w:hint="eastAsia"/>
          <w:color w:val="auto"/>
          <w:sz w:val="24"/>
          <w:szCs w:val="24"/>
          <w:lang w:eastAsia="zh-CN"/>
        </w:rPr>
        <w:sectPr>
          <w:pgSz w:w="16839" w:h="11907" w:orient="landscape"/>
          <w:pgMar w:top="1531" w:right="1701" w:bottom="1531" w:left="1701" w:header="851" w:footer="567" w:gutter="0"/>
          <w:pgBorders>
            <w:top w:val="none" w:sz="0" w:space="0"/>
            <w:left w:val="none" w:sz="0" w:space="0"/>
            <w:bottom w:val="none" w:sz="0" w:space="0"/>
            <w:right w:val="none" w:sz="0" w:space="0"/>
          </w:pgBorders>
          <w:cols w:space="720" w:num="1"/>
          <w:docGrid w:linePitch="312" w:charSpace="0"/>
        </w:sectPr>
      </w:pPr>
      <w:r>
        <w:rPr>
          <w:rFonts w:hint="eastAsia"/>
          <w:color w:val="auto"/>
          <w:sz w:val="24"/>
          <w:szCs w:val="24"/>
          <w:lang w:eastAsia="zh-CN"/>
        </w:rPr>
        <w:t>附图4-</w:t>
      </w:r>
      <w:r>
        <w:rPr>
          <w:rFonts w:hint="eastAsia"/>
          <w:color w:val="auto"/>
          <w:sz w:val="24"/>
          <w:szCs w:val="24"/>
          <w:lang w:val="en-US" w:eastAsia="zh-CN"/>
        </w:rPr>
        <w:t>2</w:t>
      </w:r>
      <w:r>
        <w:rPr>
          <w:rFonts w:hint="eastAsia"/>
          <w:color w:val="auto"/>
          <w:sz w:val="24"/>
          <w:szCs w:val="24"/>
          <w:lang w:eastAsia="zh-CN"/>
        </w:rPr>
        <w:t xml:space="preserve">  中山市自然资源局关于项目所在地用地规划信息公开的答复</w:t>
      </w:r>
    </w:p>
    <w:p w14:paraId="18CE3EA9">
      <w:pPr>
        <w:widowControl/>
        <w:jc w:val="center"/>
        <w:rPr>
          <w:color w:val="auto"/>
          <w:szCs w:val="21"/>
        </w:rPr>
      </w:pPr>
      <w:r>
        <w:rPr>
          <w:color w:val="auto"/>
        </w:rPr>
        <w:drawing>
          <wp:anchor distT="0" distB="0" distL="114300" distR="114300" simplePos="0" relativeHeight="251659264" behindDoc="0" locked="0" layoutInCell="1" allowOverlap="1">
            <wp:simplePos x="0" y="0"/>
            <wp:positionH relativeFrom="column">
              <wp:posOffset>1163320</wp:posOffset>
            </wp:positionH>
            <wp:positionV relativeFrom="paragraph">
              <wp:posOffset>-154940</wp:posOffset>
            </wp:positionV>
            <wp:extent cx="6205220" cy="5453380"/>
            <wp:effectExtent l="0" t="0" r="5080" b="13970"/>
            <wp:wrapNone/>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26">
                      <a:lum bright="-6000" contrast="-18000"/>
                    </a:blip>
                    <a:stretch>
                      <a:fillRect/>
                    </a:stretch>
                  </pic:blipFill>
                  <pic:spPr>
                    <a:xfrm>
                      <a:off x="0" y="0"/>
                      <a:ext cx="6205220" cy="5453380"/>
                    </a:xfrm>
                    <a:prstGeom prst="rect">
                      <a:avLst/>
                    </a:prstGeom>
                    <a:noFill/>
                    <a:ln>
                      <a:noFill/>
                    </a:ln>
                  </pic:spPr>
                </pic:pic>
              </a:graphicData>
            </a:graphic>
          </wp:anchor>
        </w:drawing>
      </w:r>
      <w:r>
        <w:rPr>
          <w:color w:val="auto"/>
          <w:szCs w:val="21"/>
        </w:rPr>
        <w:drawing>
          <wp:anchor distT="0" distB="0" distL="114300" distR="114300" simplePos="0" relativeHeight="251660288" behindDoc="0" locked="0" layoutInCell="1" allowOverlap="1">
            <wp:simplePos x="0" y="0"/>
            <wp:positionH relativeFrom="column">
              <wp:posOffset>6932295</wp:posOffset>
            </wp:positionH>
            <wp:positionV relativeFrom="paragraph">
              <wp:posOffset>-169545</wp:posOffset>
            </wp:positionV>
            <wp:extent cx="469265" cy="668020"/>
            <wp:effectExtent l="0" t="0" r="0" b="0"/>
            <wp:wrapNone/>
            <wp:docPr id="14" name="图片 14" descr="玫瑰"/>
            <wp:cNvGraphicFramePr/>
            <a:graphic xmlns:a="http://schemas.openxmlformats.org/drawingml/2006/main">
              <a:graphicData uri="http://schemas.openxmlformats.org/drawingml/2006/picture">
                <pic:pic xmlns:pic="http://schemas.openxmlformats.org/drawingml/2006/picture">
                  <pic:nvPicPr>
                    <pic:cNvPr id="14" name="图片 14" descr="玫瑰"/>
                    <pic:cNvPicPr/>
                  </pic:nvPicPr>
                  <pic:blipFill>
                    <a:blip r:embed="rId22" cstate="print">
                      <a:extLst>
                        <a:ext uri="{28A0092B-C50C-407E-A947-70E740481C1C}">
                          <a14:useLocalDpi xmlns:a14="http://schemas.microsoft.com/office/drawing/2010/main" val="0"/>
                        </a:ext>
                      </a:extLst>
                    </a:blip>
                    <a:srcRect l="13611" r="13472"/>
                    <a:stretch>
                      <a:fillRect/>
                    </a:stretch>
                  </pic:blipFill>
                  <pic:spPr>
                    <a:xfrm>
                      <a:off x="0" y="0"/>
                      <a:ext cx="469265" cy="667925"/>
                    </a:xfrm>
                    <a:prstGeom prst="rect">
                      <a:avLst/>
                    </a:prstGeom>
                    <a:noFill/>
                    <a:ln>
                      <a:noFill/>
                    </a:ln>
                  </pic:spPr>
                </pic:pic>
              </a:graphicData>
            </a:graphic>
          </wp:anchor>
        </w:drawing>
      </w:r>
    </w:p>
    <w:p w14:paraId="7927541C">
      <w:pPr>
        <w:widowControl/>
        <w:jc w:val="left"/>
        <w:rPr>
          <w:color w:val="auto"/>
          <w:szCs w:val="21"/>
        </w:rPr>
      </w:pPr>
      <w:r>
        <w:rPr>
          <w:color w:val="auto"/>
        </w:rPr>
        <mc:AlternateContent>
          <mc:Choice Requires="wps">
            <w:drawing>
              <wp:anchor distT="0" distB="0" distL="114300" distR="114300" simplePos="0" relativeHeight="251717632" behindDoc="0" locked="0" layoutInCell="1" allowOverlap="1">
                <wp:simplePos x="0" y="0"/>
                <wp:positionH relativeFrom="character">
                  <wp:posOffset>3727450</wp:posOffset>
                </wp:positionH>
                <wp:positionV relativeFrom="line">
                  <wp:posOffset>68580</wp:posOffset>
                </wp:positionV>
                <wp:extent cx="751840" cy="344805"/>
                <wp:effectExtent l="0" t="0" r="0" b="0"/>
                <wp:wrapNone/>
                <wp:docPr id="235" name="文本框 235"/>
                <wp:cNvGraphicFramePr/>
                <a:graphic xmlns:a="http://schemas.openxmlformats.org/drawingml/2006/main">
                  <a:graphicData uri="http://schemas.microsoft.com/office/word/2010/wordprocessingShape">
                    <wps:wsp>
                      <wps:cNvSpPr txBox="1"/>
                      <wps:spPr>
                        <a:xfrm rot="21420000">
                          <a:off x="0" y="0"/>
                          <a:ext cx="751840" cy="344805"/>
                        </a:xfrm>
                        <a:prstGeom prst="rect">
                          <a:avLst/>
                        </a:prstGeom>
                        <a:noFill/>
                        <a:ln w="6350">
                          <a:noFill/>
                        </a:ln>
                        <a:effectLst/>
                      </wps:spPr>
                      <wps:txbx>
                        <w:txbxContent>
                          <w:p w14:paraId="3EFE6777">
                            <w:pPr>
                              <w:rPr>
                                <w:rFonts w:hint="default" w:eastAsia="宋体"/>
                                <w:b/>
                                <w:bCs/>
                                <w:sz w:val="24"/>
                                <w:szCs w:val="32"/>
                                <w:lang w:val="en-US" w:eastAsia="zh-CN"/>
                              </w:rPr>
                            </w:pPr>
                            <w:r>
                              <w:rPr>
                                <w:rFonts w:hint="eastAsia"/>
                                <w:b/>
                                <w:bCs/>
                                <w:sz w:val="24"/>
                                <w:szCs w:val="32"/>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5pt;margin-top:5.4pt;height:27.15pt;width:59.2pt;mso-position-horizontal-relative:char;mso-position-vertical-relative:line;rotation:-196608f;z-index:251717632;mso-width-relative:page;mso-height-relative:page;" filled="f" stroked="f" coordsize="21600,21600" o:gfxdata="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RqxajZAAAACQEAAA8AAAAA&#10;AAAAAQAgAAAAIgAAAGRycy9kb3ducmV2LnhtbFBLAQIUABQAAAAIAIdO4kCPHcDITAIAAIYEAAAO&#10;AAAAAAAAAAEAIAAAACgBAABkcnMvZTJvRG9jLnhtbFBLBQYAAAAABgAGAFkBAADmBQAAAAA=&#10;">
                <v:fill on="f" focussize="0,0"/>
                <v:stroke on="f" weight="0.5pt"/>
                <v:imagedata o:title=""/>
                <o:lock v:ext="edit" aspectratio="f"/>
                <v:textbox>
                  <w:txbxContent>
                    <w:p w14:paraId="3EFE6777">
                      <w:pPr>
                        <w:rPr>
                          <w:rFonts w:hint="default" w:eastAsia="宋体"/>
                          <w:b/>
                          <w:bCs/>
                          <w:sz w:val="24"/>
                          <w:szCs w:val="32"/>
                          <w:lang w:val="en-US" w:eastAsia="zh-CN"/>
                        </w:rPr>
                      </w:pPr>
                      <w:r>
                        <w:rPr>
                          <w:rFonts w:hint="eastAsia"/>
                          <w:b/>
                          <w:bCs/>
                          <w:sz w:val="24"/>
                          <w:szCs w:val="32"/>
                          <w:lang w:val="en-US" w:eastAsia="zh-CN"/>
                        </w:rPr>
                        <w:t>500m</w:t>
                      </w:r>
                    </w:p>
                  </w:txbxContent>
                </v:textbox>
              </v:shape>
            </w:pict>
          </mc:Fallback>
        </mc:AlternateContent>
      </w:r>
    </w:p>
    <w:p w14:paraId="22B31FC1">
      <w:pPr>
        <w:widowControl/>
        <w:jc w:val="left"/>
        <w:rPr>
          <w:rStyle w:val="45"/>
          <w:color w:val="auto"/>
          <w:lang w:val="zh-CN"/>
        </w:rPr>
      </w:pPr>
      <w:r>
        <w:rPr>
          <w:color w:val="auto"/>
          <w:sz w:val="21"/>
        </w:rPr>
        <mc:AlternateContent>
          <mc:Choice Requires="wps">
            <w:drawing>
              <wp:anchor distT="0" distB="0" distL="114300" distR="114300" simplePos="0" relativeHeight="251725824" behindDoc="0" locked="0" layoutInCell="1" allowOverlap="1">
                <wp:simplePos x="0" y="0"/>
                <wp:positionH relativeFrom="column">
                  <wp:posOffset>2162175</wp:posOffset>
                </wp:positionH>
                <wp:positionV relativeFrom="paragraph">
                  <wp:posOffset>-61595</wp:posOffset>
                </wp:positionV>
                <wp:extent cx="3847465" cy="4237990"/>
                <wp:effectExtent l="14605" t="14605" r="14605" b="24130"/>
                <wp:wrapNone/>
                <wp:docPr id="203" name="矩形 203"/>
                <wp:cNvGraphicFramePr/>
                <a:graphic xmlns:a="http://schemas.openxmlformats.org/drawingml/2006/main">
                  <a:graphicData uri="http://schemas.microsoft.com/office/word/2010/wordprocessingShape">
                    <wps:wsp>
                      <wps:cNvSpPr/>
                      <wps:spPr>
                        <a:xfrm rot="5400000">
                          <a:off x="0" y="0"/>
                          <a:ext cx="3847465" cy="4237990"/>
                        </a:xfrm>
                        <a:prstGeom prst="rect">
                          <a:avLst/>
                        </a:prstGeom>
                        <a:noFill/>
                        <a:ln w="28575" cap="flat" cmpd="sng">
                          <a:solidFill>
                            <a:srgbClr val="0070C0"/>
                          </a:solidFill>
                          <a:prstDash val="dash"/>
                          <a:miter/>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0.25pt;margin-top:-4.85pt;height:333.7pt;width:302.95pt;rotation:5898240f;z-index:251725824;v-text-anchor:middle;mso-width-relative:page;mso-height-relative:page;" filled="f" stroked="t" coordsize="21600,21600" o:gfxdata="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7JZK9kA&#10;AAAKAQAADwAAAAAAAAABACAAAAAiAAAAZHJzL2Rvd25yZXYueG1sUEsBAhQAFAAAAAgAh07iQDtx&#10;eRuQAgAAJwUAAA4AAAAAAAAAAQAgAAAAKAEAAGRycy9lMm9Eb2MueG1sUEsFBgAAAAAGAAYAWQEA&#10;ACoGAAAAAA==&#10;">
                <v:fill on="f" focussize="0,0"/>
                <v:stroke weight="2.25pt" color="#0070C0" joinstyle="miter" dashstyle="dash"/>
                <v:imagedata o:title=""/>
                <o:lock v:ext="edit" aspectratio="f"/>
              </v:rect>
            </w:pict>
          </mc:Fallback>
        </mc:AlternateContent>
      </w:r>
    </w:p>
    <w:p w14:paraId="3F2E5F51">
      <w:pPr>
        <w:widowControl/>
        <w:jc w:val="left"/>
        <w:rPr>
          <w:rStyle w:val="45"/>
          <w:color w:val="auto"/>
          <w:lang w:val="zh-CN"/>
        </w:rPr>
      </w:pPr>
      <w:r>
        <w:rPr>
          <w:color w:val="auto"/>
          <w:sz w:val="21"/>
        </w:rPr>
        <mc:AlternateContent>
          <mc:Choice Requires="wps">
            <w:drawing>
              <wp:anchor distT="0" distB="0" distL="114300" distR="114300" simplePos="0" relativeHeight="251719680" behindDoc="0" locked="0" layoutInCell="1" allowOverlap="1">
                <wp:simplePos x="0" y="0"/>
                <wp:positionH relativeFrom="column">
                  <wp:posOffset>4879340</wp:posOffset>
                </wp:positionH>
                <wp:positionV relativeFrom="paragraph">
                  <wp:posOffset>112395</wp:posOffset>
                </wp:positionV>
                <wp:extent cx="819150" cy="215900"/>
                <wp:effectExtent l="8255" t="157480" r="10795" b="160020"/>
                <wp:wrapNone/>
                <wp:docPr id="48" name="矩形 48"/>
                <wp:cNvGraphicFramePr/>
                <a:graphic xmlns:a="http://schemas.openxmlformats.org/drawingml/2006/main">
                  <a:graphicData uri="http://schemas.microsoft.com/office/word/2010/wordprocessingShape">
                    <wps:wsp>
                      <wps:cNvSpPr/>
                      <wps:spPr>
                        <a:xfrm rot="20160000">
                          <a:off x="5856605" y="1776095"/>
                          <a:ext cx="819150" cy="215900"/>
                        </a:xfrm>
                        <a:prstGeom prst="rect">
                          <a:avLst/>
                        </a:prstGeom>
                        <a:solidFill>
                          <a:schemeClr val="accent6">
                            <a:alpha val="71000"/>
                          </a:schemeClr>
                        </a:solidFill>
                        <a:ln w="12700">
                          <a:noFill/>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4.2pt;margin-top:8.85pt;height:17pt;width:64.5pt;rotation:-1572864f;z-index:251719680;v-text-anchor:middle;mso-width-relative:page;mso-height-relative:page;" fillcolor="#70AD47 [3209]" filled="t" stroked="f" coordsize="21600,21600" o:gfxdata="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yI8dANsAAAAJAQAADwAAAAAAAAABACAAAAAiAAAAZHJzL2Rvd25yZXYueG1sUEsB&#10;AhQAFAAAAAgAh07iQNNf+ztkAgAAtwQAAA4AAAAAAAAAAQAgAAAAKgEAAGRycy9lMm9Eb2MueG1s&#10;UEsFBgAAAAAGAAYAWQEAAAAGAAAAAA==&#10;">
                <v:fill on="t" opacity="46530f" focussize="0,0"/>
                <v:stroke on="f" weight="1pt"/>
                <v:imagedata o:title=""/>
                <o:lock v:ext="edit" aspectratio="f"/>
              </v:rect>
            </w:pict>
          </mc:Fallback>
        </mc:AlternateContent>
      </w:r>
      <w:r>
        <w:rPr>
          <w:color w:val="auto"/>
        </w:rPr>
        <mc:AlternateContent>
          <mc:Choice Requires="wps">
            <w:drawing>
              <wp:anchor distT="0" distB="0" distL="114300" distR="114300" simplePos="0" relativeHeight="251723776" behindDoc="0" locked="0" layoutInCell="1" allowOverlap="1">
                <wp:simplePos x="0" y="0"/>
                <wp:positionH relativeFrom="character">
                  <wp:posOffset>4903470</wp:posOffset>
                </wp:positionH>
                <wp:positionV relativeFrom="line">
                  <wp:posOffset>17145</wp:posOffset>
                </wp:positionV>
                <wp:extent cx="728345" cy="40005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728345" cy="400050"/>
                        </a:xfrm>
                        <a:prstGeom prst="rect">
                          <a:avLst/>
                        </a:prstGeom>
                        <a:noFill/>
                        <a:ln w="6350">
                          <a:noFill/>
                        </a:ln>
                        <a:effectLst/>
                      </wps:spPr>
                      <wps:txbx>
                        <w:txbxContent>
                          <w:p w14:paraId="7907DE29">
                            <w:pPr>
                              <w:ind w:left="211" w:hanging="211" w:hangingChars="100"/>
                              <w:rPr>
                                <w:rFonts w:hint="default" w:eastAsia="宋体"/>
                                <w:b/>
                                <w:bCs/>
                                <w:lang w:val="en-US" w:eastAsia="zh-CN"/>
                              </w:rPr>
                            </w:pPr>
                            <w:r>
                              <w:rPr>
                                <w:rFonts w:hint="eastAsia"/>
                                <w:b/>
                                <w:bCs/>
                                <w:lang w:val="en-US" w:eastAsia="zh-CN"/>
                              </w:rPr>
                              <w:t>平安公寓 420m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6.1pt;margin-top:1.35pt;height:31.5pt;width:57.35pt;mso-position-horizontal-relative:char;mso-position-vertical-relative:line;z-index:251723776;mso-width-relative:page;mso-height-relative:page;" filled="f" stroked="f" coordsize="21600,21600" o:gfxdata="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4KuToNkAAAAIAQAADwAAAAAAAAABACAAAAAi&#10;AAAAZHJzL2Rvd25yZXYueG1sUEsBAhQAFAAAAAgAh07iQCoc8wRCAgAAdQQAAA4AAAAAAAAAAQAg&#10;AAAAKAEAAGRycy9lMm9Eb2MueG1sUEsFBgAAAAAGAAYAWQEAANwFAAAAAA==&#10;">
                <v:fill on="f" focussize="0,0"/>
                <v:stroke on="f" weight="0.5pt"/>
                <v:imagedata o:title=""/>
                <o:lock v:ext="edit" aspectratio="f"/>
                <v:textbox>
                  <w:txbxContent>
                    <w:p w14:paraId="7907DE29">
                      <w:pPr>
                        <w:ind w:left="211" w:hanging="211" w:hangingChars="100"/>
                        <w:rPr>
                          <w:rFonts w:hint="default" w:eastAsia="宋体"/>
                          <w:b/>
                          <w:bCs/>
                          <w:lang w:val="en-US" w:eastAsia="zh-CN"/>
                        </w:rPr>
                      </w:pPr>
                      <w:r>
                        <w:rPr>
                          <w:rFonts w:hint="eastAsia"/>
                          <w:b/>
                          <w:bCs/>
                          <w:lang w:val="en-US" w:eastAsia="zh-CN"/>
                        </w:rPr>
                        <w:t>平安公寓 420m</w:t>
                      </w:r>
                    </w:p>
                  </w:txbxContent>
                </v:textbox>
              </v:shape>
            </w:pict>
          </mc:Fallback>
        </mc:AlternateContent>
      </w:r>
    </w:p>
    <w:p w14:paraId="56E19C57">
      <w:pPr>
        <w:widowControl/>
        <w:jc w:val="left"/>
        <w:rPr>
          <w:rStyle w:val="45"/>
          <w:color w:val="auto"/>
          <w:lang w:val="zh-CN"/>
        </w:rPr>
      </w:pPr>
    </w:p>
    <w:p w14:paraId="40F6EEC7">
      <w:pPr>
        <w:widowControl/>
        <w:jc w:val="left"/>
        <w:rPr>
          <w:rStyle w:val="45"/>
          <w:color w:val="auto"/>
          <w:lang w:val="zh-CN"/>
        </w:rPr>
      </w:pPr>
    </w:p>
    <w:p w14:paraId="7F1892BB">
      <w:pPr>
        <w:widowControl/>
        <w:jc w:val="left"/>
        <w:rPr>
          <w:rStyle w:val="45"/>
          <w:color w:val="auto"/>
          <w:lang w:val="zh-CN"/>
        </w:rPr>
      </w:pPr>
    </w:p>
    <w:p w14:paraId="29E06EB7">
      <w:pPr>
        <w:widowControl/>
        <w:jc w:val="left"/>
        <w:rPr>
          <w:rStyle w:val="45"/>
          <w:color w:val="auto"/>
          <w:lang w:val="zh-CN"/>
        </w:rPr>
      </w:pPr>
    </w:p>
    <w:p w14:paraId="104AC15F">
      <w:pPr>
        <w:widowControl/>
        <w:jc w:val="left"/>
        <w:rPr>
          <w:rStyle w:val="45"/>
          <w:color w:val="auto"/>
          <w:lang w:val="zh-CN"/>
        </w:rPr>
      </w:pPr>
    </w:p>
    <w:p w14:paraId="1737A952">
      <w:pPr>
        <w:widowControl/>
        <w:jc w:val="left"/>
        <w:rPr>
          <w:rStyle w:val="45"/>
          <w:color w:val="auto"/>
          <w:lang w:val="zh-CN"/>
        </w:rPr>
      </w:pPr>
      <w:r>
        <w:rPr>
          <w:color w:val="auto"/>
          <w:sz w:val="21"/>
        </w:rPr>
        <mc:AlternateContent>
          <mc:Choice Requires="wps">
            <w:drawing>
              <wp:anchor distT="0" distB="0" distL="114300" distR="114300" simplePos="0" relativeHeight="251724800" behindDoc="0" locked="0" layoutInCell="1" allowOverlap="1">
                <wp:simplePos x="0" y="0"/>
                <wp:positionH relativeFrom="column">
                  <wp:posOffset>1971040</wp:posOffset>
                </wp:positionH>
                <wp:positionV relativeFrom="paragraph">
                  <wp:posOffset>38735</wp:posOffset>
                </wp:positionV>
                <wp:extent cx="118745" cy="243205"/>
                <wp:effectExtent l="1270" t="12700" r="70485" b="29845"/>
                <wp:wrapNone/>
                <wp:docPr id="57" name="任意多边形 57"/>
                <wp:cNvGraphicFramePr/>
                <a:graphic xmlns:a="http://schemas.openxmlformats.org/drawingml/2006/main">
                  <a:graphicData uri="http://schemas.microsoft.com/office/word/2010/wordprocessingShape">
                    <wps:wsp>
                      <wps:cNvSpPr/>
                      <wps:spPr>
                        <a:xfrm rot="19680000">
                          <a:off x="0" y="0"/>
                          <a:ext cx="118745" cy="243205"/>
                        </a:xfrm>
                        <a:custGeom>
                          <a:avLst/>
                          <a:gdLst>
                            <a:gd name="connsiteX0" fmla="*/ 28 w 187"/>
                            <a:gd name="connsiteY0" fmla="*/ 116 h 383"/>
                            <a:gd name="connsiteX1" fmla="*/ 187 w 187"/>
                            <a:gd name="connsiteY1" fmla="*/ 0 h 383"/>
                            <a:gd name="connsiteX2" fmla="*/ 187 w 187"/>
                            <a:gd name="connsiteY2" fmla="*/ 383 h 383"/>
                            <a:gd name="connsiteX3" fmla="*/ 0 w 187"/>
                            <a:gd name="connsiteY3" fmla="*/ 383 h 383"/>
                            <a:gd name="connsiteX4" fmla="*/ 28 w 187"/>
                            <a:gd name="connsiteY4" fmla="*/ 116 h 3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7" h="383">
                              <a:moveTo>
                                <a:pt x="28" y="116"/>
                              </a:moveTo>
                              <a:lnTo>
                                <a:pt x="187" y="0"/>
                              </a:lnTo>
                              <a:lnTo>
                                <a:pt x="187" y="383"/>
                              </a:lnTo>
                              <a:lnTo>
                                <a:pt x="0" y="383"/>
                              </a:lnTo>
                              <a:lnTo>
                                <a:pt x="28" y="116"/>
                              </a:lnTo>
                              <a:close/>
                            </a:path>
                          </a:pathLst>
                        </a:custGeom>
                        <a:solidFill>
                          <a:schemeClr val="accent6">
                            <a:alpha val="71000"/>
                          </a:schemeClr>
                        </a:solidFill>
                        <a:ln w="12700">
                          <a:noFill/>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0" style="position:absolute;left:0pt;margin-left:155.2pt;margin-top:3.05pt;height:19.15pt;width:9.35pt;rotation:-2097152f;z-index:251724800;v-text-anchor:middle;mso-width-relative:page;mso-height-relative:page;" fillcolor="#70AD47 [3209]" filled="t" stroked="f" coordsize="187,383" o:gfxdata="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" path="m28,116l187,0,187,383,0,383,28,116xe">
                <v:path o:connectlocs="17780,73660;118745,0;118745,243205;0,243205;17780,73660" o:connectangles="0,0,0,0,0"/>
                <v:fill on="t" opacity="46530f" focussize="0,0"/>
                <v:stroke on="f" weight="1pt"/>
                <v:imagedata o:title=""/>
                <o:lock v:ext="edit" aspectratio="f"/>
              </v:shape>
            </w:pict>
          </mc:Fallback>
        </mc:AlternateContent>
      </w:r>
    </w:p>
    <w:p w14:paraId="3AA8E89E">
      <w:pPr>
        <w:widowControl/>
        <w:jc w:val="left"/>
        <w:rPr>
          <w:rStyle w:val="45"/>
          <w:color w:val="auto"/>
          <w:lang w:val="zh-CN"/>
        </w:rPr>
      </w:pPr>
      <w:r>
        <w:rPr>
          <w:color w:val="auto"/>
        </w:rPr>
        <mc:AlternateContent>
          <mc:Choice Requires="wps">
            <w:drawing>
              <wp:anchor distT="0" distB="0" distL="114300" distR="114300" simplePos="0" relativeHeight="251726848" behindDoc="0" locked="0" layoutInCell="1" allowOverlap="1">
                <wp:simplePos x="0" y="0"/>
                <wp:positionH relativeFrom="character">
                  <wp:posOffset>1656080</wp:posOffset>
                </wp:positionH>
                <wp:positionV relativeFrom="line">
                  <wp:posOffset>42545</wp:posOffset>
                </wp:positionV>
                <wp:extent cx="873125" cy="40005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873125" cy="400050"/>
                        </a:xfrm>
                        <a:prstGeom prst="rect">
                          <a:avLst/>
                        </a:prstGeom>
                        <a:noFill/>
                        <a:ln w="6350">
                          <a:noFill/>
                        </a:ln>
                        <a:effectLst/>
                      </wps:spPr>
                      <wps:txbx>
                        <w:txbxContent>
                          <w:p w14:paraId="6AA04429">
                            <w:pPr>
                              <w:ind w:left="422" w:hanging="422" w:hangingChars="200"/>
                              <w:rPr>
                                <w:rFonts w:hint="default" w:eastAsia="宋体"/>
                                <w:b/>
                                <w:bCs/>
                                <w:lang w:val="en-US" w:eastAsia="zh-CN"/>
                              </w:rPr>
                            </w:pPr>
                            <w:r>
                              <w:rPr>
                                <w:rFonts w:hint="eastAsia"/>
                                <w:b/>
                                <w:bCs/>
                                <w:lang w:val="en-US" w:eastAsia="zh-CN"/>
                              </w:rPr>
                              <w:t>中熙朗晴居 480m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4pt;margin-top:3.35pt;height:31.5pt;width:68.75pt;mso-position-horizontal-relative:char;mso-position-vertical-relative:line;z-index:251726848;mso-width-relative:page;mso-height-relative:page;" filled="f" stroked="f" coordsize="21600,21600" o:gfxdata="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3N/cYtkAAAAIAQAADwAAAAAAAAABACAAAAAi&#10;AAAAZHJzL2Rvd25yZXYueG1sUEsBAhQAFAAAAAgAh07iQK7NrbtCAgAAdQQAAA4AAAAAAAAAAQAg&#10;AAAAKAEAAGRycy9lMm9Eb2MueG1sUEsFBgAAAAAGAAYAWQEAANwFAAAAAA==&#10;">
                <v:fill on="f" focussize="0,0"/>
                <v:stroke on="f" weight="0.5pt"/>
                <v:imagedata o:title=""/>
                <o:lock v:ext="edit" aspectratio="f"/>
                <v:textbox>
                  <w:txbxContent>
                    <w:p w14:paraId="6AA04429">
                      <w:pPr>
                        <w:ind w:left="422" w:hanging="422" w:hangingChars="200"/>
                        <w:rPr>
                          <w:rFonts w:hint="default" w:eastAsia="宋体"/>
                          <w:b/>
                          <w:bCs/>
                          <w:lang w:val="en-US" w:eastAsia="zh-CN"/>
                        </w:rPr>
                      </w:pPr>
                      <w:r>
                        <w:rPr>
                          <w:rFonts w:hint="eastAsia"/>
                          <w:b/>
                          <w:bCs/>
                          <w:lang w:val="en-US" w:eastAsia="zh-CN"/>
                        </w:rPr>
                        <w:t>中熙朗晴居 480m</w:t>
                      </w:r>
                    </w:p>
                  </w:txbxContent>
                </v:textbox>
              </v:shape>
            </w:pict>
          </mc:Fallback>
        </mc:AlternateContent>
      </w:r>
    </w:p>
    <w:p w14:paraId="7B69796C">
      <w:pPr>
        <w:widowControl/>
        <w:jc w:val="left"/>
        <w:rPr>
          <w:rStyle w:val="45"/>
          <w:color w:val="auto"/>
          <w:lang w:val="zh-CN"/>
        </w:rPr>
      </w:pPr>
    </w:p>
    <w:p w14:paraId="27958E71">
      <w:pPr>
        <w:widowControl/>
        <w:jc w:val="left"/>
        <w:rPr>
          <w:rStyle w:val="45"/>
          <w:color w:val="auto"/>
          <w:lang w:val="zh-CN"/>
        </w:rPr>
      </w:pPr>
      <w:r>
        <w:rPr>
          <w:color w:val="auto"/>
          <w:sz w:val="21"/>
        </w:rPr>
        <mc:AlternateContent>
          <mc:Choice Requires="wps">
            <w:drawing>
              <wp:anchor distT="0" distB="0" distL="114300" distR="114300" simplePos="0" relativeHeight="251720704" behindDoc="0" locked="0" layoutInCell="1" allowOverlap="1">
                <wp:simplePos x="0" y="0"/>
                <wp:positionH relativeFrom="column">
                  <wp:posOffset>5535295</wp:posOffset>
                </wp:positionH>
                <wp:positionV relativeFrom="paragraph">
                  <wp:posOffset>31115</wp:posOffset>
                </wp:positionV>
                <wp:extent cx="391795" cy="509270"/>
                <wp:effectExtent l="86360" t="57785" r="93345" b="61595"/>
                <wp:wrapNone/>
                <wp:docPr id="49" name="矩形 49"/>
                <wp:cNvGraphicFramePr/>
                <a:graphic xmlns:a="http://schemas.openxmlformats.org/drawingml/2006/main">
                  <a:graphicData uri="http://schemas.microsoft.com/office/word/2010/wordprocessingShape">
                    <wps:wsp>
                      <wps:cNvSpPr/>
                      <wps:spPr>
                        <a:xfrm rot="20160000">
                          <a:off x="0" y="0"/>
                          <a:ext cx="391795" cy="509270"/>
                        </a:xfrm>
                        <a:prstGeom prst="rect">
                          <a:avLst/>
                        </a:prstGeom>
                        <a:solidFill>
                          <a:schemeClr val="accent6">
                            <a:alpha val="71000"/>
                          </a:schemeClr>
                        </a:solidFill>
                        <a:ln w="12700">
                          <a:noFill/>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5.85pt;margin-top:2.45pt;height:40.1pt;width:30.85pt;rotation:-1572864f;z-index:251720704;v-text-anchor:middle;mso-width-relative:page;mso-height-relative:page;" fillcolor="#70AD47 [3209]" filled="t" stroked="f" coordsize="21600,21600" o:gfxdata="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cKhz&#10;E9wAAAAIAQAADwAAAAAAAAABACAAAAAiAAAAZHJzL2Rvd25yZXYueG1sUEsBAhQAFAAAAAgAh07i&#10;QBfoG6VXAgAAqwQAAA4AAAAAAAAAAQAgAAAAKwEAAGRycy9lMm9Eb2MueG1sUEsFBgAAAAAGAAYA&#10;WQEAAPQFAAAAAA==&#10;">
                <v:fill on="t" opacity="46530f" focussize="0,0"/>
                <v:stroke on="f" weight="1pt"/>
                <v:imagedata o:title=""/>
                <o:lock v:ext="edit" aspectratio="f"/>
              </v:rect>
            </w:pict>
          </mc:Fallback>
        </mc:AlternateContent>
      </w:r>
      <w:r>
        <w:rPr>
          <w:color w:val="auto"/>
        </w:rPr>
        <mc:AlternateContent>
          <mc:Choice Requires="wps">
            <w:drawing>
              <wp:anchor distT="0" distB="0" distL="114300" distR="114300" simplePos="0" relativeHeight="251699200" behindDoc="0" locked="0" layoutInCell="1" allowOverlap="1">
                <wp:simplePos x="0" y="0"/>
                <wp:positionH relativeFrom="character">
                  <wp:posOffset>3540125</wp:posOffset>
                </wp:positionH>
                <wp:positionV relativeFrom="line">
                  <wp:posOffset>22225</wp:posOffset>
                </wp:positionV>
                <wp:extent cx="751840" cy="344805"/>
                <wp:effectExtent l="0" t="0" r="0" b="0"/>
                <wp:wrapNone/>
                <wp:docPr id="236" name="文本框 236"/>
                <wp:cNvGraphicFramePr/>
                <a:graphic xmlns:a="http://schemas.openxmlformats.org/drawingml/2006/main">
                  <a:graphicData uri="http://schemas.microsoft.com/office/word/2010/wordprocessingShape">
                    <wps:wsp>
                      <wps:cNvSpPr txBox="1"/>
                      <wps:spPr>
                        <a:xfrm rot="19320000">
                          <a:off x="0" y="0"/>
                          <a:ext cx="751840" cy="344805"/>
                        </a:xfrm>
                        <a:prstGeom prst="rect">
                          <a:avLst/>
                        </a:prstGeom>
                        <a:noFill/>
                        <a:ln w="6350">
                          <a:noFill/>
                        </a:ln>
                        <a:effectLst/>
                      </wps:spPr>
                      <wps:txbx>
                        <w:txbxContent>
                          <w:p w14:paraId="73FDABD1">
                            <w:pPr>
                              <w:rPr>
                                <w:rFonts w:hint="default" w:eastAsia="宋体"/>
                                <w:b w:val="0"/>
                                <w:bCs w:val="0"/>
                                <w:sz w:val="21"/>
                                <w:szCs w:val="24"/>
                                <w:lang w:val="en-US" w:eastAsia="zh-CN"/>
                              </w:rPr>
                            </w:pPr>
                            <w:r>
                              <w:rPr>
                                <w:rFonts w:hint="eastAsia" w:eastAsia="宋体"/>
                                <w:b/>
                                <w:bCs/>
                                <w:sz w:val="24"/>
                                <w:szCs w:val="32"/>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75pt;margin-top:1.75pt;height:27.15pt;width:59.2pt;mso-position-horizontal-relative:char;mso-position-vertical-relative:line;rotation:-2490368f;z-index:251699200;mso-width-relative:page;mso-height-relative:page;" filled="f" stroked="f" coordsize="21600,21600" o:gfxdata="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gpgYu2AAAAAgBAAAPAAAAAAAA&#10;AAEAIAAAACIAAABkcnMvZG93bnJldi54bWxQSwECFAAUAAAACACHTuJA4a4qjEsCAACGBAAADgAA&#10;AAAAAAABACAAAAAnAQAAZHJzL2Uyb0RvYy54bWxQSwUGAAAAAAYABgBZAQAA5AUAAAAA&#10;">
                <v:fill on="f" focussize="0,0"/>
                <v:stroke on="f" weight="0.5pt"/>
                <v:imagedata o:title=""/>
                <o:lock v:ext="edit" aspectratio="f"/>
                <v:textbox>
                  <w:txbxContent>
                    <w:p w14:paraId="73FDABD1">
                      <w:pPr>
                        <w:rPr>
                          <w:rFonts w:hint="default" w:eastAsia="宋体"/>
                          <w:b w:val="0"/>
                          <w:bCs w:val="0"/>
                          <w:sz w:val="21"/>
                          <w:szCs w:val="24"/>
                          <w:lang w:val="en-US" w:eastAsia="zh-CN"/>
                        </w:rPr>
                      </w:pPr>
                      <w:r>
                        <w:rPr>
                          <w:rFonts w:hint="eastAsia" w:eastAsia="宋体"/>
                          <w:b/>
                          <w:bCs/>
                          <w:sz w:val="24"/>
                          <w:szCs w:val="32"/>
                          <w:lang w:val="en-US" w:eastAsia="zh-CN"/>
                        </w:rPr>
                        <w:t>50m</w:t>
                      </w:r>
                    </w:p>
                  </w:txbxContent>
                </v:textbox>
              </v:shape>
            </w:pict>
          </mc:Fallback>
        </mc:AlternateContent>
      </w:r>
      <w:r>
        <w:rPr>
          <w:color w:val="auto"/>
        </w:rPr>
        <mc:AlternateContent>
          <mc:Choice Requires="wps">
            <w:drawing>
              <wp:anchor distT="0" distB="0" distL="114300" distR="114300" simplePos="0" relativeHeight="251727872" behindDoc="0" locked="0" layoutInCell="1" allowOverlap="1">
                <wp:simplePos x="0" y="0"/>
                <wp:positionH relativeFrom="character">
                  <wp:posOffset>5222875</wp:posOffset>
                </wp:positionH>
                <wp:positionV relativeFrom="line">
                  <wp:posOffset>62865</wp:posOffset>
                </wp:positionV>
                <wp:extent cx="1071245" cy="53467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071245" cy="534670"/>
                        </a:xfrm>
                        <a:prstGeom prst="rect">
                          <a:avLst/>
                        </a:prstGeom>
                        <a:noFill/>
                        <a:ln w="6350">
                          <a:noFill/>
                        </a:ln>
                        <a:effectLst/>
                      </wps:spPr>
                      <wps:txbx>
                        <w:txbxContent>
                          <w:p w14:paraId="0694442F">
                            <w:pPr>
                              <w:ind w:left="422" w:hanging="422" w:hangingChars="200"/>
                              <w:rPr>
                                <w:rFonts w:hint="default" w:eastAsia="宋体"/>
                                <w:b/>
                                <w:bCs/>
                                <w:lang w:val="en-US" w:eastAsia="zh-CN"/>
                              </w:rPr>
                            </w:pPr>
                            <w:r>
                              <w:rPr>
                                <w:rFonts w:hint="eastAsia"/>
                                <w:b/>
                                <w:bCs/>
                                <w:lang w:val="en-US" w:eastAsia="zh-CN"/>
                              </w:rPr>
                              <w:t>朗悦轩</w:t>
                            </w:r>
                            <w:r>
                              <w:rPr>
                                <w:rFonts w:hint="default" w:ascii="Times New Roman" w:hAnsi="Times New Roman" w:eastAsia="微软雅黑" w:cs="Times New Roman"/>
                                <w:b/>
                                <w:bCs/>
                                <w:lang w:val="en-US" w:eastAsia="zh-CN"/>
                              </w:rPr>
                              <w:t>•</w:t>
                            </w:r>
                            <w:r>
                              <w:rPr>
                                <w:rFonts w:hint="eastAsia"/>
                                <w:b/>
                                <w:bCs/>
                                <w:lang w:val="en-US" w:eastAsia="zh-CN"/>
                              </w:rPr>
                              <w:t>祥和楼 400m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1.25pt;margin-top:4.95pt;height:42.1pt;width:84.35pt;mso-position-horizontal-relative:char;mso-position-vertical-relative:line;z-index:251727872;mso-width-relative:page;mso-height-relative:page;" filled="f" stroked="f" coordsize="21600,21600" o:gfxdata="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3KMWo9kAAAAIAQAADwAAAAAAAAABACAAAAAi&#10;AAAAZHJzL2Rvd25yZXYueG1sUEsBAhQAFAAAAAgAh07iQCI6M4FCAgAAdgQAAA4AAAAAAAAAAQAg&#10;AAAAKAEAAGRycy9lMm9Eb2MueG1sUEsFBgAAAAAGAAYAWQEAANwFAAAAAA==&#10;">
                <v:fill on="f" focussize="0,0"/>
                <v:stroke on="f" weight="0.5pt"/>
                <v:imagedata o:title=""/>
                <o:lock v:ext="edit" aspectratio="f"/>
                <v:textbox>
                  <w:txbxContent>
                    <w:p w14:paraId="0694442F">
                      <w:pPr>
                        <w:ind w:left="422" w:hanging="422" w:hangingChars="200"/>
                        <w:rPr>
                          <w:rFonts w:hint="default" w:eastAsia="宋体"/>
                          <w:b/>
                          <w:bCs/>
                          <w:lang w:val="en-US" w:eastAsia="zh-CN"/>
                        </w:rPr>
                      </w:pPr>
                      <w:r>
                        <w:rPr>
                          <w:rFonts w:hint="eastAsia"/>
                          <w:b/>
                          <w:bCs/>
                          <w:lang w:val="en-US" w:eastAsia="zh-CN"/>
                        </w:rPr>
                        <w:t>朗悦轩</w:t>
                      </w:r>
                      <w:r>
                        <w:rPr>
                          <w:rFonts w:hint="default" w:ascii="Times New Roman" w:hAnsi="Times New Roman" w:eastAsia="微软雅黑" w:cs="Times New Roman"/>
                          <w:b/>
                          <w:bCs/>
                          <w:lang w:val="en-US" w:eastAsia="zh-CN"/>
                        </w:rPr>
                        <w:t>•</w:t>
                      </w:r>
                      <w:r>
                        <w:rPr>
                          <w:rFonts w:hint="eastAsia"/>
                          <w:b/>
                          <w:bCs/>
                          <w:lang w:val="en-US" w:eastAsia="zh-CN"/>
                        </w:rPr>
                        <w:t>祥和楼 400m</w:t>
                      </w:r>
                    </w:p>
                  </w:txbxContent>
                </v:textbox>
              </v:shape>
            </w:pict>
          </mc:Fallback>
        </mc:AlternateContent>
      </w:r>
    </w:p>
    <w:p w14:paraId="74843B1D">
      <w:pPr>
        <w:widowControl/>
        <w:jc w:val="left"/>
        <w:rPr>
          <w:rStyle w:val="45"/>
          <w:color w:val="auto"/>
          <w:lang w:val="zh-CN"/>
        </w:rPr>
      </w:pP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3723005</wp:posOffset>
                </wp:positionH>
                <wp:positionV relativeFrom="paragraph">
                  <wp:posOffset>96520</wp:posOffset>
                </wp:positionV>
                <wp:extent cx="461010" cy="384810"/>
                <wp:effectExtent l="124460" t="70485" r="138430" b="97155"/>
                <wp:wrapNone/>
                <wp:docPr id="199" name="矩形 199"/>
                <wp:cNvGraphicFramePr/>
                <a:graphic xmlns:a="http://schemas.openxmlformats.org/drawingml/2006/main">
                  <a:graphicData uri="http://schemas.microsoft.com/office/word/2010/wordprocessingShape">
                    <wps:wsp>
                      <wps:cNvSpPr/>
                      <wps:spPr>
                        <a:xfrm rot="2940000">
                          <a:off x="0" y="0"/>
                          <a:ext cx="461010" cy="384810"/>
                        </a:xfrm>
                        <a:prstGeom prst="rect">
                          <a:avLst/>
                        </a:prstGeom>
                        <a:solidFill>
                          <a:schemeClr val="bg1">
                            <a:lumMod val="85000"/>
                            <a:alpha val="20000"/>
                          </a:schemeClr>
                        </a:solidFill>
                        <a:ln w="28575">
                          <a:solidFill>
                            <a:srgbClr val="FF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15pt;margin-top:7.6pt;height:30.3pt;width:36.3pt;rotation:3211264f;z-index:251698176;v-text-anchor:middle;mso-width-relative:page;mso-height-relative:page;" fillcolor="#D9D9D9 [2732]" filled="t" stroked="t" coordsize="21600,21600" o:gfxdata="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A&#10;SvUK2QAAAAkBAAAPAAAAAAAAAAEAIAAAACIAAABkcnMvZG93bnJldi54bWxQSwECFAAUAAAACACH&#10;TuJAhtrGkJUCAAA8BQAADgAAAAAAAAABACAAAAAoAQAAZHJzL2Uyb0RvYy54bWxQSwUGAAAAAAYA&#10;BgBZAQAALwYAAAAA&#10;">
                <v:fill on="t" opacity="13107f" focussize="0,0"/>
                <v:stroke weight="2.25pt" color="#FF0000 [2404]" miterlimit="8" joinstyle="miter" dashstyle="dash"/>
                <v:imagedata o:title=""/>
                <o:lock v:ext="edit" aspectratio="f"/>
              </v:rect>
            </w:pict>
          </mc:Fallback>
        </mc:AlternateContent>
      </w:r>
      <w:r>
        <w:rPr>
          <w:color w:val="auto"/>
        </w:rPr>
        <mc:AlternateContent>
          <mc:Choice Requires="wps">
            <w:drawing>
              <wp:anchor distT="0" distB="0" distL="114300" distR="114300" simplePos="0" relativeHeight="251722752" behindDoc="0" locked="0" layoutInCell="1" allowOverlap="1">
                <wp:simplePos x="0" y="0"/>
                <wp:positionH relativeFrom="character">
                  <wp:posOffset>4951730</wp:posOffset>
                </wp:positionH>
                <wp:positionV relativeFrom="line">
                  <wp:posOffset>146050</wp:posOffset>
                </wp:positionV>
                <wp:extent cx="628015" cy="40005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628015" cy="400050"/>
                        </a:xfrm>
                        <a:prstGeom prst="rect">
                          <a:avLst/>
                        </a:prstGeom>
                        <a:noFill/>
                        <a:ln w="6350">
                          <a:noFill/>
                        </a:ln>
                        <a:effectLst/>
                      </wps:spPr>
                      <wps:txbx>
                        <w:txbxContent>
                          <w:p w14:paraId="2A6A7674">
                            <w:pPr>
                              <w:rPr>
                                <w:rFonts w:hint="eastAsia"/>
                                <w:b/>
                                <w:bCs/>
                                <w:lang w:val="en-US" w:eastAsia="zh-CN"/>
                              </w:rPr>
                            </w:pPr>
                            <w:r>
                              <w:rPr>
                                <w:rFonts w:hint="eastAsia"/>
                                <w:b/>
                                <w:bCs/>
                                <w:lang w:val="en-US" w:eastAsia="zh-CN"/>
                              </w:rPr>
                              <w:t>家逸楼</w:t>
                            </w:r>
                          </w:p>
                          <w:p w14:paraId="559F9B39">
                            <w:pPr>
                              <w:rPr>
                                <w:rFonts w:hint="default" w:eastAsia="宋体"/>
                                <w:b/>
                                <w:bCs/>
                                <w:lang w:val="en-US" w:eastAsia="zh-CN"/>
                              </w:rPr>
                            </w:pPr>
                            <w:r>
                              <w:rPr>
                                <w:rFonts w:hint="eastAsia"/>
                                <w:b/>
                                <w:bCs/>
                                <w:lang w:val="en-US" w:eastAsia="zh-CN"/>
                              </w:rPr>
                              <w:t xml:space="preserve"> 300m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9pt;margin-top:11.5pt;height:31.5pt;width:49.45pt;mso-position-horizontal-relative:char;mso-position-vertical-relative:line;z-index:251722752;mso-width-relative:page;mso-height-relative:page;" filled="f" stroked="f" coordsize="21600,21600" o:gfxdata="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G44eC2gAAAAkBAAAPAAAAAAAAAAEAIAAAACIA&#10;AABkcnMvZG93bnJldi54bWxQSwECFAAUAAAACACHTuJAT7wRU0ACAAB1BAAADgAAAAAAAAABACAA&#10;AAApAQAAZHJzL2Uyb0RvYy54bWxQSwUGAAAAAAYABgBZAQAA2wUAAAAA&#10;">
                <v:fill on="f" focussize="0,0"/>
                <v:stroke on="f" weight="0.5pt"/>
                <v:imagedata o:title=""/>
                <o:lock v:ext="edit" aspectratio="f"/>
                <v:textbox>
                  <w:txbxContent>
                    <w:p w14:paraId="2A6A7674">
                      <w:pPr>
                        <w:rPr>
                          <w:rFonts w:hint="eastAsia"/>
                          <w:b/>
                          <w:bCs/>
                          <w:lang w:val="en-US" w:eastAsia="zh-CN"/>
                        </w:rPr>
                      </w:pPr>
                      <w:r>
                        <w:rPr>
                          <w:rFonts w:hint="eastAsia"/>
                          <w:b/>
                          <w:bCs/>
                          <w:lang w:val="en-US" w:eastAsia="zh-CN"/>
                        </w:rPr>
                        <w:t>家逸楼</w:t>
                      </w:r>
                    </w:p>
                    <w:p w14:paraId="559F9B39">
                      <w:pPr>
                        <w:rPr>
                          <w:rFonts w:hint="default" w:eastAsia="宋体"/>
                          <w:b/>
                          <w:bCs/>
                          <w:lang w:val="en-US" w:eastAsia="zh-CN"/>
                        </w:rPr>
                      </w:pPr>
                      <w:r>
                        <w:rPr>
                          <w:rFonts w:hint="eastAsia"/>
                          <w:b/>
                          <w:bCs/>
                          <w:lang w:val="en-US" w:eastAsia="zh-CN"/>
                        </w:rPr>
                        <w:t xml:space="preserve"> 300m</w:t>
                      </w:r>
                    </w:p>
                  </w:txbxContent>
                </v:textbox>
              </v:shape>
            </w:pict>
          </mc:Fallback>
        </mc:AlternateContent>
      </w:r>
    </w:p>
    <w:p w14:paraId="45A62DA4">
      <w:pPr>
        <w:widowControl/>
        <w:jc w:val="left"/>
        <w:rPr>
          <w:rStyle w:val="45"/>
          <w:color w:val="auto"/>
          <w:lang w:val="zh-CN"/>
        </w:rPr>
      </w:pPr>
      <w:r>
        <w:rPr>
          <w:color w:val="auto"/>
          <w:sz w:val="21"/>
        </w:rPr>
        <mc:AlternateContent>
          <mc:Choice Requires="wps">
            <w:drawing>
              <wp:anchor distT="0" distB="0" distL="114300" distR="114300" simplePos="0" relativeHeight="251721728" behindDoc="0" locked="0" layoutInCell="1" allowOverlap="1">
                <wp:simplePos x="0" y="0"/>
                <wp:positionH relativeFrom="column">
                  <wp:posOffset>5168900</wp:posOffset>
                </wp:positionH>
                <wp:positionV relativeFrom="paragraph">
                  <wp:posOffset>41910</wp:posOffset>
                </wp:positionV>
                <wp:extent cx="317500" cy="285115"/>
                <wp:effectExtent l="44450" t="52070" r="57150" b="62865"/>
                <wp:wrapNone/>
                <wp:docPr id="51" name="矩形 51"/>
                <wp:cNvGraphicFramePr/>
                <a:graphic xmlns:a="http://schemas.openxmlformats.org/drawingml/2006/main">
                  <a:graphicData uri="http://schemas.microsoft.com/office/word/2010/wordprocessingShape">
                    <wps:wsp>
                      <wps:cNvSpPr/>
                      <wps:spPr>
                        <a:xfrm rot="20160000">
                          <a:off x="0" y="0"/>
                          <a:ext cx="317500" cy="285115"/>
                        </a:xfrm>
                        <a:prstGeom prst="rect">
                          <a:avLst/>
                        </a:prstGeom>
                        <a:solidFill>
                          <a:schemeClr val="accent6">
                            <a:alpha val="71000"/>
                          </a:schemeClr>
                        </a:solidFill>
                        <a:ln w="12700">
                          <a:noFill/>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7pt;margin-top:3.3pt;height:22.45pt;width:25pt;rotation:-1572864f;z-index:251721728;v-text-anchor:middle;mso-width-relative:page;mso-height-relative:page;" fillcolor="#70AD47 [3209]" filled="t" stroked="f" coordsize="21600,21600" o:gfxdata="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1jzdNoA&#10;AAAIAQAADwAAAAAAAAABACAAAAAiAAAAZHJzL2Rvd25yZXYueG1sUEsBAhQAFAAAAAgAh07iQNMs&#10;HOdWAgAAqwQAAA4AAAAAAAAAAQAgAAAAKQEAAGRycy9lMm9Eb2MueG1sUEsFBgAAAAAGAAYAWQEA&#10;APEFAAAAAA==&#10;">
                <v:fill on="t" opacity="46530f" focussize="0,0"/>
                <v:stroke on="f" weight="1pt"/>
                <v:imagedata o:title=""/>
                <o:lock v:ext="edit" aspectratio="f"/>
              </v:rect>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3860165</wp:posOffset>
                </wp:positionH>
                <wp:positionV relativeFrom="paragraph">
                  <wp:posOffset>99695</wp:posOffset>
                </wp:positionV>
                <wp:extent cx="198755" cy="76200"/>
                <wp:effectExtent l="65405" t="10160" r="67945" b="19685"/>
                <wp:wrapNone/>
                <wp:docPr id="198" name="矩形 198"/>
                <wp:cNvGraphicFramePr/>
                <a:graphic xmlns:a="http://schemas.openxmlformats.org/drawingml/2006/main">
                  <a:graphicData uri="http://schemas.microsoft.com/office/word/2010/wordprocessingShape">
                    <wps:wsp>
                      <wps:cNvSpPr/>
                      <wps:spPr>
                        <a:xfrm rot="2940000">
                          <a:off x="5002530" y="3580130"/>
                          <a:ext cx="198755" cy="76200"/>
                        </a:xfrm>
                        <a:prstGeom prst="rect">
                          <a:avLst/>
                        </a:prstGeom>
                        <a:solidFill>
                          <a:schemeClr val="bg1">
                            <a:lumMod val="85000"/>
                            <a:alpha val="20000"/>
                          </a:schemeClr>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3.95pt;margin-top:7.85pt;height:6pt;width:15.65pt;rotation:3211264f;z-index:251697152;v-text-anchor:middle;mso-width-relative:page;mso-height-relative:page;" fillcolor="#D9D9D9 [2732]" filled="t" stroked="t" coordsize="21600,21600" o:gfxdata="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Lb2ZLLXAAAACQEAAA8AAAAAAAAAAQAgAAAAIgAAAGRycy9kb3ducmV2LnhtbFBLAQIUABQA&#10;AAAIAIdO4kA/DDTTnAIAAEgFAAAOAAAAAAAAAAEAIAAAACYBAABkcnMvZTJvRG9jLnhtbFBLBQYA&#10;AAAABgAGAFkBAAA0BgAAAAA=&#10;">
                <v:fill on="t" opacity="13107f" focussize="0,0"/>
                <v:stroke weight="1pt" color="#000000 [3213]" miterlimit="8" joinstyle="miter"/>
                <v:imagedata o:title=""/>
                <o:lock v:ext="edit" aspectratio="f"/>
              </v:rect>
            </w:pict>
          </mc:Fallback>
        </mc:AlternateContent>
      </w:r>
    </w:p>
    <w:p w14:paraId="637CDFBF">
      <w:pPr>
        <w:widowControl/>
        <w:jc w:val="left"/>
        <w:rPr>
          <w:color w:val="auto"/>
          <w:szCs w:val="21"/>
        </w:rPr>
      </w:pPr>
      <w:r>
        <w:rPr>
          <w:color w:val="auto"/>
          <w:sz w:val="21"/>
        </w:rPr>
        <mc:AlternateContent>
          <mc:Choice Requires="wps">
            <w:drawing>
              <wp:anchor distT="0" distB="0" distL="114300" distR="114300" simplePos="0" relativeHeight="251715584" behindDoc="0" locked="0" layoutInCell="1" allowOverlap="1">
                <wp:simplePos x="0" y="0"/>
                <wp:positionH relativeFrom="column">
                  <wp:posOffset>3204210</wp:posOffset>
                </wp:positionH>
                <wp:positionV relativeFrom="paragraph">
                  <wp:posOffset>86360</wp:posOffset>
                </wp:positionV>
                <wp:extent cx="1424940" cy="1238250"/>
                <wp:effectExtent l="0" t="0" r="3810" b="0"/>
                <wp:wrapNone/>
                <wp:docPr id="44" name="任意多边形 44"/>
                <wp:cNvGraphicFramePr/>
                <a:graphic xmlns:a="http://schemas.openxmlformats.org/drawingml/2006/main">
                  <a:graphicData uri="http://schemas.microsoft.com/office/word/2010/wordprocessingShape">
                    <wps:wsp>
                      <wps:cNvSpPr/>
                      <wps:spPr>
                        <a:xfrm>
                          <a:off x="4284345" y="3358515"/>
                          <a:ext cx="1424940" cy="1238250"/>
                        </a:xfrm>
                        <a:custGeom>
                          <a:avLst/>
                          <a:gdLst>
                            <a:gd name="connisteX0" fmla="*/ 0 w 1424940"/>
                            <a:gd name="connsiteY0" fmla="*/ 459740 h 1238250"/>
                            <a:gd name="connisteX1" fmla="*/ 157480 w 1424940"/>
                            <a:gd name="connsiteY1" fmla="*/ 666750 h 1238250"/>
                            <a:gd name="connisteX2" fmla="*/ 78740 w 1424940"/>
                            <a:gd name="connsiteY2" fmla="*/ 777875 h 1238250"/>
                            <a:gd name="connisteX3" fmla="*/ 339725 w 1424940"/>
                            <a:gd name="connsiteY3" fmla="*/ 1238250 h 1238250"/>
                            <a:gd name="connisteX4" fmla="*/ 1316990 w 1424940"/>
                            <a:gd name="connsiteY4" fmla="*/ 728980 h 1238250"/>
                            <a:gd name="connisteX5" fmla="*/ 1209675 w 1424940"/>
                            <a:gd name="connsiteY5" fmla="*/ 513715 h 1238250"/>
                            <a:gd name="connisteX6" fmla="*/ 1424940 w 1424940"/>
                            <a:gd name="connsiteY6" fmla="*/ 298450 h 1238250"/>
                            <a:gd name="connisteX7" fmla="*/ 1188720 w 1424940"/>
                            <a:gd name="connsiteY7" fmla="*/ 0 h 1238250"/>
                            <a:gd name="connisteX8" fmla="*/ 940435 w 1424940"/>
                            <a:gd name="connsiteY8" fmla="*/ 194310 h 1238250"/>
                            <a:gd name="connisteX9" fmla="*/ 803910 w 1424940"/>
                            <a:gd name="connsiteY9" fmla="*/ 244475 h 1238250"/>
                            <a:gd name="connisteX10" fmla="*/ 737235 w 1424940"/>
                            <a:gd name="connsiteY10" fmla="*/ 219075 h 1238250"/>
                            <a:gd name="connisteX11" fmla="*/ 654685 w 1424940"/>
                            <a:gd name="connsiteY11" fmla="*/ 194310 h 1238250"/>
                            <a:gd name="connisteX12" fmla="*/ 588010 w 1424940"/>
                            <a:gd name="connsiteY12" fmla="*/ 215265 h 1238250"/>
                            <a:gd name="connisteX13" fmla="*/ 534670 w 1424940"/>
                            <a:gd name="connsiteY13" fmla="*/ 194310 h 1238250"/>
                            <a:gd name="connisteX14" fmla="*/ 431165 w 1424940"/>
                            <a:gd name="connsiteY14" fmla="*/ 281940 h 1238250"/>
                            <a:gd name="connisteX15" fmla="*/ 372745 w 1424940"/>
                            <a:gd name="connsiteY15" fmla="*/ 235585 h 1238250"/>
                            <a:gd name="connisteX16" fmla="*/ 153670 w 1424940"/>
                            <a:gd name="connsiteY16" fmla="*/ 443230 h 1238250"/>
                            <a:gd name="connisteX17" fmla="*/ 74930 w 1424940"/>
                            <a:gd name="connsiteY17" fmla="*/ 384810 h 1238250"/>
                            <a:gd name="connisteX18" fmla="*/ 0 w 1424940"/>
                            <a:gd name="connsiteY18" fmla="*/ 459740 h 1238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1424940" h="1238250">
                              <a:moveTo>
                                <a:pt x="0" y="459740"/>
                              </a:moveTo>
                              <a:lnTo>
                                <a:pt x="157480" y="666750"/>
                              </a:lnTo>
                              <a:lnTo>
                                <a:pt x="78740" y="777875"/>
                              </a:lnTo>
                              <a:lnTo>
                                <a:pt x="339725" y="1238250"/>
                              </a:lnTo>
                              <a:lnTo>
                                <a:pt x="1316990" y="728980"/>
                              </a:lnTo>
                              <a:lnTo>
                                <a:pt x="1209675" y="513715"/>
                              </a:lnTo>
                              <a:lnTo>
                                <a:pt x="1424940" y="298450"/>
                              </a:lnTo>
                              <a:lnTo>
                                <a:pt x="1188720" y="0"/>
                              </a:lnTo>
                              <a:lnTo>
                                <a:pt x="940435" y="194310"/>
                              </a:lnTo>
                              <a:lnTo>
                                <a:pt x="803910" y="244475"/>
                              </a:lnTo>
                              <a:lnTo>
                                <a:pt x="737235" y="219075"/>
                              </a:lnTo>
                              <a:lnTo>
                                <a:pt x="654685" y="194310"/>
                              </a:lnTo>
                              <a:lnTo>
                                <a:pt x="588010" y="215265"/>
                              </a:lnTo>
                              <a:lnTo>
                                <a:pt x="534670" y="194310"/>
                              </a:lnTo>
                              <a:lnTo>
                                <a:pt x="431165" y="281940"/>
                              </a:lnTo>
                              <a:lnTo>
                                <a:pt x="372745" y="235585"/>
                              </a:lnTo>
                              <a:lnTo>
                                <a:pt x="153670" y="443230"/>
                              </a:lnTo>
                              <a:lnTo>
                                <a:pt x="74930" y="384810"/>
                              </a:lnTo>
                              <a:lnTo>
                                <a:pt x="0" y="459740"/>
                              </a:lnTo>
                              <a:close/>
                            </a:path>
                          </a:pathLst>
                        </a:custGeom>
                        <a:solidFill>
                          <a:schemeClr val="accent6">
                            <a:alpha val="71000"/>
                          </a:schemeClr>
                        </a:solidFill>
                        <a:ln w="12700">
                          <a:noFill/>
                        </a:ln>
                      </wps:spPr>
                      <wps:bodyPr/>
                    </wps:wsp>
                  </a:graphicData>
                </a:graphic>
              </wp:anchor>
            </w:drawing>
          </mc:Choice>
          <mc:Fallback>
            <w:pict>
              <v:shape id="_x0000_s1026" o:spid="_x0000_s1026" o:spt="100" style="position:absolute;left:0pt;margin-left:252.3pt;margin-top:6.8pt;height:97.5pt;width:112.2pt;z-index:251715584;mso-width-relative:page;mso-height-relative:page;" fillcolor="#70AD47 [3209]" filled="t" stroked="f" coordsize="1424940,1238250" o:gfxdata="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" path="m0,459740l157480,666750,78740,777875,339725,1238250,1316990,728980,1209675,513715,1424940,298450,1188720,0,940435,194310,803910,244475,737235,219075,654685,194310,588010,215265,534670,194310,431165,281940,372745,235585,153670,443230,74930,384810,0,459740xe">
                <v:path o:connectlocs="0,459740;157480,666750;78740,777875;339725,1238250;1316990,728980;1209675,513715;1424940,298450;1188720,0;940435,194310;803910,244475;737235,219075;654685,194310;588010,215265;534670,194310;431165,281940;372745,235585;153670,443230;74930,384810;0,459740" o:connectangles="0,0,0,0,0,0,0,0,0,0,0,0,0,0,0,0,0,0,0"/>
                <v:fill on="t" opacity="46530f" focussize="0,0"/>
                <v:stroke on="f" weight="1pt"/>
                <v:imagedata o:title=""/>
                <o:lock v:ext="edit" aspectratio="f"/>
              </v:shape>
            </w:pict>
          </mc:Fallback>
        </mc:AlternateContent>
      </w:r>
      <w:r>
        <w:rPr>
          <w:color w:val="auto"/>
          <w:szCs w:val="21"/>
        </w:rPr>
        <mc:AlternateContent>
          <mc:Choice Requires="wps">
            <w:drawing>
              <wp:anchor distT="0" distB="0" distL="114300" distR="114300" simplePos="0" relativeHeight="251670528" behindDoc="0" locked="0" layoutInCell="1" allowOverlap="1">
                <wp:simplePos x="0" y="0"/>
                <wp:positionH relativeFrom="column">
                  <wp:posOffset>2400300</wp:posOffset>
                </wp:positionH>
                <wp:positionV relativeFrom="paragraph">
                  <wp:posOffset>5419725</wp:posOffset>
                </wp:positionV>
                <wp:extent cx="2585720" cy="409575"/>
                <wp:effectExtent l="0" t="0" r="0" b="0"/>
                <wp:wrapNone/>
                <wp:docPr id="225" name="文本框 172"/>
                <wp:cNvGraphicFramePr/>
                <a:graphic xmlns:a="http://schemas.openxmlformats.org/drawingml/2006/main">
                  <a:graphicData uri="http://schemas.microsoft.com/office/word/2010/wordprocessingShape">
                    <wps:wsp>
                      <wps:cNvSpPr txBox="1">
                        <a:spLocks noChangeArrowheads="1"/>
                      </wps:cNvSpPr>
                      <wps:spPr bwMode="auto">
                        <a:xfrm>
                          <a:off x="0" y="0"/>
                          <a:ext cx="2585720" cy="409575"/>
                        </a:xfrm>
                        <a:prstGeom prst="rect">
                          <a:avLst/>
                        </a:prstGeom>
                        <a:noFill/>
                        <a:ln>
                          <a:noFill/>
                        </a:ln>
                        <a:effectLst/>
                      </wps:spPr>
                      <wps:txbx>
                        <w:txbxContent>
                          <w:p w14:paraId="63A39DC5">
                            <w:pPr>
                              <w:rPr>
                                <w:b/>
                                <w:sz w:val="28"/>
                                <w:szCs w:val="28"/>
                              </w:rPr>
                            </w:pPr>
                            <w:r>
                              <w:rPr>
                                <w:rFonts w:hint="eastAsia"/>
                                <w:b/>
                                <w:sz w:val="28"/>
                                <w:szCs w:val="28"/>
                              </w:rPr>
                              <w:t>附图</w:t>
                            </w:r>
                            <w:r>
                              <w:rPr>
                                <w:rFonts w:ascii="宋体" w:hAnsi="宋体"/>
                                <w:b/>
                                <w:sz w:val="28"/>
                                <w:szCs w:val="28"/>
                              </w:rPr>
                              <w:t>4</w:t>
                            </w:r>
                            <w:r>
                              <w:rPr>
                                <w:rFonts w:hint="eastAsia" w:ascii="宋体" w:hAnsi="宋体"/>
                                <w:b/>
                                <w:sz w:val="28"/>
                                <w:szCs w:val="28"/>
                              </w:rPr>
                              <w:t xml:space="preserve">    建设项目用地证明</w:t>
                            </w:r>
                          </w:p>
                        </w:txbxContent>
                      </wps:txbx>
                      <wps:bodyPr rot="0" vert="horz" wrap="square" lIns="91440" tIns="45720" rIns="91440" bIns="45720" anchor="t" anchorCtr="0" upright="1">
                        <a:noAutofit/>
                      </wps:bodyPr>
                    </wps:wsp>
                  </a:graphicData>
                </a:graphic>
              </wp:anchor>
            </w:drawing>
          </mc:Choice>
          <mc:Fallback>
            <w:pict>
              <v:shape id="文本框 172" o:spid="_x0000_s1026" o:spt="202" type="#_x0000_t202" style="position:absolute;left:0pt;margin-left:189pt;margin-top:426.75pt;height:32.25pt;width:203.6pt;z-index:251670528;mso-width-relative:page;mso-height-relative:page;" filled="f" stroked="f" coordsize="21600,21600" o:gfxdata="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1LTM3YAAAA&#10;CwEAAA8AAAAAAAAAAQAgAAAAIgAAAGRycy9kb3ducmV2LnhtbFBLAQIUABQAAAAIAIdO4kB0hRQo&#10;HQIAACcEAAAOAAAAAAAAAAEAIAAAACcBAABkcnMvZTJvRG9jLnhtbFBLBQYAAAAABgAGAFkBAAC2&#10;BQAAAAA=&#10;">
                <v:fill on="f" focussize="0,0"/>
                <v:stroke on="f"/>
                <v:imagedata o:title=""/>
                <o:lock v:ext="edit" aspectratio="f"/>
                <v:textbox>
                  <w:txbxContent>
                    <w:p w14:paraId="63A39DC5">
                      <w:pPr>
                        <w:rPr>
                          <w:b/>
                          <w:sz w:val="28"/>
                          <w:szCs w:val="28"/>
                        </w:rPr>
                      </w:pPr>
                      <w:r>
                        <w:rPr>
                          <w:rFonts w:hint="eastAsia"/>
                          <w:b/>
                          <w:sz w:val="28"/>
                          <w:szCs w:val="28"/>
                        </w:rPr>
                        <w:t>附图</w:t>
                      </w:r>
                      <w:r>
                        <w:rPr>
                          <w:rFonts w:ascii="宋体" w:hAnsi="宋体"/>
                          <w:b/>
                          <w:sz w:val="28"/>
                          <w:szCs w:val="28"/>
                        </w:rPr>
                        <w:t>4</w:t>
                      </w:r>
                      <w:r>
                        <w:rPr>
                          <w:rFonts w:hint="eastAsia" w:ascii="宋体" w:hAnsi="宋体"/>
                          <w:b/>
                          <w:sz w:val="28"/>
                          <w:szCs w:val="28"/>
                        </w:rPr>
                        <w:t xml:space="preserve">    建设项目用地证明</w:t>
                      </w:r>
                    </w:p>
                  </w:txbxContent>
                </v:textbox>
              </v:shape>
            </w:pict>
          </mc:Fallback>
        </mc:AlternateContent>
      </w:r>
    </w:p>
    <w:p w14:paraId="799E7738">
      <w:pPr>
        <w:widowControl/>
        <w:jc w:val="left"/>
        <w:rPr>
          <w:color w:val="auto"/>
          <w:szCs w:val="21"/>
        </w:rPr>
      </w:pPr>
      <w:r>
        <w:rPr>
          <w:color w:val="auto"/>
          <w:szCs w:val="21"/>
        </w:rPr>
        <mc:AlternateContent>
          <mc:Choice Requires="wps">
            <w:drawing>
              <wp:anchor distT="0" distB="0" distL="114300" distR="114300" simplePos="0" relativeHeight="251661312" behindDoc="0" locked="0" layoutInCell="1" allowOverlap="1">
                <wp:simplePos x="0" y="0"/>
                <wp:positionH relativeFrom="column">
                  <wp:posOffset>2642870</wp:posOffset>
                </wp:positionH>
                <wp:positionV relativeFrom="paragraph">
                  <wp:posOffset>5526405</wp:posOffset>
                </wp:positionV>
                <wp:extent cx="3103245" cy="409575"/>
                <wp:effectExtent l="0" t="0" r="0" b="0"/>
                <wp:wrapNone/>
                <wp:docPr id="215" name="文本框 172"/>
                <wp:cNvGraphicFramePr/>
                <a:graphic xmlns:a="http://schemas.openxmlformats.org/drawingml/2006/main">
                  <a:graphicData uri="http://schemas.microsoft.com/office/word/2010/wordprocessingShape">
                    <wps:wsp>
                      <wps:cNvSpPr txBox="1">
                        <a:spLocks noChangeArrowheads="1"/>
                      </wps:cNvSpPr>
                      <wps:spPr bwMode="auto">
                        <a:xfrm>
                          <a:off x="0" y="0"/>
                          <a:ext cx="3103418" cy="409575"/>
                        </a:xfrm>
                        <a:prstGeom prst="rect">
                          <a:avLst/>
                        </a:prstGeom>
                        <a:noFill/>
                        <a:ln>
                          <a:noFill/>
                        </a:ln>
                        <a:effectLst/>
                      </wps:spPr>
                      <wps:txbx>
                        <w:txbxContent>
                          <w:p w14:paraId="0CEC7057">
                            <w:pPr>
                              <w:rPr>
                                <w:b/>
                                <w:sz w:val="28"/>
                                <w:szCs w:val="28"/>
                              </w:rPr>
                            </w:pPr>
                            <w:r>
                              <w:rPr>
                                <w:rFonts w:hint="eastAsia"/>
                                <w:b/>
                                <w:sz w:val="28"/>
                                <w:szCs w:val="28"/>
                              </w:rPr>
                              <w:t>附图</w:t>
                            </w:r>
                            <w:r>
                              <w:rPr>
                                <w:rFonts w:ascii="宋体" w:hAnsi="宋体"/>
                                <w:b/>
                                <w:sz w:val="28"/>
                                <w:szCs w:val="28"/>
                              </w:rPr>
                              <w:t>5</w:t>
                            </w:r>
                            <w:r>
                              <w:rPr>
                                <w:rFonts w:hint="eastAsia" w:ascii="宋体" w:hAnsi="宋体"/>
                                <w:b/>
                                <w:sz w:val="28"/>
                                <w:szCs w:val="28"/>
                              </w:rPr>
                              <w:t xml:space="preserve"> 建设项目大气、</w:t>
                            </w:r>
                            <w:r>
                              <w:rPr>
                                <w:rFonts w:ascii="宋体" w:hAnsi="宋体"/>
                                <w:b/>
                                <w:sz w:val="28"/>
                                <w:szCs w:val="28"/>
                              </w:rPr>
                              <w:t>噪声</w:t>
                            </w:r>
                            <w:r>
                              <w:rPr>
                                <w:rFonts w:hint="eastAsia" w:ascii="宋体" w:hAnsi="宋体"/>
                                <w:b/>
                                <w:sz w:val="28"/>
                                <w:szCs w:val="28"/>
                              </w:rPr>
                              <w:t>敏感点图</w:t>
                            </w:r>
                          </w:p>
                        </w:txbxContent>
                      </wps:txbx>
                      <wps:bodyPr rot="0" vert="horz" wrap="square" lIns="91440" tIns="45720" rIns="91440" bIns="45720" anchor="t" anchorCtr="0" upright="1">
                        <a:noAutofit/>
                      </wps:bodyPr>
                    </wps:wsp>
                  </a:graphicData>
                </a:graphic>
              </wp:anchor>
            </w:drawing>
          </mc:Choice>
          <mc:Fallback>
            <w:pict>
              <v:shape id="文本框 172" o:spid="_x0000_s1026" o:spt="202" type="#_x0000_t202" style="position:absolute;left:0pt;margin-left:208.1pt;margin-top:435.15pt;height:32.25pt;width:244.35pt;z-index:251661312;mso-width-relative:page;mso-height-relative:page;" filled="f" stroked="f" coordsize="21600,21600" o:gfxdata="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pWKvY&#10;AAAACwEAAA8AAAAAAAAAAQAgAAAAIgAAAGRycy9kb3ducmV2LnhtbFBLAQIUABQAAAAIAIdO4kDQ&#10;lb4fIAIAACcEAAAOAAAAAAAAAAEAIAAAACcBAABkcnMvZTJvRG9jLnhtbFBLBQYAAAAABgAGAFkB&#10;AAC5BQAAAAA=&#10;">
                <v:fill on="f" focussize="0,0"/>
                <v:stroke on="f"/>
                <v:imagedata o:title=""/>
                <o:lock v:ext="edit" aspectratio="f"/>
                <v:textbox>
                  <w:txbxContent>
                    <w:p w14:paraId="0CEC7057">
                      <w:pPr>
                        <w:rPr>
                          <w:b/>
                          <w:sz w:val="28"/>
                          <w:szCs w:val="28"/>
                        </w:rPr>
                      </w:pPr>
                      <w:r>
                        <w:rPr>
                          <w:rFonts w:hint="eastAsia"/>
                          <w:b/>
                          <w:sz w:val="28"/>
                          <w:szCs w:val="28"/>
                        </w:rPr>
                        <w:t>附图</w:t>
                      </w:r>
                      <w:r>
                        <w:rPr>
                          <w:rFonts w:ascii="宋体" w:hAnsi="宋体"/>
                          <w:b/>
                          <w:sz w:val="28"/>
                          <w:szCs w:val="28"/>
                        </w:rPr>
                        <w:t>5</w:t>
                      </w:r>
                      <w:r>
                        <w:rPr>
                          <w:rFonts w:hint="eastAsia" w:ascii="宋体" w:hAnsi="宋体"/>
                          <w:b/>
                          <w:sz w:val="28"/>
                          <w:szCs w:val="28"/>
                        </w:rPr>
                        <w:t xml:space="preserve"> 建设项目大气、</w:t>
                      </w:r>
                      <w:r>
                        <w:rPr>
                          <w:rFonts w:ascii="宋体" w:hAnsi="宋体"/>
                          <w:b/>
                          <w:sz w:val="28"/>
                          <w:szCs w:val="28"/>
                        </w:rPr>
                        <w:t>噪声</w:t>
                      </w:r>
                      <w:r>
                        <w:rPr>
                          <w:rFonts w:hint="eastAsia" w:ascii="宋体" w:hAnsi="宋体"/>
                          <w:b/>
                          <w:sz w:val="28"/>
                          <w:szCs w:val="28"/>
                        </w:rPr>
                        <w:t>敏感点图</w:t>
                      </w:r>
                    </w:p>
                  </w:txbxContent>
                </v:textbox>
              </v:shape>
            </w:pict>
          </mc:Fallback>
        </mc:AlternateContent>
      </w:r>
      <w:r>
        <w:rPr>
          <w:color w:val="auto"/>
          <w:szCs w:val="21"/>
        </w:rPr>
        <w:t xml:space="preserve"> </w:t>
      </w:r>
    </w:p>
    <w:p w14:paraId="4641022A">
      <w:pPr>
        <w:widowControl/>
        <w:jc w:val="left"/>
        <w:rPr>
          <w:b/>
          <w:color w:val="auto"/>
          <w:szCs w:val="21"/>
          <w:lang w:val="zh-CN"/>
        </w:rPr>
        <w:sectPr>
          <w:pgSz w:w="16839" w:h="11907" w:orient="landscape"/>
          <w:pgMar w:top="1531" w:right="1701" w:bottom="1531" w:left="1701" w:header="851" w:footer="567" w:gutter="0"/>
          <w:pgBorders>
            <w:top w:val="none" w:sz="0" w:space="0"/>
            <w:left w:val="none" w:sz="0" w:space="0"/>
            <w:bottom w:val="none" w:sz="0" w:space="0"/>
            <w:right w:val="none" w:sz="0" w:space="0"/>
          </w:pgBorders>
          <w:cols w:space="720" w:num="1"/>
          <w:docGrid w:linePitch="312" w:charSpace="0"/>
        </w:sectPr>
      </w:pPr>
      <w:r>
        <w:rPr>
          <w:color w:val="auto"/>
        </w:rPr>
        <mc:AlternateContent>
          <mc:Choice Requires="wpg">
            <w:drawing>
              <wp:anchor distT="0" distB="0" distL="114300" distR="114300" simplePos="0" relativeHeight="251753472" behindDoc="0" locked="0" layoutInCell="1" allowOverlap="1">
                <wp:simplePos x="0" y="0"/>
                <wp:positionH relativeFrom="column">
                  <wp:posOffset>7546975</wp:posOffset>
                </wp:positionH>
                <wp:positionV relativeFrom="paragraph">
                  <wp:posOffset>414655</wp:posOffset>
                </wp:positionV>
                <wp:extent cx="571500" cy="368300"/>
                <wp:effectExtent l="0" t="0" r="19050" b="0"/>
                <wp:wrapNone/>
                <wp:docPr id="80" name="组合 80"/>
                <wp:cNvGraphicFramePr/>
                <a:graphic xmlns:a="http://schemas.openxmlformats.org/drawingml/2006/main">
                  <a:graphicData uri="http://schemas.microsoft.com/office/word/2010/wordprocessingGroup">
                    <wpg:wgp>
                      <wpg:cNvGrpSpPr/>
                      <wpg:grpSpPr>
                        <a:xfrm>
                          <a:off x="0" y="0"/>
                          <a:ext cx="571500" cy="368300"/>
                          <a:chOff x="11962" y="585975"/>
                          <a:chExt cx="915" cy="591"/>
                        </a:xfrm>
                      </wpg:grpSpPr>
                      <wps:wsp>
                        <wps:cNvPr id="96" name="直接连接符 104"/>
                        <wps:cNvCnPr/>
                        <wps:spPr>
                          <a:xfrm>
                            <a:off x="11962" y="586177"/>
                            <a:ext cx="915" cy="1"/>
                          </a:xfrm>
                          <a:prstGeom prst="line">
                            <a:avLst/>
                          </a:prstGeom>
                          <a:ln w="19050" cap="flat" cmpd="sng">
                            <a:solidFill>
                              <a:srgbClr val="000000"/>
                            </a:solidFill>
                            <a:prstDash val="solid"/>
                            <a:headEnd type="none" w="med" len="med"/>
                            <a:tailEnd type="none" w="med" len="med"/>
                          </a:ln>
                        </wps:spPr>
                        <wps:bodyPr upright="1"/>
                      </wps:wsp>
                      <wps:wsp>
                        <wps:cNvPr id="97" name="直接连接符 105"/>
                        <wps:cNvCnPr/>
                        <wps:spPr>
                          <a:xfrm flipV="1">
                            <a:off x="12862" y="585975"/>
                            <a:ext cx="1" cy="203"/>
                          </a:xfrm>
                          <a:prstGeom prst="line">
                            <a:avLst/>
                          </a:prstGeom>
                          <a:ln w="19050" cap="flat" cmpd="sng">
                            <a:solidFill>
                              <a:srgbClr val="000000"/>
                            </a:solidFill>
                            <a:prstDash val="solid"/>
                            <a:headEnd type="none" w="med" len="med"/>
                            <a:tailEnd type="none" w="med" len="med"/>
                          </a:ln>
                        </wps:spPr>
                        <wps:bodyPr upright="1"/>
                      </wps:wsp>
                      <wps:wsp>
                        <wps:cNvPr id="98" name="直接连接符 106"/>
                        <wps:cNvCnPr/>
                        <wps:spPr>
                          <a:xfrm flipV="1">
                            <a:off x="11977" y="585985"/>
                            <a:ext cx="1" cy="203"/>
                          </a:xfrm>
                          <a:prstGeom prst="line">
                            <a:avLst/>
                          </a:prstGeom>
                          <a:ln w="19050" cap="flat" cmpd="sng">
                            <a:solidFill>
                              <a:srgbClr val="000000"/>
                            </a:solidFill>
                            <a:prstDash val="solid"/>
                            <a:headEnd type="none" w="med" len="med"/>
                            <a:tailEnd type="none" w="med" len="med"/>
                          </a:ln>
                        </wps:spPr>
                        <wps:bodyPr upright="1"/>
                      </wps:wsp>
                      <wps:wsp>
                        <wps:cNvPr id="99" name="文本框 107"/>
                        <wps:cNvSpPr txBox="1"/>
                        <wps:spPr>
                          <a:xfrm>
                            <a:off x="12128" y="586146"/>
                            <a:ext cx="705" cy="420"/>
                          </a:xfrm>
                          <a:prstGeom prst="rect">
                            <a:avLst/>
                          </a:prstGeom>
                          <a:noFill/>
                          <a:ln>
                            <a:noFill/>
                          </a:ln>
                        </wps:spPr>
                        <wps:txbx>
                          <w:txbxContent>
                            <w:p w14:paraId="7B9859D7">
                              <w:pPr>
                                <w:rPr>
                                  <w:rFonts w:hint="default" w:eastAsia="宋体"/>
                                  <w:b/>
                                  <w:bCs/>
                                  <w:color w:val="000000"/>
                                  <w:lang w:val="en-US" w:eastAsia="zh-CN"/>
                                </w:rPr>
                              </w:pPr>
                              <w:r>
                                <w:rPr>
                                  <w:rFonts w:hint="eastAsia"/>
                                  <w:b/>
                                  <w:bCs/>
                                  <w:color w:val="000000"/>
                                  <w:lang w:val="en-US" w:eastAsia="zh-CN"/>
                                </w:rPr>
                                <w:t>90m</w:t>
                              </w:r>
                            </w:p>
                          </w:txbxContent>
                        </wps:txbx>
                        <wps:bodyPr upright="1"/>
                      </wps:wsp>
                    </wpg:wgp>
                  </a:graphicData>
                </a:graphic>
              </wp:anchor>
            </w:drawing>
          </mc:Choice>
          <mc:Fallback>
            <w:pict>
              <v:group id="_x0000_s1026" o:spid="_x0000_s1026" o:spt="203" style="position:absolute;left:0pt;margin-left:594.25pt;margin-top:32.65pt;height:29pt;width:45pt;z-index:251753472;mso-width-relative:page;mso-height-relative:page;" coordorigin="11962,585975" coordsize="915,591" o:gfxdata="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&#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">
                <o:lock v:ext="edit" aspectratio="f"/>
                <v:line id="直接连接符 104" o:spid="_x0000_s1026" o:spt="20" style="position:absolute;left:11962;top:586177;height:1;width:915;" filled="f" stroked="t" coordsize="21600,21600" o:gfxdata="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GBJu7sAAADb&#10;AAAADwAAAAAAAAABACAAAAAiAAAAZHJzL2Rvd25yZXYueG1sUEsBAhQAFAAAAAgAh07iQDMvBZ47&#10;AAAAOQAAABAAAAAAAAAAAQAgAAAACgEAAGRycy9zaGFwZXhtbC54bWxQSwUGAAAAAAYABgBbAQAA&#10;tAMAAAAA&#10;">
                  <v:fill on="f" focussize="0,0"/>
                  <v:stroke weight="1.5pt" color="#000000" joinstyle="round"/>
                  <v:imagedata o:title=""/>
                  <o:lock v:ext="edit" aspectratio="f"/>
                </v:line>
                <v:line id="直接连接符 105" o:spid="_x0000_s1026" o:spt="20" style="position:absolute;left:12862;top:585975;flip:y;height:203;width:1;" filled="f" stroked="t" coordsize="21600,21600" o:gfxdata="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kzzL7gAAADbAAAA&#10;DwAAAAAAAAABACAAAAAiAAAAZHJzL2Rvd25yZXYueG1sUEsBAhQAFAAAAAgAh07iQDMvBZ47AAAA&#10;OQAAABAAAAAAAAAAAQAgAAAABwEAAGRycy9zaGFwZXhtbC54bWxQSwUGAAAAAAYABgBbAQAAsQMA&#10;AAAA&#10;">
                  <v:fill on="f" focussize="0,0"/>
                  <v:stroke weight="1.5pt" color="#000000" joinstyle="round"/>
                  <v:imagedata o:title=""/>
                  <o:lock v:ext="edit" aspectratio="f"/>
                </v:line>
                <v:line id="直接连接符 106" o:spid="_x0000_s1026" o:spt="20" style="position:absolute;left:11977;top:585985;flip:y;height:203;width:1;" filled="f" stroked="t" coordsize="21600,21600" o:gfxdata="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D02ddtwAAANsAAAAP&#10;AAAAAAAAAAEAIAAAACIAAABkcnMvZG93bnJldi54bWxQSwECFAAUAAAACACHTuJAMy8FnjsAAAA5&#10;AAAAEAAAAAAAAAABACAAAAAGAQAAZHJzL3NoYXBleG1sLnhtbFBLBQYAAAAABgAGAFsBAACwAwAA&#10;AAA=&#10;">
                  <v:fill on="f" focussize="0,0"/>
                  <v:stroke weight="1.5pt" color="#000000" joinstyle="round"/>
                  <v:imagedata o:title=""/>
                  <o:lock v:ext="edit" aspectratio="f"/>
                </v:line>
                <v:shape id="文本框 107" o:spid="_x0000_s1026" o:spt="202" type="#_x0000_t202" style="position:absolute;left:12128;top:586146;height:420;width:705;" filled="f" stroked="f" coordsize="21600,21600" o:gfxdata="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iwx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7B9859D7">
                        <w:pPr>
                          <w:rPr>
                            <w:rFonts w:hint="default" w:eastAsia="宋体"/>
                            <w:b/>
                            <w:bCs/>
                            <w:color w:val="000000"/>
                            <w:lang w:val="en-US" w:eastAsia="zh-CN"/>
                          </w:rPr>
                        </w:pPr>
                        <w:r>
                          <w:rPr>
                            <w:rFonts w:hint="eastAsia"/>
                            <w:b/>
                            <w:bCs/>
                            <w:color w:val="000000"/>
                            <w:lang w:val="en-US" w:eastAsia="zh-CN"/>
                          </w:rPr>
                          <w:t>90m</w:t>
                        </w:r>
                      </w:p>
                    </w:txbxContent>
                  </v:textbox>
                </v:shape>
              </v:group>
            </w:pict>
          </mc:Fallback>
        </mc:AlternateContent>
      </w:r>
      <w:r>
        <w:rPr>
          <w:color w:val="auto"/>
          <w:sz w:val="21"/>
        </w:rPr>
        <mc:AlternateContent>
          <mc:Choice Requires="wps">
            <w:drawing>
              <wp:anchor distT="0" distB="0" distL="114300" distR="114300" simplePos="0" relativeHeight="251713536" behindDoc="0" locked="0" layoutInCell="1" allowOverlap="1">
                <wp:simplePos x="0" y="0"/>
                <wp:positionH relativeFrom="column">
                  <wp:posOffset>3660775</wp:posOffset>
                </wp:positionH>
                <wp:positionV relativeFrom="paragraph">
                  <wp:posOffset>451485</wp:posOffset>
                </wp:positionV>
                <wp:extent cx="2577465" cy="1261745"/>
                <wp:effectExtent l="0" t="0" r="13335" b="14605"/>
                <wp:wrapNone/>
                <wp:docPr id="46" name="任意多边形 46"/>
                <wp:cNvGraphicFramePr/>
                <a:graphic xmlns:a="http://schemas.openxmlformats.org/drawingml/2006/main">
                  <a:graphicData uri="http://schemas.microsoft.com/office/word/2010/wordprocessingShape">
                    <wps:wsp>
                      <wps:cNvSpPr/>
                      <wps:spPr>
                        <a:xfrm>
                          <a:off x="5223510" y="4024630"/>
                          <a:ext cx="2577478" cy="1261745"/>
                        </a:xfrm>
                        <a:custGeom>
                          <a:avLst/>
                          <a:gdLst>
                            <a:gd name="connsiteX0" fmla="*/ 881 w 4059"/>
                            <a:gd name="connsiteY0" fmla="*/ 634 h 1987"/>
                            <a:gd name="connsiteX1" fmla="*/ 2179 w 4059"/>
                            <a:gd name="connsiteY1" fmla="*/ 0 h 1987"/>
                            <a:gd name="connsiteX2" fmla="*/ 2408 w 4059"/>
                            <a:gd name="connsiteY2" fmla="*/ 354 h 1987"/>
                            <a:gd name="connsiteX3" fmla="*/ 2492 w 4059"/>
                            <a:gd name="connsiteY3" fmla="*/ 316 h 1987"/>
                            <a:gd name="connsiteX4" fmla="*/ 2695 w 4059"/>
                            <a:gd name="connsiteY4" fmla="*/ 679 h 1987"/>
                            <a:gd name="connsiteX5" fmla="*/ 2981 w 4059"/>
                            <a:gd name="connsiteY5" fmla="*/ 1042 h 1987"/>
                            <a:gd name="connsiteX6" fmla="*/ 3562 w 4059"/>
                            <a:gd name="connsiteY6" fmla="*/ 614 h 1987"/>
                            <a:gd name="connsiteX7" fmla="*/ 3992 w 4059"/>
                            <a:gd name="connsiteY7" fmla="*/ 1519 h 1987"/>
                            <a:gd name="connsiteX8" fmla="*/ 4059 w 4059"/>
                            <a:gd name="connsiteY8" fmla="*/ 1932 h 1987"/>
                            <a:gd name="connsiteX9" fmla="*/ 3841 w 4059"/>
                            <a:gd name="connsiteY9" fmla="*/ 1987 h 1987"/>
                            <a:gd name="connsiteX10" fmla="*/ 3581 w 4059"/>
                            <a:gd name="connsiteY10" fmla="*/ 1987 h 1987"/>
                            <a:gd name="connsiteX11" fmla="*/ 3309 w 4059"/>
                            <a:gd name="connsiteY11" fmla="*/ 1932 h 1987"/>
                            <a:gd name="connsiteX12" fmla="*/ 3091 w 4059"/>
                            <a:gd name="connsiteY12" fmla="*/ 1919 h 1987"/>
                            <a:gd name="connsiteX13" fmla="*/ 2968 w 4059"/>
                            <a:gd name="connsiteY13" fmla="*/ 1932 h 1987"/>
                            <a:gd name="connsiteX14" fmla="*/ 2362 w 4059"/>
                            <a:gd name="connsiteY14" fmla="*/ 1921 h 1987"/>
                            <a:gd name="connsiteX15" fmla="*/ 1387 w 4059"/>
                            <a:gd name="connsiteY15" fmla="*/ 1446 h 1987"/>
                            <a:gd name="connsiteX16" fmla="*/ 687 w 4059"/>
                            <a:gd name="connsiteY16" fmla="*/ 1096 h 1987"/>
                            <a:gd name="connsiteX17" fmla="*/ 75 w 4059"/>
                            <a:gd name="connsiteY17" fmla="*/ 1608 h 1987"/>
                            <a:gd name="connsiteX18" fmla="*/ 62 w 4059"/>
                            <a:gd name="connsiteY18" fmla="*/ 1046 h 1987"/>
                            <a:gd name="connsiteX19" fmla="*/ 881 w 4059"/>
                            <a:gd name="connsiteY19" fmla="*/ 634 h 19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059" h="1987">
                              <a:moveTo>
                                <a:pt x="881" y="634"/>
                              </a:moveTo>
                              <a:lnTo>
                                <a:pt x="2179" y="0"/>
                              </a:lnTo>
                              <a:lnTo>
                                <a:pt x="2408" y="354"/>
                              </a:lnTo>
                              <a:lnTo>
                                <a:pt x="2492" y="316"/>
                              </a:lnTo>
                              <a:lnTo>
                                <a:pt x="2695" y="679"/>
                              </a:lnTo>
                              <a:lnTo>
                                <a:pt x="2981" y="1042"/>
                              </a:lnTo>
                              <a:lnTo>
                                <a:pt x="3562" y="614"/>
                              </a:lnTo>
                              <a:lnTo>
                                <a:pt x="3992" y="1519"/>
                              </a:lnTo>
                              <a:lnTo>
                                <a:pt x="4059" y="1932"/>
                              </a:lnTo>
                              <a:lnTo>
                                <a:pt x="3841" y="1987"/>
                              </a:lnTo>
                              <a:lnTo>
                                <a:pt x="3581" y="1987"/>
                              </a:lnTo>
                              <a:lnTo>
                                <a:pt x="3309" y="1932"/>
                              </a:lnTo>
                              <a:lnTo>
                                <a:pt x="3091" y="1919"/>
                              </a:lnTo>
                              <a:lnTo>
                                <a:pt x="2968" y="1932"/>
                              </a:lnTo>
                              <a:lnTo>
                                <a:pt x="2362" y="1921"/>
                              </a:lnTo>
                              <a:lnTo>
                                <a:pt x="1387" y="1446"/>
                              </a:lnTo>
                              <a:lnTo>
                                <a:pt x="687" y="1096"/>
                              </a:lnTo>
                              <a:lnTo>
                                <a:pt x="75" y="1608"/>
                              </a:lnTo>
                              <a:cubicBezTo>
                                <a:pt x="-88" y="1383"/>
                                <a:pt x="66" y="1233"/>
                                <a:pt x="62" y="1046"/>
                              </a:cubicBezTo>
                              <a:lnTo>
                                <a:pt x="881" y="634"/>
                              </a:lnTo>
                              <a:close/>
                            </a:path>
                          </a:pathLst>
                        </a:custGeom>
                        <a:solidFill>
                          <a:schemeClr val="accent6">
                            <a:alpha val="71000"/>
                          </a:schemeClr>
                        </a:solidFill>
                        <a:ln w="12700">
                          <a:noFill/>
                        </a:ln>
                      </wps:spPr>
                      <wps:bodyPr/>
                    </wps:wsp>
                  </a:graphicData>
                </a:graphic>
              </wp:anchor>
            </w:drawing>
          </mc:Choice>
          <mc:Fallback>
            <w:pict>
              <v:shape id="_x0000_s1026" o:spid="_x0000_s1026" o:spt="100" style="position:absolute;left:0pt;margin-left:288.25pt;margin-top:35.55pt;height:99.35pt;width:202.95pt;z-index:251713536;mso-width-relative:page;mso-height-relative:page;" fillcolor="#70AD47 [3209]" filled="t" stroked="f" coordsize="4059,1987" o:gfxdata="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" path="m881,634l2179,0,2408,354,2492,316,2695,679,2981,1042,3562,614,3992,1519,4059,1932,3841,1987,3581,1987,3309,1932,3091,1919,2968,1932,2362,1921,1387,1446,687,1096,75,1608c-88,1383,66,1233,62,1046l881,634xe">
                <v:path o:connectlocs="559437,402590;1383671,0;1529087,224790;1582427,200660;1711333,431165;1892944,661670;2261881,389890;2534932,964565;2577478,1226820;2439047,1261745;2273946,1261745;2101225,1226820;1962794,1218565;1884689,1226820;1499877,1219835;880749,918210;436247,695960;47625,1021080;39370,664210;559437,402590" o:connectangles="0,0,0,0,0,0,0,0,0,0,0,0,0,0,0,0,0,0,0,0"/>
                <v:fill on="t" opacity="46530f" focussize="0,0"/>
                <v:stroke on="f" weight="1pt"/>
                <v:imagedata o:title=""/>
                <o:lock v:ext="edit" aspectratio="f"/>
              </v:shape>
            </w:pict>
          </mc:Fallback>
        </mc:AlternateContent>
      </w:r>
      <w:r>
        <w:rPr>
          <w:color w:val="auto"/>
          <w:szCs w:val="21"/>
        </w:rPr>
        <mc:AlternateContent>
          <mc:Choice Requires="wps">
            <w:drawing>
              <wp:anchor distT="0" distB="0" distL="114300" distR="114300" simplePos="0" relativeHeight="251669504" behindDoc="0" locked="0" layoutInCell="1" allowOverlap="1">
                <wp:simplePos x="0" y="0"/>
                <wp:positionH relativeFrom="column">
                  <wp:posOffset>2828290</wp:posOffset>
                </wp:positionH>
                <wp:positionV relativeFrom="paragraph">
                  <wp:posOffset>2765425</wp:posOffset>
                </wp:positionV>
                <wp:extent cx="3317875" cy="409575"/>
                <wp:effectExtent l="0" t="0" r="0" b="0"/>
                <wp:wrapNone/>
                <wp:docPr id="254" name="文本框 172"/>
                <wp:cNvGraphicFramePr/>
                <a:graphic xmlns:a="http://schemas.openxmlformats.org/drawingml/2006/main">
                  <a:graphicData uri="http://schemas.microsoft.com/office/word/2010/wordprocessingShape">
                    <wps:wsp>
                      <wps:cNvSpPr txBox="1">
                        <a:spLocks noChangeArrowheads="1"/>
                      </wps:cNvSpPr>
                      <wps:spPr bwMode="auto">
                        <a:xfrm>
                          <a:off x="0" y="0"/>
                          <a:ext cx="3317965" cy="409575"/>
                        </a:xfrm>
                        <a:prstGeom prst="rect">
                          <a:avLst/>
                        </a:prstGeom>
                        <a:noFill/>
                        <a:ln>
                          <a:noFill/>
                        </a:ln>
                        <a:effectLst/>
                      </wps:spPr>
                      <wps:txbx>
                        <w:txbxContent>
                          <w:p w14:paraId="1BB9C6B7">
                            <w:r>
                              <w:rPr>
                                <w:rFonts w:hint="eastAsia" w:ascii="宋体" w:hAnsi="宋体"/>
                                <w:b/>
                                <w:sz w:val="28"/>
                                <w:szCs w:val="28"/>
                                <w:lang w:val="en-US" w:eastAsia="zh-CN"/>
                              </w:rPr>
                              <w:t xml:space="preserve">附图5 </w:t>
                            </w:r>
                            <w:r>
                              <w:rPr>
                                <w:rFonts w:hint="eastAsia" w:ascii="宋体" w:hAnsi="宋体"/>
                                <w:b/>
                                <w:sz w:val="28"/>
                                <w:szCs w:val="28"/>
                              </w:rPr>
                              <w:t>建设项目大气、</w:t>
                            </w:r>
                            <w:r>
                              <w:rPr>
                                <w:rFonts w:ascii="宋体" w:hAnsi="宋体"/>
                                <w:b/>
                                <w:sz w:val="28"/>
                                <w:szCs w:val="28"/>
                              </w:rPr>
                              <w:t>噪声</w:t>
                            </w:r>
                            <w:r>
                              <w:rPr>
                                <w:rFonts w:hint="eastAsia" w:ascii="宋体" w:hAnsi="宋体"/>
                                <w:b/>
                                <w:sz w:val="28"/>
                                <w:szCs w:val="28"/>
                              </w:rPr>
                              <w:t>敏感点图</w:t>
                            </w:r>
                          </w:p>
                        </w:txbxContent>
                      </wps:txbx>
                      <wps:bodyPr rot="0" vert="horz" wrap="square" lIns="91440" tIns="45720" rIns="91440" bIns="45720" anchor="t" anchorCtr="0" upright="1">
                        <a:noAutofit/>
                      </wps:bodyPr>
                    </wps:wsp>
                  </a:graphicData>
                </a:graphic>
              </wp:anchor>
            </w:drawing>
          </mc:Choice>
          <mc:Fallback>
            <w:pict>
              <v:shape id="文本框 172" o:spid="_x0000_s1026" o:spt="202" type="#_x0000_t202" style="position:absolute;left:0pt;margin-left:222.7pt;margin-top:217.75pt;height:32.25pt;width:261.25pt;z-index:251669504;mso-width-relative:page;mso-height-relative:page;" filled="f" stroked="f" coordsize="21600,21600" o:gfxdata="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4gMbc&#10;2AAAAAsBAAAPAAAAAAAAAAEAIAAAACIAAABkcnMvZG93bnJldi54bWxQSwECFAAUAAAACACHTuJA&#10;n9rAYSECAAAnBAAADgAAAAAAAAABACAAAAAnAQAAZHJzL2Uyb0RvYy54bWxQSwUGAAAAAAYABgBZ&#10;AQAAugUAAAAA&#10;">
                <v:fill on="f" focussize="0,0"/>
                <v:stroke on="f"/>
                <v:imagedata o:title=""/>
                <o:lock v:ext="edit" aspectratio="f"/>
                <v:textbox>
                  <w:txbxContent>
                    <w:p w14:paraId="1BB9C6B7">
                      <w:r>
                        <w:rPr>
                          <w:rFonts w:hint="eastAsia" w:ascii="宋体" w:hAnsi="宋体"/>
                          <w:b/>
                          <w:sz w:val="28"/>
                          <w:szCs w:val="28"/>
                          <w:lang w:val="en-US" w:eastAsia="zh-CN"/>
                        </w:rPr>
                        <w:t xml:space="preserve">附图5 </w:t>
                      </w:r>
                      <w:r>
                        <w:rPr>
                          <w:rFonts w:hint="eastAsia" w:ascii="宋体" w:hAnsi="宋体"/>
                          <w:b/>
                          <w:sz w:val="28"/>
                          <w:szCs w:val="28"/>
                        </w:rPr>
                        <w:t>建设项目大气、</w:t>
                      </w:r>
                      <w:r>
                        <w:rPr>
                          <w:rFonts w:ascii="宋体" w:hAnsi="宋体"/>
                          <w:b/>
                          <w:sz w:val="28"/>
                          <w:szCs w:val="28"/>
                        </w:rPr>
                        <w:t>噪声</w:t>
                      </w:r>
                      <w:r>
                        <w:rPr>
                          <w:rFonts w:hint="eastAsia" w:ascii="宋体" w:hAnsi="宋体"/>
                          <w:b/>
                          <w:sz w:val="28"/>
                          <w:szCs w:val="28"/>
                        </w:rPr>
                        <w:t>敏感点图</w:t>
                      </w:r>
                    </w:p>
                  </w:txbxContent>
                </v:textbox>
              </v:shape>
            </w:pict>
          </mc:Fallback>
        </mc:AlternateContent>
      </w: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7563485</wp:posOffset>
                </wp:positionH>
                <wp:positionV relativeFrom="paragraph">
                  <wp:posOffset>2447290</wp:posOffset>
                </wp:positionV>
                <wp:extent cx="436880" cy="182880"/>
                <wp:effectExtent l="0" t="0" r="1270" b="7620"/>
                <wp:wrapNone/>
                <wp:docPr id="241" name="矩形 241"/>
                <wp:cNvGraphicFramePr/>
                <a:graphic xmlns:a="http://schemas.openxmlformats.org/drawingml/2006/main">
                  <a:graphicData uri="http://schemas.microsoft.com/office/word/2010/wordprocessingShape">
                    <wps:wsp>
                      <wps:cNvSpPr/>
                      <wps:spPr>
                        <a:xfrm>
                          <a:off x="0" y="0"/>
                          <a:ext cx="436880" cy="182880"/>
                        </a:xfrm>
                        <a:prstGeom prst="rect">
                          <a:avLst/>
                        </a:prstGeom>
                        <a:solidFill>
                          <a:schemeClr val="accent6">
                            <a:alpha val="71000"/>
                          </a:schemeClr>
                        </a:solidFill>
                        <a:ln w="12700">
                          <a:noFill/>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5.55pt;margin-top:192.7pt;height:14.4pt;width:34.4pt;z-index:251704320;v-text-anchor:middle;mso-width-relative:page;mso-height-relative:page;" fillcolor="#70AD47 [3209]" filled="t" stroked="f" coordsize="21600,21600" o:gfxdata="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fE9zn2gAAAA0BAAAPAAAA&#10;AAAAAAEAIAAAACIAAABkcnMvZG93bnJldi54bWxQSwECFAAUAAAACACHTuJA1mDw9EwCAACeBAAA&#10;DgAAAAAAAAABACAAAAApAQAAZHJzL2Uyb0RvYy54bWxQSwUGAAAAAAYABgBZAQAA5wUAAAAA&#10;">
                <v:fill on="t" opacity="46530f" focussize="0,0"/>
                <v:stroke on="f" weight="1pt"/>
                <v:imagedata o:title=""/>
                <o:lock v:ext="edit" aspectratio="f"/>
              </v:rect>
            </w:pict>
          </mc:Fallback>
        </mc:AlternateContent>
      </w: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7531735</wp:posOffset>
                </wp:positionH>
                <wp:positionV relativeFrom="paragraph">
                  <wp:posOffset>1775460</wp:posOffset>
                </wp:positionV>
                <wp:extent cx="436880" cy="182880"/>
                <wp:effectExtent l="9525" t="9525" r="10795" b="17145"/>
                <wp:wrapNone/>
                <wp:docPr id="239" name="矩形 239"/>
                <wp:cNvGraphicFramePr/>
                <a:graphic xmlns:a="http://schemas.openxmlformats.org/drawingml/2006/main">
                  <a:graphicData uri="http://schemas.microsoft.com/office/word/2010/wordprocessingShape">
                    <wps:wsp>
                      <wps:cNvSpPr/>
                      <wps:spPr>
                        <a:xfrm>
                          <a:off x="0" y="0"/>
                          <a:ext cx="436880" cy="182880"/>
                        </a:xfrm>
                        <a:prstGeom prst="rect">
                          <a:avLst/>
                        </a:prstGeom>
                        <a:solidFill>
                          <a:schemeClr val="bg1">
                            <a:lumMod val="85000"/>
                            <a:alpha val="20000"/>
                          </a:schemeClr>
                        </a:solidFill>
                        <a:ln w="19050">
                          <a:solidFill>
                            <a:srgbClr val="FF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3.05pt;margin-top:139.8pt;height:14.4pt;width:34.4pt;z-index:251702272;v-text-anchor:middle;mso-width-relative:page;mso-height-relative:page;" fillcolor="#D9D9D9 [2732]" filled="t" stroked="t" coordsize="21600,21600" o:gfxdata="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GjSpSjd&#10;AAAADQEAAA8AAAAAAAAAAQAgAAAAIgAAAGRycy9kb3ducmV2LnhtbFBLAQIUABQAAAAIAIdO4kCQ&#10;IY1FjQIAAC4FAAAOAAAAAAAAAAEAIAAAACwBAABkcnMvZTJvRG9jLnhtbFBLBQYAAAAABgAGAFkB&#10;AAArBgAAAAA=&#10;">
                <v:fill on="t" opacity="13107f" focussize="0,0"/>
                <v:stroke weight="1.5pt" color="#FF0000 [2404]" miterlimit="8" joinstyle="miter" dashstyle="dash"/>
                <v:imagedata o:title=""/>
                <o:lock v:ext="edit" aspectratio="f"/>
              </v:rect>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7553325</wp:posOffset>
                </wp:positionH>
                <wp:positionV relativeFrom="paragraph">
                  <wp:posOffset>1428750</wp:posOffset>
                </wp:positionV>
                <wp:extent cx="436880" cy="182880"/>
                <wp:effectExtent l="6350" t="6350" r="13970" b="20320"/>
                <wp:wrapNone/>
                <wp:docPr id="238" name="矩形 238"/>
                <wp:cNvGraphicFramePr/>
                <a:graphic xmlns:a="http://schemas.openxmlformats.org/drawingml/2006/main">
                  <a:graphicData uri="http://schemas.microsoft.com/office/word/2010/wordprocessingShape">
                    <wps:wsp>
                      <wps:cNvSpPr/>
                      <wps:spPr>
                        <a:xfrm>
                          <a:off x="8292465" y="5491480"/>
                          <a:ext cx="436880" cy="1828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4.75pt;margin-top:112.5pt;height:14.4pt;width:34.4pt;z-index:251701248;v-text-anchor:middle;mso-width-relative:page;mso-height-relative:page;" filled="f" stroked="t" coordsize="21600,21600" o:gfxdata="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zz/n3ZAAAADQEAAA8AAAAAAAAAAQAgAAAAIgAAAGRycy9k&#10;b3ducmV2LnhtbFBLAQIUABQAAAAIAIdO4kDBJpzxcwIAANoEAAAOAAAAAAAAAAEAIAAAACgBAABk&#10;cnMvZTJvRG9jLnhtbFBLBQYAAAAABgAGAFkBAAANBgAAAAA=&#10;">
                <v:fill on="f" focussize="0,0"/>
                <v:stroke weight="1pt" color="#000000 [3213]"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700224" behindDoc="0" locked="0" layoutInCell="1" allowOverlap="1">
                <wp:simplePos x="0" y="0"/>
                <wp:positionH relativeFrom="column">
                  <wp:posOffset>7363460</wp:posOffset>
                </wp:positionH>
                <wp:positionV relativeFrom="paragraph">
                  <wp:posOffset>1032510</wp:posOffset>
                </wp:positionV>
                <wp:extent cx="1948180" cy="1722120"/>
                <wp:effectExtent l="4445" t="4445" r="9525" b="6985"/>
                <wp:wrapNone/>
                <wp:docPr id="237" name="文本框 237"/>
                <wp:cNvGraphicFramePr/>
                <a:graphic xmlns:a="http://schemas.openxmlformats.org/drawingml/2006/main">
                  <a:graphicData uri="http://schemas.microsoft.com/office/word/2010/wordprocessingShape">
                    <wps:wsp>
                      <wps:cNvSpPr txBox="1"/>
                      <wps:spPr>
                        <a:xfrm>
                          <a:off x="8133715" y="5118735"/>
                          <a:ext cx="1948180" cy="1722120"/>
                        </a:xfrm>
                        <a:prstGeom prst="rect">
                          <a:avLst/>
                        </a:prstGeom>
                        <a:no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14:paraId="2CA0393F">
                            <w:pPr>
                              <w:rPr>
                                <w:rFonts w:hint="eastAsia"/>
                                <w:lang w:val="en-US" w:eastAsia="zh-CN"/>
                              </w:rPr>
                            </w:pPr>
                            <w:r>
                              <w:rPr>
                                <w:rFonts w:hint="eastAsia"/>
                                <w:lang w:val="en-US" w:eastAsia="zh-CN"/>
                              </w:rPr>
                              <w:t>图注：</w:t>
                            </w:r>
                          </w:p>
                          <w:p w14:paraId="5AF389B2">
                            <w:pPr>
                              <w:pStyle w:val="46"/>
                              <w:rPr>
                                <w:rFonts w:hint="default"/>
                                <w:lang w:val="en-US" w:eastAsia="zh-CN"/>
                              </w:rPr>
                            </w:pPr>
                          </w:p>
                          <w:p w14:paraId="6F95CAE8">
                            <w:pPr>
                              <w:pStyle w:val="48"/>
                              <w:spacing w:line="480" w:lineRule="auto"/>
                              <w:ind w:firstLine="1155" w:firstLineChars="550"/>
                              <w:rPr>
                                <w:rFonts w:hint="eastAsia"/>
                                <w:color w:val="auto"/>
                                <w:sz w:val="21"/>
                                <w:szCs w:val="21"/>
                                <w:lang w:val="en-US" w:eastAsia="zh-CN"/>
                              </w:rPr>
                            </w:pPr>
                            <w:r>
                              <w:rPr>
                                <w:rFonts w:hint="eastAsia"/>
                                <w:color w:val="auto"/>
                                <w:sz w:val="21"/>
                                <w:szCs w:val="21"/>
                                <w:lang w:val="en-US" w:eastAsia="zh-CN"/>
                              </w:rPr>
                              <w:t>本项目厂界</w:t>
                            </w:r>
                          </w:p>
                          <w:p w14:paraId="45EE79D4">
                            <w:pPr>
                              <w:spacing w:line="480" w:lineRule="auto"/>
                              <w:ind w:firstLine="1050" w:firstLineChars="500"/>
                              <w:rPr>
                                <w:rFonts w:hint="eastAsia"/>
                                <w:sz w:val="21"/>
                                <w:szCs w:val="21"/>
                                <w:lang w:val="en-US" w:eastAsia="zh-CN"/>
                              </w:rPr>
                            </w:pPr>
                            <w:r>
                              <w:rPr>
                                <w:rFonts w:hint="eastAsia"/>
                                <w:sz w:val="21"/>
                                <w:szCs w:val="21"/>
                                <w:lang w:val="en-US" w:eastAsia="zh-CN"/>
                              </w:rPr>
                              <w:t>噪声保护目标范围</w:t>
                            </w:r>
                          </w:p>
                          <w:p w14:paraId="6C17C4EC">
                            <w:pPr>
                              <w:spacing w:line="480" w:lineRule="auto"/>
                              <w:ind w:firstLine="1050" w:firstLineChars="500"/>
                              <w:rPr>
                                <w:rFonts w:hint="eastAsia"/>
                                <w:sz w:val="21"/>
                                <w:szCs w:val="21"/>
                                <w:lang w:val="en-US" w:eastAsia="zh-CN"/>
                              </w:rPr>
                            </w:pPr>
                            <w:r>
                              <w:rPr>
                                <w:rFonts w:hint="eastAsia"/>
                                <w:sz w:val="21"/>
                                <w:szCs w:val="21"/>
                                <w:lang w:val="en-US" w:eastAsia="zh-CN"/>
                              </w:rPr>
                              <w:t>大气保护目标范围</w:t>
                            </w:r>
                          </w:p>
                          <w:p w14:paraId="678996C8">
                            <w:pPr>
                              <w:pStyle w:val="48"/>
                              <w:spacing w:line="480" w:lineRule="auto"/>
                              <w:ind w:firstLine="1155" w:firstLineChars="550"/>
                              <w:rPr>
                                <w:rFonts w:hint="default"/>
                                <w:color w:val="auto"/>
                                <w:sz w:val="21"/>
                                <w:szCs w:val="21"/>
                                <w:lang w:val="en-US" w:eastAsia="zh-CN"/>
                              </w:rPr>
                            </w:pPr>
                            <w:r>
                              <w:rPr>
                                <w:rFonts w:hint="eastAsia"/>
                                <w:color w:val="auto"/>
                                <w:sz w:val="21"/>
                                <w:szCs w:val="21"/>
                                <w:lang w:val="en-US" w:eastAsia="zh-CN"/>
                              </w:rPr>
                              <w:t>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9.8pt;margin-top:81.3pt;height:135.6pt;width:153.4pt;z-index:251700224;mso-width-relative:page;mso-height-relative:page;" filled="f" stroked="t" coordsize="21600,21600" o:gfxdata="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f1uid2gAAAA0BAAAPAAAAAAAAAAEAIAAAACIAAABkcnMvZG93bnJldi54&#10;bWxQSwECFAAUAAAACACHTuJABS4OJGoCAAC3BAAADgAAAAAAAAABACAAAAApAQAAZHJzL2Uyb0Rv&#10;Yy54bWxQSwUGAAAAAAYABgBZAQAABQYAAAAA&#10;">
                <v:fill on="f" focussize="0,0"/>
                <v:stroke weight="0.5pt" color="#000000 [3204]" joinstyle="round" dashstyle="dash"/>
                <v:imagedata o:title=""/>
                <o:lock v:ext="edit" aspectratio="f"/>
                <v:textbox>
                  <w:txbxContent>
                    <w:p w14:paraId="2CA0393F">
                      <w:pPr>
                        <w:rPr>
                          <w:rFonts w:hint="eastAsia"/>
                          <w:lang w:val="en-US" w:eastAsia="zh-CN"/>
                        </w:rPr>
                      </w:pPr>
                      <w:r>
                        <w:rPr>
                          <w:rFonts w:hint="eastAsia"/>
                          <w:lang w:val="en-US" w:eastAsia="zh-CN"/>
                        </w:rPr>
                        <w:t>图注：</w:t>
                      </w:r>
                    </w:p>
                    <w:p w14:paraId="5AF389B2">
                      <w:pPr>
                        <w:pStyle w:val="46"/>
                        <w:rPr>
                          <w:rFonts w:hint="default"/>
                          <w:lang w:val="en-US" w:eastAsia="zh-CN"/>
                        </w:rPr>
                      </w:pPr>
                    </w:p>
                    <w:p w14:paraId="6F95CAE8">
                      <w:pPr>
                        <w:pStyle w:val="48"/>
                        <w:spacing w:line="480" w:lineRule="auto"/>
                        <w:ind w:firstLine="1155" w:firstLineChars="550"/>
                        <w:rPr>
                          <w:rFonts w:hint="eastAsia"/>
                          <w:color w:val="auto"/>
                          <w:sz w:val="21"/>
                          <w:szCs w:val="21"/>
                          <w:lang w:val="en-US" w:eastAsia="zh-CN"/>
                        </w:rPr>
                      </w:pPr>
                      <w:r>
                        <w:rPr>
                          <w:rFonts w:hint="eastAsia"/>
                          <w:color w:val="auto"/>
                          <w:sz w:val="21"/>
                          <w:szCs w:val="21"/>
                          <w:lang w:val="en-US" w:eastAsia="zh-CN"/>
                        </w:rPr>
                        <w:t>本项目厂界</w:t>
                      </w:r>
                    </w:p>
                    <w:p w14:paraId="45EE79D4">
                      <w:pPr>
                        <w:spacing w:line="480" w:lineRule="auto"/>
                        <w:ind w:firstLine="1050" w:firstLineChars="500"/>
                        <w:rPr>
                          <w:rFonts w:hint="eastAsia"/>
                          <w:sz w:val="21"/>
                          <w:szCs w:val="21"/>
                          <w:lang w:val="en-US" w:eastAsia="zh-CN"/>
                        </w:rPr>
                      </w:pPr>
                      <w:r>
                        <w:rPr>
                          <w:rFonts w:hint="eastAsia"/>
                          <w:sz w:val="21"/>
                          <w:szCs w:val="21"/>
                          <w:lang w:val="en-US" w:eastAsia="zh-CN"/>
                        </w:rPr>
                        <w:t>噪声保护目标范围</w:t>
                      </w:r>
                    </w:p>
                    <w:p w14:paraId="6C17C4EC">
                      <w:pPr>
                        <w:spacing w:line="480" w:lineRule="auto"/>
                        <w:ind w:firstLine="1050" w:firstLineChars="500"/>
                        <w:rPr>
                          <w:rFonts w:hint="eastAsia"/>
                          <w:sz w:val="21"/>
                          <w:szCs w:val="21"/>
                          <w:lang w:val="en-US" w:eastAsia="zh-CN"/>
                        </w:rPr>
                      </w:pPr>
                      <w:r>
                        <w:rPr>
                          <w:rFonts w:hint="eastAsia"/>
                          <w:sz w:val="21"/>
                          <w:szCs w:val="21"/>
                          <w:lang w:val="en-US" w:eastAsia="zh-CN"/>
                        </w:rPr>
                        <w:t>大气保护目标范围</w:t>
                      </w:r>
                    </w:p>
                    <w:p w14:paraId="678996C8">
                      <w:pPr>
                        <w:pStyle w:val="48"/>
                        <w:spacing w:line="480" w:lineRule="auto"/>
                        <w:ind w:firstLine="1155" w:firstLineChars="550"/>
                        <w:rPr>
                          <w:rFonts w:hint="default"/>
                          <w:color w:val="auto"/>
                          <w:sz w:val="21"/>
                          <w:szCs w:val="21"/>
                          <w:lang w:val="en-US" w:eastAsia="zh-CN"/>
                        </w:rPr>
                      </w:pPr>
                      <w:r>
                        <w:rPr>
                          <w:rFonts w:hint="eastAsia"/>
                          <w:color w:val="auto"/>
                          <w:sz w:val="21"/>
                          <w:szCs w:val="21"/>
                          <w:lang w:val="en-US" w:eastAsia="zh-CN"/>
                        </w:rPr>
                        <w:t>保护目标</w:t>
                      </w:r>
                    </w:p>
                  </w:txbxContent>
                </v:textbox>
              </v:shape>
            </w:pict>
          </mc:Fallback>
        </mc:AlternateContent>
      </w: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7539355</wp:posOffset>
                </wp:positionH>
                <wp:positionV relativeFrom="paragraph">
                  <wp:posOffset>2110740</wp:posOffset>
                </wp:positionV>
                <wp:extent cx="436880" cy="182880"/>
                <wp:effectExtent l="9525" t="9525" r="10795" b="17145"/>
                <wp:wrapNone/>
                <wp:docPr id="240" name="矩形 240"/>
                <wp:cNvGraphicFramePr/>
                <a:graphic xmlns:a="http://schemas.openxmlformats.org/drawingml/2006/main">
                  <a:graphicData uri="http://schemas.microsoft.com/office/word/2010/wordprocessingShape">
                    <wps:wsp>
                      <wps:cNvSpPr/>
                      <wps:spPr>
                        <a:xfrm>
                          <a:off x="0" y="0"/>
                          <a:ext cx="436880" cy="182880"/>
                        </a:xfrm>
                        <a:prstGeom prst="rect">
                          <a:avLst/>
                        </a:prstGeom>
                        <a:noFill/>
                        <a:ln w="19050" cap="flat" cmpd="sng">
                          <a:solidFill>
                            <a:srgbClr val="0070C0"/>
                          </a:solidFill>
                          <a:prstDash val="dash"/>
                          <a:miter/>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3.65pt;margin-top:166.2pt;height:14.4pt;width:34.4pt;z-index:251703296;v-text-anchor:middle;mso-width-relative:page;mso-height-relative:page;" filled="f" stroked="t" coordsize="21600,21600" o:gfxdata="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hyHUa3AAAAA0BAAAPAAAA&#10;AAAAAAEAIAAAACIAAABkcnMvZG93bnJldi54bWxQSwECFAAUAAAACACHTuJAZgvC34MCAAAXBQAA&#10;DgAAAAAAAAABACAAAAArAQAAZHJzL2Uyb0RvYy54bWxQSwUGAAAAAAYABgBZAQAAIAYAAAAA&#10;">
                <v:fill on="f" focussize="0,0"/>
                <v:stroke weight="1.5pt" color="#0070C0" joinstyle="miter" dashstyle="dash"/>
                <v:imagedata o:title=""/>
                <o:lock v:ext="edit" aspectratio="f"/>
              </v:rect>
            </w:pict>
          </mc:Fallback>
        </mc:AlternateContent>
      </w:r>
      <w:r>
        <w:rPr>
          <w:color w:val="auto"/>
        </w:rPr>
        <mc:AlternateContent>
          <mc:Choice Requires="wps">
            <w:drawing>
              <wp:anchor distT="0" distB="0" distL="114300" distR="114300" simplePos="0" relativeHeight="251716608" behindDoc="0" locked="0" layoutInCell="1" allowOverlap="1">
                <wp:simplePos x="0" y="0"/>
                <wp:positionH relativeFrom="character">
                  <wp:posOffset>3314700</wp:posOffset>
                </wp:positionH>
                <wp:positionV relativeFrom="line">
                  <wp:posOffset>197485</wp:posOffset>
                </wp:positionV>
                <wp:extent cx="1170940" cy="344805"/>
                <wp:effectExtent l="0" t="0" r="0" b="0"/>
                <wp:wrapNone/>
                <wp:docPr id="223" name="文本框 223"/>
                <wp:cNvGraphicFramePr/>
                <a:graphic xmlns:a="http://schemas.openxmlformats.org/drawingml/2006/main">
                  <a:graphicData uri="http://schemas.microsoft.com/office/word/2010/wordprocessingShape">
                    <wps:wsp>
                      <wps:cNvSpPr txBox="1"/>
                      <wps:spPr>
                        <a:xfrm>
                          <a:off x="2359660" y="3337560"/>
                          <a:ext cx="1170940" cy="344805"/>
                        </a:xfrm>
                        <a:prstGeom prst="rect">
                          <a:avLst/>
                        </a:prstGeom>
                        <a:noFill/>
                        <a:ln w="6350">
                          <a:noFill/>
                        </a:ln>
                        <a:effectLst/>
                      </wps:spPr>
                      <wps:txbx>
                        <w:txbxContent>
                          <w:p w14:paraId="232C9A75">
                            <w:pPr>
                              <w:rPr>
                                <w:rFonts w:hint="default" w:eastAsia="宋体"/>
                                <w:b/>
                                <w:bCs/>
                                <w:lang w:val="en-US" w:eastAsia="zh-CN"/>
                              </w:rPr>
                            </w:pPr>
                            <w:r>
                              <w:rPr>
                                <w:rFonts w:hint="eastAsia"/>
                                <w:b/>
                                <w:bCs/>
                              </w:rPr>
                              <w:t>西亨社区</w:t>
                            </w:r>
                            <w:r>
                              <w:rPr>
                                <w:rFonts w:hint="eastAsia"/>
                                <w:b/>
                                <w:bCs/>
                                <w:lang w:val="en-US" w:eastAsia="zh-CN"/>
                              </w:rPr>
                              <w:t xml:space="preserve"> 59m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pt;margin-top:15.55pt;height:27.15pt;width:92.2pt;mso-position-horizontal-relative:char;mso-position-vertical-relative:line;z-index:251716608;mso-width-relative:page;mso-height-relative:page;" filled="f" stroked="f" coordsize="21600,21600" o:gfxdata="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w2Ovi2wAAAAkBAAAP&#10;AAAAAAAAAAEAIAAAACIAAABkcnMvZG93bnJldi54bWxQSwECFAAUAAAACACHTuJAp475r04CAACE&#10;BAAADgAAAAAAAAABACAAAAAqAQAAZHJzL2Uyb0RvYy54bWxQSwUGAAAAAAYABgBZAQAA6gUAAAAA&#10;">
                <v:fill on="f" focussize="0,0"/>
                <v:stroke on="f" weight="0.5pt"/>
                <v:imagedata o:title=""/>
                <o:lock v:ext="edit" aspectratio="f"/>
                <v:textbox>
                  <w:txbxContent>
                    <w:p w14:paraId="232C9A75">
                      <w:pPr>
                        <w:rPr>
                          <w:rFonts w:hint="default" w:eastAsia="宋体"/>
                          <w:b/>
                          <w:bCs/>
                          <w:lang w:val="en-US" w:eastAsia="zh-CN"/>
                        </w:rPr>
                      </w:pPr>
                      <w:r>
                        <w:rPr>
                          <w:rFonts w:hint="eastAsia"/>
                          <w:b/>
                          <w:bCs/>
                        </w:rPr>
                        <w:t>西亨社区</w:t>
                      </w:r>
                      <w:r>
                        <w:rPr>
                          <w:rFonts w:hint="eastAsia"/>
                          <w:b/>
                          <w:bCs/>
                          <w:lang w:val="en-US" w:eastAsia="zh-CN"/>
                        </w:rPr>
                        <w:t xml:space="preserve"> 59m</w:t>
                      </w:r>
                    </w:p>
                  </w:txbxContent>
                </v:textbox>
              </v:shape>
            </w:pict>
          </mc:Fallback>
        </mc:AlternateContent>
      </w:r>
      <w:r>
        <w:rPr>
          <w:color w:val="auto"/>
        </w:rPr>
        <mc:AlternateContent>
          <mc:Choice Requires="wps">
            <w:drawing>
              <wp:anchor distT="0" distB="0" distL="114300" distR="114300" simplePos="0" relativeHeight="251718656" behindDoc="0" locked="0" layoutInCell="1" allowOverlap="1">
                <wp:simplePos x="0" y="0"/>
                <wp:positionH relativeFrom="character">
                  <wp:posOffset>4307840</wp:posOffset>
                </wp:positionH>
                <wp:positionV relativeFrom="line">
                  <wp:posOffset>1020445</wp:posOffset>
                </wp:positionV>
                <wp:extent cx="1112520" cy="344805"/>
                <wp:effectExtent l="0" t="0" r="0" b="0"/>
                <wp:wrapNone/>
                <wp:docPr id="224" name="文本框 224"/>
                <wp:cNvGraphicFramePr/>
                <a:graphic xmlns:a="http://schemas.openxmlformats.org/drawingml/2006/main">
                  <a:graphicData uri="http://schemas.microsoft.com/office/word/2010/wordprocessingShape">
                    <wps:wsp>
                      <wps:cNvSpPr txBox="1"/>
                      <wps:spPr>
                        <a:xfrm>
                          <a:off x="0" y="0"/>
                          <a:ext cx="1112520" cy="344805"/>
                        </a:xfrm>
                        <a:prstGeom prst="rect">
                          <a:avLst/>
                        </a:prstGeom>
                        <a:noFill/>
                        <a:ln w="6350">
                          <a:noFill/>
                        </a:ln>
                        <a:effectLst/>
                      </wps:spPr>
                      <wps:txbx>
                        <w:txbxContent>
                          <w:p w14:paraId="68825AB1">
                            <w:pPr>
                              <w:rPr>
                                <w:rFonts w:hint="eastAsia" w:eastAsia="宋体"/>
                                <w:b/>
                                <w:bCs/>
                                <w:lang w:val="en-US" w:eastAsia="zh-CN"/>
                              </w:rPr>
                            </w:pPr>
                            <w:r>
                              <w:rPr>
                                <w:rFonts w:hint="eastAsia"/>
                                <w:b/>
                                <w:bCs/>
                                <w:lang w:val="en-US" w:eastAsia="zh-CN"/>
                              </w:rPr>
                              <w:t>南庄</w:t>
                            </w:r>
                            <w:r>
                              <w:rPr>
                                <w:rFonts w:hint="eastAsia"/>
                                <w:b/>
                                <w:bCs/>
                              </w:rPr>
                              <w:t>社区</w:t>
                            </w:r>
                            <w:r>
                              <w:rPr>
                                <w:rFonts w:hint="eastAsia"/>
                                <w:b/>
                                <w:bCs/>
                                <w:lang w:val="en-US" w:eastAsia="zh-CN"/>
                              </w:rPr>
                              <w:t xml:space="preserve">327m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2pt;margin-top:80.35pt;height:27.15pt;width:87.6pt;mso-position-horizontal-relative:char;mso-position-vertical-relative:line;z-index:251718656;mso-width-relative:page;mso-height-relative:page;" filled="f" stroked="f" coordsize="21600,21600" o:gfxdata="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zFFMtsAAAALAQAADwAAAAAAAAABACAA&#10;AAAiAAAAZHJzL2Rvd25yZXYueG1sUEsBAhQAFAAAAAgAh07iQMRDp8pDAgAAeAQAAA4AAAAAAAAA&#10;AQAgAAAAKgEAAGRycy9lMm9Eb2MueG1sUEsFBgAAAAAGAAYAWQEAAN8FAAAAAA==&#10;">
                <v:fill on="f" focussize="0,0"/>
                <v:stroke on="f" weight="0.5pt"/>
                <v:imagedata o:title=""/>
                <o:lock v:ext="edit" aspectratio="f"/>
                <v:textbox>
                  <w:txbxContent>
                    <w:p w14:paraId="68825AB1">
                      <w:pPr>
                        <w:rPr>
                          <w:rFonts w:hint="eastAsia" w:eastAsia="宋体"/>
                          <w:b/>
                          <w:bCs/>
                          <w:lang w:val="en-US" w:eastAsia="zh-CN"/>
                        </w:rPr>
                      </w:pPr>
                      <w:r>
                        <w:rPr>
                          <w:rFonts w:hint="eastAsia"/>
                          <w:b/>
                          <w:bCs/>
                          <w:lang w:val="en-US" w:eastAsia="zh-CN"/>
                        </w:rPr>
                        <w:t>南庄</w:t>
                      </w:r>
                      <w:r>
                        <w:rPr>
                          <w:rFonts w:hint="eastAsia"/>
                          <w:b/>
                          <w:bCs/>
                        </w:rPr>
                        <w:t>社区</w:t>
                      </w:r>
                      <w:r>
                        <w:rPr>
                          <w:rFonts w:hint="eastAsia"/>
                          <w:b/>
                          <w:bCs/>
                          <w:lang w:val="en-US" w:eastAsia="zh-CN"/>
                        </w:rPr>
                        <w:t xml:space="preserve">327m </w:t>
                      </w:r>
                    </w:p>
                  </w:txbxContent>
                </v:textbox>
              </v:shape>
            </w:pict>
          </mc:Fallback>
        </mc:AlternateContent>
      </w:r>
    </w:p>
    <w:p w14:paraId="15A2B6DB">
      <w:pPr>
        <w:pStyle w:val="170"/>
        <w:ind w:firstLine="422"/>
        <w:rPr>
          <w:color w:val="auto"/>
          <w:sz w:val="21"/>
          <w:szCs w:val="21"/>
        </w:rPr>
      </w:pPr>
      <w:r>
        <w:rPr>
          <w:color w:val="auto"/>
          <w:sz w:val="21"/>
          <w:szCs w:val="21"/>
          <w:lang w:val="en-US"/>
        </w:rPr>
        <mc:AlternateContent>
          <mc:Choice Requires="wps">
            <w:drawing>
              <wp:anchor distT="0" distB="0" distL="114300" distR="114300" simplePos="0" relativeHeight="251662336" behindDoc="0" locked="0" layoutInCell="1" allowOverlap="1">
                <wp:simplePos x="0" y="0"/>
                <wp:positionH relativeFrom="column">
                  <wp:posOffset>4939030</wp:posOffset>
                </wp:positionH>
                <wp:positionV relativeFrom="paragraph">
                  <wp:posOffset>3928745</wp:posOffset>
                </wp:positionV>
                <wp:extent cx="876300" cy="257175"/>
                <wp:effectExtent l="4445" t="5080" r="14605" b="290195"/>
                <wp:wrapNone/>
                <wp:docPr id="217" name="自选图形 3376"/>
                <wp:cNvGraphicFramePr/>
                <a:graphic xmlns:a="http://schemas.openxmlformats.org/drawingml/2006/main">
                  <a:graphicData uri="http://schemas.microsoft.com/office/word/2010/wordprocessingShape">
                    <wps:wsp>
                      <wps:cNvSpPr>
                        <a:spLocks noChangeArrowheads="1"/>
                      </wps:cNvSpPr>
                      <wps:spPr bwMode="auto">
                        <a:xfrm>
                          <a:off x="0" y="0"/>
                          <a:ext cx="876300" cy="257175"/>
                        </a:xfrm>
                        <a:prstGeom prst="wedgeRectCallout">
                          <a:avLst>
                            <a:gd name="adj1" fmla="val -45869"/>
                            <a:gd name="adj2" fmla="val 153456"/>
                          </a:avLst>
                        </a:prstGeom>
                        <a:solidFill>
                          <a:srgbClr val="FFFFFF"/>
                        </a:solidFill>
                        <a:ln w="9525">
                          <a:solidFill>
                            <a:srgbClr val="000000"/>
                          </a:solidFill>
                          <a:miter lim="800000"/>
                        </a:ln>
                        <a:effectLst/>
                      </wps:spPr>
                      <wps:txbx>
                        <w:txbxContent>
                          <w:p w14:paraId="05057524">
                            <w:r>
                              <w:rPr>
                                <w:rFonts w:hint="eastAsia"/>
                              </w:rPr>
                              <w:t>项目所在地</w:t>
                            </w:r>
                          </w:p>
                        </w:txbxContent>
                      </wps:txbx>
                      <wps:bodyPr rot="0" vert="horz" wrap="square" lIns="91440" tIns="45720" rIns="91440" bIns="45720" anchor="t" anchorCtr="0" upright="1">
                        <a:noAutofit/>
                      </wps:bodyPr>
                    </wps:wsp>
                  </a:graphicData>
                </a:graphic>
              </wp:anchor>
            </w:drawing>
          </mc:Choice>
          <mc:Fallback>
            <w:pict>
              <v:shape id="自选图形 3376" o:spid="_x0000_s1026" o:spt="61" type="#_x0000_t61" style="position:absolute;left:0pt;margin-left:388.9pt;margin-top:309.35pt;height:20.25pt;width:69pt;z-index:251662336;mso-width-relative:page;mso-height-relative:page;" fillcolor="#FFFFFF" filled="t" stroked="t" coordsize="21600,21600" o:gfxdata="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bZGDCdkAAAALAQAADwAAAAAAAAABACAAAAAiAAAA&#10;ZHJzL2Rvd25yZXYueG1sUEsBAhQAFAAAAAgAh07iQGkZsql4AgAA8QQAAA4AAAAAAAAAAQAgAAAA&#10;KAEAAGRycy9lMm9Eb2MueG1sUEsFBgAAAAAGAAYAWQEAABIGAAAAAA==&#10;" adj="892,43946">
                <v:fill on="t" focussize="0,0"/>
                <v:stroke color="#000000" miterlimit="8" joinstyle="miter"/>
                <v:imagedata o:title=""/>
                <o:lock v:ext="edit" aspectratio="f"/>
                <v:textbox>
                  <w:txbxContent>
                    <w:p w14:paraId="05057524">
                      <w:r>
                        <w:rPr>
                          <w:rFonts w:hint="eastAsia"/>
                        </w:rPr>
                        <w:t>项目所在地</w:t>
                      </w:r>
                    </w:p>
                  </w:txbxContent>
                </v:textbox>
              </v:shape>
            </w:pict>
          </mc:Fallback>
        </mc:AlternateContent>
      </w:r>
      <w:r>
        <w:rPr>
          <w:color w:val="auto"/>
          <w:sz w:val="21"/>
          <w:szCs w:val="21"/>
          <w:lang w:val="en-US"/>
        </w:rPr>
        <mc:AlternateContent>
          <mc:Choice Requires="wps">
            <w:drawing>
              <wp:anchor distT="0" distB="0" distL="114300" distR="114300" simplePos="0" relativeHeight="251664384" behindDoc="0" locked="0" layoutInCell="1" allowOverlap="1">
                <wp:simplePos x="0" y="0"/>
                <wp:positionH relativeFrom="column">
                  <wp:posOffset>4840605</wp:posOffset>
                </wp:positionH>
                <wp:positionV relativeFrom="paragraph">
                  <wp:posOffset>4394835</wp:posOffset>
                </wp:positionV>
                <wp:extent cx="170180" cy="161925"/>
                <wp:effectExtent l="14605" t="15240" r="24765" b="13335"/>
                <wp:wrapNone/>
                <wp:docPr id="219" name="自选图形 3465"/>
                <wp:cNvGraphicFramePr/>
                <a:graphic xmlns:a="http://schemas.openxmlformats.org/drawingml/2006/main">
                  <a:graphicData uri="http://schemas.microsoft.com/office/word/2010/wordprocessingShape">
                    <wps:wsp>
                      <wps:cNvSpPr>
                        <a:spLocks noChangeArrowheads="1"/>
                      </wps:cNvSpPr>
                      <wps:spPr bwMode="auto">
                        <a:xfrm>
                          <a:off x="0" y="0"/>
                          <a:ext cx="170180" cy="161925"/>
                        </a:xfrm>
                        <a:prstGeom prst="star5">
                          <a:avLst/>
                        </a:prstGeom>
                        <a:solidFill>
                          <a:srgbClr val="FF0000"/>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自选图形 3465" o:spid="_x0000_s1026" style="position:absolute;left:0pt;margin-left:381.15pt;margin-top:346.05pt;height:12.75pt;width:13.4pt;z-index:251664384;mso-width-relative:page;mso-height-relative:page;" fillcolor="#FF0000" filled="t" stroked="t" coordsize="170180,161925" o:gfxdata="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Z5xNC9gAAAALAQAADwAAAAAAAAABACAA&#10;AAAiAAAAZHJzL2Rvd25yZXYueG1sUEsBAhQAFAAAAAgAh07iQOE3gTlGAgAAiAQAAA4AAAAAAAAA&#10;AQAgAAAAJwEAAGRycy9lMm9Eb2MueG1sUEsFBgAAAAAGAAYAWQEAAN8FAAAAAA==&#10;" path="m0,61849l65003,61850,85090,0,105176,61850,170179,61849,117590,100074,137678,161924,85090,123698,32501,161924,52589,100074xe">
                <v:path o:connectlocs="85090,0;0,61849;32501,161924;137678,161924;170179,61849" o:connectangles="247,164,82,82,0"/>
                <v:fill on="t" focussize="0,0"/>
                <v:stroke color="#000000" miterlimit="8" joinstyle="miter"/>
                <v:imagedata o:title=""/>
                <o:lock v:ext="edit" aspectratio="f"/>
              </v:shape>
            </w:pict>
          </mc:Fallback>
        </mc:AlternateContent>
      </w:r>
      <w:r>
        <w:rPr>
          <w:color w:val="auto"/>
          <w:sz w:val="21"/>
          <w:szCs w:val="21"/>
          <w:lang w:val="en-US"/>
        </w:rPr>
        <mc:AlternateContent>
          <mc:Choice Requires="wps">
            <w:drawing>
              <wp:anchor distT="0" distB="0" distL="114300" distR="114300" simplePos="0" relativeHeight="251667456" behindDoc="0" locked="0" layoutInCell="1" allowOverlap="1">
                <wp:simplePos x="0" y="0"/>
                <wp:positionH relativeFrom="column">
                  <wp:posOffset>1652905</wp:posOffset>
                </wp:positionH>
                <wp:positionV relativeFrom="paragraph">
                  <wp:posOffset>8243570</wp:posOffset>
                </wp:positionV>
                <wp:extent cx="3211195" cy="426720"/>
                <wp:effectExtent l="0" t="0" r="0" b="0"/>
                <wp:wrapNone/>
                <wp:docPr id="222" name="Text Box 1087"/>
                <wp:cNvGraphicFramePr/>
                <a:graphic xmlns:a="http://schemas.openxmlformats.org/drawingml/2006/main">
                  <a:graphicData uri="http://schemas.microsoft.com/office/word/2010/wordprocessingShape">
                    <wps:wsp>
                      <wps:cNvSpPr txBox="1">
                        <a:spLocks noChangeArrowheads="1"/>
                      </wps:cNvSpPr>
                      <wps:spPr bwMode="auto">
                        <a:xfrm>
                          <a:off x="0" y="0"/>
                          <a:ext cx="3211195" cy="426720"/>
                        </a:xfrm>
                        <a:prstGeom prst="rect">
                          <a:avLst/>
                        </a:prstGeom>
                        <a:noFill/>
                        <a:ln>
                          <a:noFill/>
                        </a:ln>
                        <a:effectLst/>
                      </wps:spPr>
                      <wps:txbx>
                        <w:txbxContent>
                          <w:p w14:paraId="6AFEFE7E">
                            <w:pPr>
                              <w:jc w:val="center"/>
                              <w:rPr>
                                <w:b/>
                                <w:sz w:val="28"/>
                                <w:szCs w:val="28"/>
                              </w:rPr>
                            </w:pPr>
                            <w:r>
                              <w:rPr>
                                <w:b/>
                                <w:sz w:val="28"/>
                                <w:szCs w:val="28"/>
                              </w:rPr>
                              <w:t>附图</w:t>
                            </w:r>
                            <w:r>
                              <w:rPr>
                                <w:rFonts w:hint="eastAsia"/>
                                <w:b/>
                                <w:sz w:val="28"/>
                                <w:szCs w:val="28"/>
                                <w:lang w:val="en-US" w:eastAsia="zh-CN"/>
                              </w:rPr>
                              <w:t>6</w:t>
                            </w:r>
                            <w:r>
                              <w:rPr>
                                <w:rFonts w:hint="eastAsia"/>
                                <w:b/>
                                <w:sz w:val="28"/>
                                <w:szCs w:val="28"/>
                              </w:rPr>
                              <w:t>建设项目地表水功能区划图</w:t>
                            </w:r>
                          </w:p>
                        </w:txbxContent>
                      </wps:txbx>
                      <wps:bodyPr rot="0" vert="horz" wrap="square" lIns="91440" tIns="45720" rIns="91440" bIns="45720" anchor="t" anchorCtr="0" upright="1">
                        <a:noAutofit/>
                      </wps:bodyPr>
                    </wps:wsp>
                  </a:graphicData>
                </a:graphic>
              </wp:anchor>
            </w:drawing>
          </mc:Choice>
          <mc:Fallback>
            <w:pict>
              <v:shape id="Text Box 1087" o:spid="_x0000_s1026" o:spt="202" type="#_x0000_t202" style="position:absolute;left:0pt;margin-left:130.15pt;margin-top:649.1pt;height:33.6pt;width:252.85pt;z-index:251667456;mso-width-relative:page;mso-height-relative:page;" filled="f" stroked="f" coordsize="21600,21600" o:gfxdata="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NkL57ZAAAADQEAAA8AAAAAAAAA&#10;AQAgAAAAIgAAAGRycy9kb3ducmV2LnhtbFBLAQIUABQAAAAIAIdO4kD+nWp3EAIAACcEAAAOAAAA&#10;AAAAAAEAIAAAACgBAABkcnMvZTJvRG9jLnhtbFBLBQYAAAAABgAGAFkBAACqBQAAAAA=&#10;">
                <v:fill on="f" focussize="0,0"/>
                <v:stroke on="f"/>
                <v:imagedata o:title=""/>
                <o:lock v:ext="edit" aspectratio="f"/>
                <v:textbox>
                  <w:txbxContent>
                    <w:p w14:paraId="6AFEFE7E">
                      <w:pPr>
                        <w:jc w:val="center"/>
                        <w:rPr>
                          <w:b/>
                          <w:sz w:val="28"/>
                          <w:szCs w:val="28"/>
                        </w:rPr>
                      </w:pPr>
                      <w:r>
                        <w:rPr>
                          <w:b/>
                          <w:sz w:val="28"/>
                          <w:szCs w:val="28"/>
                        </w:rPr>
                        <w:t>附图</w:t>
                      </w:r>
                      <w:r>
                        <w:rPr>
                          <w:rFonts w:hint="eastAsia"/>
                          <w:b/>
                          <w:sz w:val="28"/>
                          <w:szCs w:val="28"/>
                          <w:lang w:val="en-US" w:eastAsia="zh-CN"/>
                        </w:rPr>
                        <w:t>6</w:t>
                      </w:r>
                      <w:r>
                        <w:rPr>
                          <w:rFonts w:hint="eastAsia"/>
                          <w:b/>
                          <w:sz w:val="28"/>
                          <w:szCs w:val="28"/>
                        </w:rPr>
                        <w:t>建设项目地表水功能区划图</w:t>
                      </w:r>
                    </w:p>
                  </w:txbxContent>
                </v:textbox>
              </v:shape>
            </w:pict>
          </mc:Fallback>
        </mc:AlternateContent>
      </w:r>
      <w:r>
        <w:rPr>
          <w:color w:val="auto"/>
          <w:sz w:val="21"/>
          <w:szCs w:val="21"/>
          <w:lang w:val="en-US"/>
        </w:rPr>
        <w:drawing>
          <wp:inline distT="0" distB="0" distL="0" distR="0">
            <wp:extent cx="5616575" cy="8145780"/>
            <wp:effectExtent l="0" t="0" r="3175" b="7620"/>
            <wp:docPr id="92" name="图片 4" descr="中山市水环境功能区划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descr="中山市水环境功能区划示意图"/>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616575" cy="8146025"/>
                    </a:xfrm>
                    <a:prstGeom prst="rect">
                      <a:avLst/>
                    </a:prstGeom>
                    <a:noFill/>
                    <a:ln>
                      <a:noFill/>
                    </a:ln>
                  </pic:spPr>
                </pic:pic>
              </a:graphicData>
            </a:graphic>
          </wp:inline>
        </w:drawing>
      </w:r>
      <w:r>
        <w:rPr>
          <w:color w:val="auto"/>
          <w:sz w:val="21"/>
          <w:szCs w:val="21"/>
          <w:lang w:val="en-US"/>
        </w:rPr>
        <mc:AlternateContent>
          <mc:Choice Requires="wps">
            <w:drawing>
              <wp:anchor distT="0" distB="0" distL="114300" distR="114300" simplePos="0" relativeHeight="251666432" behindDoc="0" locked="0" layoutInCell="1" allowOverlap="1">
                <wp:simplePos x="0" y="0"/>
                <wp:positionH relativeFrom="column">
                  <wp:posOffset>4495165</wp:posOffset>
                </wp:positionH>
                <wp:positionV relativeFrom="paragraph">
                  <wp:posOffset>3237230</wp:posOffset>
                </wp:positionV>
                <wp:extent cx="876300" cy="257175"/>
                <wp:effectExtent l="14605" t="5080" r="23495" b="233045"/>
                <wp:wrapNone/>
                <wp:docPr id="221" name="自选图形 3376"/>
                <wp:cNvGraphicFramePr/>
                <a:graphic xmlns:a="http://schemas.openxmlformats.org/drawingml/2006/main">
                  <a:graphicData uri="http://schemas.microsoft.com/office/word/2010/wordprocessingShape">
                    <wps:wsp>
                      <wps:cNvSpPr>
                        <a:spLocks noChangeArrowheads="1"/>
                      </wps:cNvSpPr>
                      <wps:spPr bwMode="auto">
                        <a:xfrm>
                          <a:off x="0" y="0"/>
                          <a:ext cx="876300" cy="257175"/>
                        </a:xfrm>
                        <a:prstGeom prst="wedgeRectCallout">
                          <a:avLst>
                            <a:gd name="adj1" fmla="val -49856"/>
                            <a:gd name="adj2" fmla="val 130000"/>
                          </a:avLst>
                        </a:prstGeom>
                        <a:solidFill>
                          <a:srgbClr val="FFFFFF"/>
                        </a:solidFill>
                        <a:ln w="9525">
                          <a:solidFill>
                            <a:srgbClr val="000000"/>
                          </a:solidFill>
                          <a:miter lim="800000"/>
                        </a:ln>
                        <a:effectLst/>
                      </wps:spPr>
                      <wps:txbx>
                        <w:txbxContent>
                          <w:p w14:paraId="2BD6D853">
                            <w:r>
                              <w:rPr>
                                <w:rFonts w:hint="eastAsia"/>
                              </w:rPr>
                              <w:t>项目所在地</w:t>
                            </w:r>
                          </w:p>
                        </w:txbxContent>
                      </wps:txbx>
                      <wps:bodyPr rot="0" vert="horz" wrap="square" lIns="91440" tIns="45720" rIns="91440" bIns="45720" anchor="t" anchorCtr="0" upright="1">
                        <a:noAutofit/>
                      </wps:bodyPr>
                    </wps:wsp>
                  </a:graphicData>
                </a:graphic>
              </wp:anchor>
            </w:drawing>
          </mc:Choice>
          <mc:Fallback>
            <w:pict>
              <v:shape id="自选图形 3376" o:spid="_x0000_s1026" o:spt="61" type="#_x0000_t61" style="position:absolute;left:0pt;margin-left:353.95pt;margin-top:254.9pt;height:20.25pt;width:69pt;z-index:251666432;mso-width-relative:page;mso-height-relative:page;" fillcolor="#FFFFFF" filled="t" stroked="t" coordsize="21600,21600" o:gfxdata="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MJIWT2AAAAAsBAAAPAAAAAAAAAAEAIAAAACIA&#10;AABkcnMvZG93bnJldi54bWxQSwECFAAUAAAACACHTuJAcsv8hnsCAADxBAAADgAAAAAAAAABACAA&#10;AAAnAQAAZHJzL2Uyb0RvYy54bWxQSwUGAAAAAAYABgBZAQAAFAYAAAAA&#10;" adj="31,38880">
                <v:fill on="t" focussize="0,0"/>
                <v:stroke color="#000000" miterlimit="8" joinstyle="miter"/>
                <v:imagedata o:title=""/>
                <o:lock v:ext="edit" aspectratio="f"/>
                <v:textbox>
                  <w:txbxContent>
                    <w:p w14:paraId="2BD6D853">
                      <w:r>
                        <w:rPr>
                          <w:rFonts w:hint="eastAsia"/>
                        </w:rPr>
                        <w:t>项目所在地</w:t>
                      </w:r>
                    </w:p>
                  </w:txbxContent>
                </v:textbox>
              </v:shape>
            </w:pict>
          </mc:Fallback>
        </mc:AlternateContent>
      </w:r>
      <w:r>
        <w:rPr>
          <w:color w:val="auto"/>
          <w:sz w:val="21"/>
          <w:szCs w:val="21"/>
          <w:lang w:val="en-US"/>
        </w:rPr>
        <mc:AlternateContent>
          <mc:Choice Requires="wps">
            <w:drawing>
              <wp:anchor distT="0" distB="0" distL="114300" distR="114300" simplePos="0" relativeHeight="251665408" behindDoc="0" locked="0" layoutInCell="1" allowOverlap="1">
                <wp:simplePos x="0" y="0"/>
                <wp:positionH relativeFrom="column">
                  <wp:posOffset>4345305</wp:posOffset>
                </wp:positionH>
                <wp:positionV relativeFrom="paragraph">
                  <wp:posOffset>3669665</wp:posOffset>
                </wp:positionV>
                <wp:extent cx="170180" cy="161925"/>
                <wp:effectExtent l="14605" t="15240" r="24765" b="13335"/>
                <wp:wrapNone/>
                <wp:docPr id="220" name="自选图形 3465"/>
                <wp:cNvGraphicFramePr/>
                <a:graphic xmlns:a="http://schemas.openxmlformats.org/drawingml/2006/main">
                  <a:graphicData uri="http://schemas.microsoft.com/office/word/2010/wordprocessingShape">
                    <wps:wsp>
                      <wps:cNvSpPr>
                        <a:spLocks noChangeArrowheads="1"/>
                      </wps:cNvSpPr>
                      <wps:spPr bwMode="auto">
                        <a:xfrm>
                          <a:off x="0" y="0"/>
                          <a:ext cx="170180" cy="161925"/>
                        </a:xfrm>
                        <a:prstGeom prst="star5">
                          <a:avLst/>
                        </a:prstGeom>
                        <a:solidFill>
                          <a:srgbClr val="FF0000"/>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自选图形 3465" o:spid="_x0000_s1026" style="position:absolute;left:0pt;margin-left:342.15pt;margin-top:288.95pt;height:12.75pt;width:13.4pt;z-index:251665408;mso-width-relative:page;mso-height-relative:page;" fillcolor="#FF0000" filled="t" stroked="t" coordsize="170180,161925" o:gfxdata="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DzD987ZAAAACwEAAA8AAAAAAAAAAQAg&#10;AAAAIgAAAGRycy9kb3ducmV2LnhtbFBLAQIUABQAAAAIAIdO4kB1DIbRRgIAAIgEAAAOAAAAAAAA&#10;AAEAIAAAACgBAABkcnMvZTJvRG9jLnhtbFBLBQYAAAAABgAGAFkBAADgBQAAAAA=&#10;" path="m0,61849l65003,61850,85090,0,105176,61850,170179,61849,117590,100074,137678,161924,85090,123698,32501,161924,52589,100074xe">
                <v:path o:connectlocs="85090,0;0,61849;32501,161924;137678,161924;170179,61849" o:connectangles="247,164,82,82,0"/>
                <v:fill on="t" focussize="0,0"/>
                <v:stroke color="#000000" miterlimit="8" joinstyle="miter"/>
                <v:imagedata o:title=""/>
                <o:lock v:ext="edit" aspectratio="f"/>
              </v:shape>
            </w:pict>
          </mc:Fallback>
        </mc:AlternateContent>
      </w:r>
      <w:r>
        <w:rPr>
          <w:b w:val="0"/>
          <w:bCs/>
          <w:color w:val="auto"/>
          <w:sz w:val="21"/>
          <w:szCs w:val="21"/>
          <w:lang w:val="en-US"/>
        </w:rPr>
        <w:drawing>
          <wp:inline distT="0" distB="0" distL="0" distR="0">
            <wp:extent cx="5616575" cy="8077835"/>
            <wp:effectExtent l="0" t="0" r="3175" b="0"/>
            <wp:docPr id="84" name="图片 9" descr="图5-1中山市环境空气质量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descr="图5-1中山市环境空气质量功能区划图"/>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616575" cy="8078227"/>
                    </a:xfrm>
                    <a:prstGeom prst="rect">
                      <a:avLst/>
                    </a:prstGeom>
                    <a:noFill/>
                    <a:ln>
                      <a:noFill/>
                    </a:ln>
                  </pic:spPr>
                </pic:pic>
              </a:graphicData>
            </a:graphic>
          </wp:inline>
        </w:drawing>
      </w:r>
      <w:r>
        <w:rPr>
          <w:color w:val="auto"/>
          <w:sz w:val="21"/>
          <w:szCs w:val="21"/>
          <w:lang w:val="en-US"/>
        </w:rPr>
        <mc:AlternateContent>
          <mc:Choice Requires="wps">
            <w:drawing>
              <wp:anchor distT="0" distB="0" distL="114300" distR="114300" simplePos="0" relativeHeight="251663360" behindDoc="0" locked="0" layoutInCell="1" allowOverlap="1">
                <wp:simplePos x="0" y="0"/>
                <wp:positionH relativeFrom="column">
                  <wp:posOffset>1548130</wp:posOffset>
                </wp:positionH>
                <wp:positionV relativeFrom="paragraph">
                  <wp:posOffset>8199120</wp:posOffset>
                </wp:positionV>
                <wp:extent cx="3084195" cy="443865"/>
                <wp:effectExtent l="0" t="0" r="0" b="0"/>
                <wp:wrapNone/>
                <wp:docPr id="218" name="文本框 29"/>
                <wp:cNvGraphicFramePr/>
                <a:graphic xmlns:a="http://schemas.openxmlformats.org/drawingml/2006/main">
                  <a:graphicData uri="http://schemas.microsoft.com/office/word/2010/wordprocessingShape">
                    <wps:wsp>
                      <wps:cNvSpPr txBox="1"/>
                      <wps:spPr>
                        <a:xfrm>
                          <a:off x="0" y="0"/>
                          <a:ext cx="3084195" cy="443865"/>
                        </a:xfrm>
                        <a:prstGeom prst="rect">
                          <a:avLst/>
                        </a:prstGeom>
                        <a:noFill/>
                        <a:ln w="6350">
                          <a:noFill/>
                        </a:ln>
                        <a:effectLst/>
                      </wps:spPr>
                      <wps:txbx>
                        <w:txbxContent>
                          <w:p w14:paraId="5D0A8D58">
                            <w:pPr>
                              <w:rPr>
                                <w:b/>
                                <w:sz w:val="28"/>
                                <w:szCs w:val="28"/>
                              </w:rPr>
                            </w:pPr>
                            <w:r>
                              <w:rPr>
                                <w:rFonts w:hint="eastAsia"/>
                                <w:b/>
                                <w:sz w:val="28"/>
                                <w:szCs w:val="28"/>
                              </w:rPr>
                              <w:t>附图</w:t>
                            </w:r>
                            <w:r>
                              <w:rPr>
                                <w:rFonts w:hint="eastAsia"/>
                                <w:b/>
                                <w:sz w:val="28"/>
                                <w:szCs w:val="28"/>
                                <w:lang w:val="en-US" w:eastAsia="zh-CN"/>
                              </w:rPr>
                              <w:t>7</w:t>
                            </w:r>
                            <w:r>
                              <w:rPr>
                                <w:rFonts w:hint="eastAsia"/>
                                <w:b/>
                                <w:sz w:val="28"/>
                                <w:szCs w:val="28"/>
                              </w:rPr>
                              <w:t>建设项目大气</w:t>
                            </w:r>
                            <w:r>
                              <w:rPr>
                                <w:b/>
                                <w:sz w:val="28"/>
                                <w:szCs w:val="28"/>
                              </w:rPr>
                              <w:t>功能区划</w:t>
                            </w:r>
                            <w:r>
                              <w:rPr>
                                <w:rFonts w:hint="eastAsia"/>
                                <w:b/>
                                <w:sz w:val="28"/>
                                <w:szCs w:val="28"/>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9" o:spid="_x0000_s1026" o:spt="202" type="#_x0000_t202" style="position:absolute;left:0pt;margin-left:121.9pt;margin-top:645.6pt;height:34.95pt;width:242.85pt;z-index:251663360;mso-width-relative:page;mso-height-relative:page;" filled="f" stroked="f" coordsize="21600,21600" o:gfxdata="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3CW2bdAAAADQEAAA8AAAAAAAAA&#10;AQAgAAAAIgAAAGRycy9kb3ducmV2LnhtbFBLAQIUABQAAAAIAIdO4kCcBfLERQIAAHcEAAAOAAAA&#10;AAAAAAEAIAAAACwBAABkcnMvZTJvRG9jLnhtbFBLBQYAAAAABgAGAFkBAADjBQAAAAA=&#10;">
                <v:fill on="f" focussize="0,0"/>
                <v:stroke on="f" weight="0.5pt"/>
                <v:imagedata o:title=""/>
                <o:lock v:ext="edit" aspectratio="f"/>
                <v:textbox>
                  <w:txbxContent>
                    <w:p w14:paraId="5D0A8D58">
                      <w:pPr>
                        <w:rPr>
                          <w:b/>
                          <w:sz w:val="28"/>
                          <w:szCs w:val="28"/>
                        </w:rPr>
                      </w:pPr>
                      <w:r>
                        <w:rPr>
                          <w:rFonts w:hint="eastAsia"/>
                          <w:b/>
                          <w:sz w:val="28"/>
                          <w:szCs w:val="28"/>
                        </w:rPr>
                        <w:t>附图</w:t>
                      </w:r>
                      <w:r>
                        <w:rPr>
                          <w:rFonts w:hint="eastAsia"/>
                          <w:b/>
                          <w:sz w:val="28"/>
                          <w:szCs w:val="28"/>
                          <w:lang w:val="en-US" w:eastAsia="zh-CN"/>
                        </w:rPr>
                        <w:t>7</w:t>
                      </w:r>
                      <w:r>
                        <w:rPr>
                          <w:rFonts w:hint="eastAsia"/>
                          <w:b/>
                          <w:sz w:val="28"/>
                          <w:szCs w:val="28"/>
                        </w:rPr>
                        <w:t>建设项目大气</w:t>
                      </w:r>
                      <w:r>
                        <w:rPr>
                          <w:b/>
                          <w:sz w:val="28"/>
                          <w:szCs w:val="28"/>
                        </w:rPr>
                        <w:t>功能区划</w:t>
                      </w:r>
                      <w:r>
                        <w:rPr>
                          <w:rFonts w:hint="eastAsia"/>
                          <w:b/>
                          <w:sz w:val="28"/>
                          <w:szCs w:val="28"/>
                        </w:rPr>
                        <w:t>图</w:t>
                      </w:r>
                    </w:p>
                  </w:txbxContent>
                </v:textbox>
              </v:shape>
            </w:pict>
          </mc:Fallback>
        </mc:AlternateContent>
      </w:r>
      <w:r>
        <w:rPr>
          <w:color w:val="auto"/>
          <w:sz w:val="21"/>
          <w:szCs w:val="21"/>
        </w:rPr>
        <w:br w:type="page"/>
      </w:r>
    </w:p>
    <w:p w14:paraId="43C6568D">
      <w:pPr>
        <w:pStyle w:val="170"/>
        <w:ind w:firstLine="422"/>
        <w:outlineLvl w:val="0"/>
        <w:rPr>
          <w:color w:val="auto"/>
          <w:sz w:val="21"/>
          <w:szCs w:val="21"/>
        </w:rPr>
        <w:sectPr>
          <w:pgSz w:w="11907" w:h="16839"/>
          <w:pgMar w:top="1701" w:right="1531" w:bottom="1701" w:left="1531" w:header="851" w:footer="567" w:gutter="0"/>
          <w:pgBorders>
            <w:top w:val="none" w:sz="0" w:space="0"/>
            <w:left w:val="none" w:sz="0" w:space="0"/>
            <w:bottom w:val="none" w:sz="0" w:space="0"/>
            <w:right w:val="none" w:sz="0" w:space="0"/>
          </w:pgBorders>
          <w:cols w:space="720" w:num="1"/>
          <w:docGrid w:linePitch="312" w:charSpace="0"/>
        </w:sectPr>
      </w:pPr>
      <w:bookmarkStart w:id="18" w:name="_Toc72508651"/>
    </w:p>
    <w:p w14:paraId="3A8929E0">
      <w:pPr>
        <w:pStyle w:val="170"/>
        <w:ind w:firstLine="422"/>
        <w:outlineLvl w:val="0"/>
        <w:rPr>
          <w:rFonts w:hint="default"/>
          <w:color w:val="auto"/>
          <w:lang w:val="en-US" w:eastAsia="zh-CN"/>
        </w:rPr>
      </w:pPr>
      <w:r>
        <w:rPr>
          <w:color w:val="auto"/>
          <w:sz w:val="21"/>
        </w:rPr>
        <mc:AlternateContent>
          <mc:Choice Requires="wpg">
            <w:drawing>
              <wp:anchor distT="0" distB="0" distL="114300" distR="114300" simplePos="0" relativeHeight="251705344" behindDoc="0" locked="0" layoutInCell="1" allowOverlap="1">
                <wp:simplePos x="0" y="0"/>
                <wp:positionH relativeFrom="column">
                  <wp:posOffset>4019550</wp:posOffset>
                </wp:positionH>
                <wp:positionV relativeFrom="paragraph">
                  <wp:posOffset>2569210</wp:posOffset>
                </wp:positionV>
                <wp:extent cx="1042035" cy="572135"/>
                <wp:effectExtent l="4445" t="4445" r="20320" b="13970"/>
                <wp:wrapNone/>
                <wp:docPr id="244" name="组合 244"/>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242" name="矩形标注 242"/>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387778A6">
                              <w:pPr>
                                <w:rPr>
                                  <w:sz w:val="24"/>
                                </w:rPr>
                              </w:pPr>
                              <w:r>
                                <w:rPr>
                                  <w:rFonts w:hint="eastAsia" w:eastAsia="宋体"/>
                                  <w:sz w:val="24"/>
                                </w:rPr>
                                <w:t>项目所在地</w:t>
                              </w:r>
                            </w:p>
                          </w:txbxContent>
                        </wps:txbx>
                        <wps:bodyPr upright="1"/>
                      </wps:wsp>
                      <wps:wsp>
                        <wps:cNvPr id="243" name="椭圆 243"/>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316.5pt;margin-top:202.3pt;height:45.05pt;width:82.05pt;z-index:251705344;mso-width-relative:page;mso-height-relative:page;" coordorigin="9440,496529" coordsize="1641,901" o:gfxdata="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">
                <o:lock v:ext="edit" aspectratio="f"/>
                <v:shape id="_x0000_s1026" o:spid="_x0000_s1026" o:spt="61" type="#_x0000_t61" style="position:absolute;left:9551;top:496529;height:430;width:1531;" fillcolor="#FFFFFF" filled="t" stroked="t" coordsize="21600,21600" o:gfxdata="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QVa574A&#10;AADcAAAADwAAAAAAAAABACAAAAAiAAAAZHJzL2Rvd25yZXYueG1sUEsBAhQAFAAAAAgAh07iQDMv&#10;BZ47AAAAOQAAABAAAAAAAAAAAQAgAAAADQEAAGRycy9zaGFwZXhtbC54bWxQSwUGAAAAAAYABgBb&#10;AQAAtwMAAAAA&#10;" adj="167,38696">
                  <v:fill on="t" focussize="0,0"/>
                  <v:stroke color="#000000" joinstyle="miter"/>
                  <v:imagedata o:title=""/>
                  <o:lock v:ext="edit" aspectratio="f"/>
                  <v:textbox>
                    <w:txbxContent>
                      <w:p w14:paraId="387778A6">
                        <w:pPr>
                          <w:rPr>
                            <w:sz w:val="24"/>
                          </w:rPr>
                        </w:pPr>
                        <w:r>
                          <w:rPr>
                            <w:rFonts w:hint="eastAsia" w:eastAsia="宋体"/>
                            <w:sz w:val="24"/>
                          </w:rPr>
                          <w:t>项目所在地</w:t>
                        </w:r>
                      </w:p>
                    </w:txbxContent>
                  </v:textbox>
                </v:shape>
                <v:shape id="_x0000_s1026" o:spid="_x0000_s1026" o:spt="3" type="#_x0000_t3" style="position:absolute;left:9440;top:497290;height:140;width:140;" fillcolor="#FF0000" filled="t" stroked="t" coordsize="21600,21600" o:gfxdata="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3BP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color w:val="auto"/>
          <w:lang w:val="en-US" w:eastAsia="zh-CN"/>
        </w:rPr>
        <w:drawing>
          <wp:inline distT="0" distB="0" distL="114300" distR="114300">
            <wp:extent cx="7668260" cy="5337810"/>
            <wp:effectExtent l="0" t="0" r="8890" b="15240"/>
            <wp:docPr id="245" name="图片 3" descr="e5ee3e18993256e30807b54c5dead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 descr="e5ee3e18993256e30807b54c5deadb4"/>
                    <pic:cNvPicPr>
                      <a:picLocks noChangeAspect="1"/>
                    </pic:cNvPicPr>
                  </pic:nvPicPr>
                  <pic:blipFill>
                    <a:blip r:embed="rId29"/>
                    <a:stretch>
                      <a:fillRect/>
                    </a:stretch>
                  </pic:blipFill>
                  <pic:spPr>
                    <a:xfrm>
                      <a:off x="0" y="0"/>
                      <a:ext cx="7668260" cy="5337810"/>
                    </a:xfrm>
                    <a:prstGeom prst="rect">
                      <a:avLst/>
                    </a:prstGeom>
                    <a:noFill/>
                    <a:ln>
                      <a:noFill/>
                    </a:ln>
                  </pic:spPr>
                </pic:pic>
              </a:graphicData>
            </a:graphic>
          </wp:inline>
        </w:drawing>
      </w:r>
    </w:p>
    <w:p w14:paraId="012BD70E">
      <w:pPr>
        <w:pStyle w:val="170"/>
        <w:ind w:firstLine="422"/>
        <w:jc w:val="center"/>
        <w:outlineLvl w:val="0"/>
        <w:rPr>
          <w:rFonts w:hint="eastAsia"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 xml:space="preserve">附图8 </w:t>
      </w:r>
      <w:r>
        <w:rPr>
          <w:rFonts w:hint="eastAsia" w:ascii="Times New Roman" w:hAnsi="Times New Roman" w:eastAsia="宋体" w:cs="Times New Roman"/>
          <w:b/>
          <w:bCs/>
          <w:color w:val="auto"/>
          <w:sz w:val="21"/>
          <w:szCs w:val="21"/>
          <w:lang w:val="en-US" w:eastAsia="zh-CN"/>
        </w:rPr>
        <w:t>翠亨新区与南朗街道声环境功能区划图</w:t>
      </w:r>
    </w:p>
    <w:p w14:paraId="12F3142F">
      <w:pPr>
        <w:pStyle w:val="170"/>
        <w:ind w:firstLine="422"/>
        <w:jc w:val="center"/>
        <w:outlineLvl w:val="0"/>
        <w:rPr>
          <w:rFonts w:hint="eastAsia" w:ascii="Times New Roman" w:hAnsi="Times New Roman" w:eastAsia="宋体" w:cs="Times New Roman"/>
          <w:b/>
          <w:bCs/>
          <w:color w:val="auto"/>
          <w:sz w:val="21"/>
          <w:szCs w:val="21"/>
          <w:lang w:val="en-US" w:eastAsia="zh-CN"/>
        </w:rPr>
      </w:pPr>
    </w:p>
    <w:p w14:paraId="335C92A3">
      <w:pPr>
        <w:jc w:val="center"/>
        <w:rPr>
          <w:rFonts w:hint="default" w:ascii="Times New Roman" w:hAnsi="Times New Roman" w:eastAsia="宋体" w:cs="Times New Roman"/>
          <w:b/>
          <w:bCs/>
          <w:color w:val="auto"/>
          <w:sz w:val="24"/>
          <w:szCs w:val="24"/>
          <w:lang w:val="en-US" w:eastAsia="zh-CN"/>
        </w:rPr>
      </w:pPr>
      <w:r>
        <w:rPr>
          <w:color w:val="auto"/>
          <w:sz w:val="21"/>
        </w:rPr>
        <mc:AlternateContent>
          <mc:Choice Requires="wps">
            <w:drawing>
              <wp:anchor distT="0" distB="0" distL="114300" distR="114300" simplePos="0" relativeHeight="251742208" behindDoc="0" locked="0" layoutInCell="1" allowOverlap="1">
                <wp:simplePos x="0" y="0"/>
                <wp:positionH relativeFrom="column">
                  <wp:posOffset>2153285</wp:posOffset>
                </wp:positionH>
                <wp:positionV relativeFrom="paragraph">
                  <wp:posOffset>1174750</wp:posOffset>
                </wp:positionV>
                <wp:extent cx="972185" cy="273050"/>
                <wp:effectExtent l="110490" t="5080" r="22225" b="7620"/>
                <wp:wrapNone/>
                <wp:docPr id="250" name="矩形标注 250"/>
                <wp:cNvGraphicFramePr/>
                <a:graphic xmlns:a="http://schemas.openxmlformats.org/drawingml/2006/main">
                  <a:graphicData uri="http://schemas.microsoft.com/office/word/2010/wordprocessingShape">
                    <wps:wsp>
                      <wps:cNvSpPr/>
                      <wps:spPr>
                        <a:xfrm>
                          <a:off x="3265170" y="2153920"/>
                          <a:ext cx="972185" cy="273050"/>
                        </a:xfrm>
                        <a:prstGeom prst="wedgeRectCallout">
                          <a:avLst>
                            <a:gd name="adj1" fmla="val -59862"/>
                            <a:gd name="adj2" fmla="val -10465"/>
                          </a:avLst>
                        </a:prstGeom>
                        <a:solidFill>
                          <a:srgbClr val="FFFFFF"/>
                        </a:solidFill>
                        <a:ln w="9525" cap="flat" cmpd="sng">
                          <a:solidFill>
                            <a:srgbClr val="000000"/>
                          </a:solidFill>
                          <a:prstDash val="solid"/>
                          <a:miter/>
                          <a:headEnd type="none" w="med" len="med"/>
                          <a:tailEnd type="none" w="med" len="med"/>
                        </a:ln>
                      </wps:spPr>
                      <wps:txbx>
                        <w:txbxContent>
                          <w:p w14:paraId="47C62961">
                            <w:pPr>
                              <w:rPr>
                                <w:sz w:val="24"/>
                              </w:rPr>
                            </w:pPr>
                            <w:r>
                              <w:rPr>
                                <w:rFonts w:hint="eastAsia" w:eastAsia="宋体"/>
                                <w:sz w:val="24"/>
                              </w:rPr>
                              <w:t>项目所在地</w:t>
                            </w:r>
                          </w:p>
                        </w:txbxContent>
                      </wps:txbx>
                      <wps:bodyPr upright="1"/>
                    </wps:wsp>
                  </a:graphicData>
                </a:graphic>
              </wp:anchor>
            </w:drawing>
          </mc:Choice>
          <mc:Fallback>
            <w:pict>
              <v:shape id="_x0000_s1026" o:spid="_x0000_s1026" o:spt="61" type="#_x0000_t61" style="position:absolute;left:0pt;margin-left:169.55pt;margin-top:92.5pt;height:21.5pt;width:76.55pt;z-index:251742208;mso-width-relative:page;mso-height-relative:page;" fillcolor="#FFFFFF" filled="t" stroked="t" coordsize="21600,21600" o:gfxdata="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7edwE2gAAAAsBAAAPAAAAAAAAAAEAIAAA&#10;ACIAAABkcnMvZG93bnJldi54bWxQSwECFAAUAAAACACHTuJAWV9S+kMCAACdBAAADgAAAAAAAAAB&#10;ACAAAAApAQAAZHJzL2Uyb0RvYy54bWxQSwUGAAAAAAYABgBZAQAA3gUAAAAA&#10;" adj="-2130,8540">
                <v:fill on="t" focussize="0,0"/>
                <v:stroke color="#000000" joinstyle="miter"/>
                <v:imagedata o:title=""/>
                <o:lock v:ext="edit" aspectratio="f"/>
                <v:textbox>
                  <w:txbxContent>
                    <w:p w14:paraId="47C62961">
                      <w:pPr>
                        <w:rPr>
                          <w:sz w:val="24"/>
                        </w:rPr>
                      </w:pPr>
                      <w:r>
                        <w:rPr>
                          <w:rFonts w:hint="eastAsia" w:eastAsia="宋体"/>
                          <w:sz w:val="24"/>
                        </w:rPr>
                        <w:t>项目所在地</w:t>
                      </w:r>
                    </w:p>
                  </w:txbxContent>
                </v:textbox>
              </v:shape>
            </w:pict>
          </mc:Fallback>
        </mc:AlternateContent>
      </w:r>
      <w:r>
        <w:rPr>
          <w:color w:val="auto"/>
          <w:sz w:val="21"/>
        </w:rPr>
        <mc:AlternateContent>
          <mc:Choice Requires="wps">
            <w:drawing>
              <wp:anchor distT="0" distB="0" distL="114300" distR="114300" simplePos="0" relativeHeight="251743232" behindDoc="0" locked="0" layoutInCell="1" allowOverlap="1">
                <wp:simplePos x="0" y="0"/>
                <wp:positionH relativeFrom="column">
                  <wp:posOffset>1956435</wp:posOffset>
                </wp:positionH>
                <wp:positionV relativeFrom="paragraph">
                  <wp:posOffset>1268730</wp:posOffset>
                </wp:positionV>
                <wp:extent cx="88900" cy="88900"/>
                <wp:effectExtent l="4445" t="4445" r="20955" b="20955"/>
                <wp:wrapNone/>
                <wp:docPr id="251" name="椭圆 251"/>
                <wp:cNvGraphicFramePr/>
                <a:graphic xmlns:a="http://schemas.openxmlformats.org/drawingml/2006/main">
                  <a:graphicData uri="http://schemas.microsoft.com/office/word/2010/wordprocessingShape">
                    <wps:wsp>
                      <wps:cNvSpPr/>
                      <wps:spPr>
                        <a:xfrm>
                          <a:off x="3194685" y="2637155"/>
                          <a:ext cx="88900" cy="88900"/>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54.05pt;margin-top:99.9pt;height:7pt;width:7pt;z-index:251743232;mso-width-relative:page;mso-height-relative:page;" fillcolor="#FF0000" filled="t" stroked="t" coordsize="21600,21600" o:gfxdata="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JvwebtgAAAALAQAADwAAAAAAAAABACAAAAAiAAAAZHJz&#10;L2Rvd25yZXYueG1sUEsBAhQAFAAAAAgAh07iQILjZAoEAgAAJAQAAA4AAAAAAAAAAQAgAAAAJwEA&#10;AGRycy9lMm9Eb2MueG1sUEsFBgAAAAAGAAYAWQEAAJ0FAAAAAA==&#10;">
                <v:fill on="t" focussize="0,0"/>
                <v:stroke color="#000000" joinstyle="round"/>
                <v:imagedata o:title=""/>
                <o:lock v:ext="edit" aspectratio="f"/>
              </v:shape>
            </w:pict>
          </mc:Fallback>
        </mc:AlternateContent>
      </w:r>
      <w:r>
        <w:rPr>
          <w:color w:val="auto"/>
          <w:sz w:val="21"/>
        </w:rPr>
        <mc:AlternateContent>
          <mc:Choice Requires="wps">
            <w:drawing>
              <wp:anchor distT="0" distB="0" distL="114300" distR="114300" simplePos="0" relativeHeight="251744256" behindDoc="0" locked="0" layoutInCell="1" allowOverlap="1">
                <wp:simplePos x="0" y="0"/>
                <wp:positionH relativeFrom="column">
                  <wp:posOffset>3769360</wp:posOffset>
                </wp:positionH>
                <wp:positionV relativeFrom="paragraph">
                  <wp:posOffset>2292985</wp:posOffset>
                </wp:positionV>
                <wp:extent cx="433070" cy="225425"/>
                <wp:effectExtent l="0" t="5715" r="24130" b="16510"/>
                <wp:wrapNone/>
                <wp:docPr id="63" name="直接箭头连接符 63"/>
                <wp:cNvGraphicFramePr/>
                <a:graphic xmlns:a="http://schemas.openxmlformats.org/drawingml/2006/main">
                  <a:graphicData uri="http://schemas.microsoft.com/office/word/2010/wordprocessingShape">
                    <wps:wsp>
                      <wps:cNvCnPr/>
                      <wps:spPr>
                        <a:xfrm flipH="1" flipV="1">
                          <a:off x="4849495" y="3495040"/>
                          <a:ext cx="433070" cy="225425"/>
                        </a:xfrm>
                        <a:prstGeom prst="straightConnector1">
                          <a:avLst/>
                        </a:prstGeom>
                        <a:ln w="28575">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96.8pt;margin-top:180.55pt;height:17.75pt;width:34.1pt;z-index:251744256;mso-width-relative:page;mso-height-relative:page;" filled="f" stroked="t" coordsize="21600,21600" o:gfxdata="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j&#10;paLZ1wAAAAsBAAAPAAAAAAAAAAEAIAAAACIAAABkcnMvZG93bnJldi54bWxQSwECFAAUAAAACACH&#10;TuJAcTjrziUCAAAFBAAADgAAAAAAAAABACAAAAAmAQAAZHJzL2Uyb0RvYy54bWxQSwUGAAAAAAYA&#10;BgBZAQAAvQUAAAAA&#10;">
                <v:fill on="f" focussize="0,0"/>
                <v:stroke weight="2.25pt" color="#FF0000 [3204]"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743232" behindDoc="0" locked="0" layoutInCell="1" allowOverlap="1">
                <wp:simplePos x="0" y="0"/>
                <wp:positionH relativeFrom="column">
                  <wp:posOffset>4201795</wp:posOffset>
                </wp:positionH>
                <wp:positionV relativeFrom="paragraph">
                  <wp:posOffset>2501900</wp:posOffset>
                </wp:positionV>
                <wp:extent cx="632460" cy="415925"/>
                <wp:effectExtent l="14605" t="13970" r="19685" b="27305"/>
                <wp:wrapNone/>
                <wp:docPr id="61" name="矩形 61"/>
                <wp:cNvGraphicFramePr/>
                <a:graphic xmlns:a="http://schemas.openxmlformats.org/drawingml/2006/main">
                  <a:graphicData uri="http://schemas.microsoft.com/office/word/2010/wordprocessingShape">
                    <wps:wsp>
                      <wps:cNvSpPr/>
                      <wps:spPr>
                        <a:xfrm>
                          <a:off x="5161280" y="3703955"/>
                          <a:ext cx="632460" cy="415925"/>
                        </a:xfrm>
                        <a:prstGeom prst="rect">
                          <a:avLst/>
                        </a:prstGeom>
                        <a:noFill/>
                        <a:ln w="28575">
                          <a:solidFill>
                            <a:srgbClr val="FF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0.85pt;margin-top:197pt;height:32.75pt;width:49.8pt;z-index:251743232;v-text-anchor:middle;mso-width-relative:page;mso-height-relative:page;" filled="f" stroked="t" coordsize="21600,21600" o:gfxdata="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Ng3ZiLbAAAACwEAAA8AAAAAAAAAAQAgAAAA&#10;IgAAAGRycy9kb3ducmV2LnhtbFBLAQIUABQAAAAIAIdO4kCkDLIlegIAANcEAAAOAAAAAAAAAAEA&#10;IAAAACoBAABkcnMvZTJvRG9jLnhtbFBLBQYAAAAABgAGAFkBAAAWBgAAAAA=&#10;">
                <v:fill on="f" focussize="0,0"/>
                <v:stroke weight="2.25pt" color="#FF0000 [2404]" miterlimit="8" joinstyle="miter" dashstyle="dash"/>
                <v:imagedata o:title=""/>
                <o:lock v:ext="edit" aspectratio="f"/>
              </v:rect>
            </w:pict>
          </mc:Fallback>
        </mc:AlternateContent>
      </w:r>
      <w:r>
        <w:rPr>
          <w:color w:val="auto"/>
          <w:sz w:val="21"/>
        </w:rPr>
        <mc:AlternateContent>
          <mc:Choice Requires="wps">
            <w:drawing>
              <wp:anchor distT="0" distB="0" distL="114300" distR="114300" simplePos="0" relativeHeight="251741184" behindDoc="0" locked="0" layoutInCell="1" allowOverlap="1">
                <wp:simplePos x="0" y="0"/>
                <wp:positionH relativeFrom="column">
                  <wp:posOffset>815340</wp:posOffset>
                </wp:positionH>
                <wp:positionV relativeFrom="paragraph">
                  <wp:posOffset>511175</wp:posOffset>
                </wp:positionV>
                <wp:extent cx="2985770" cy="1783715"/>
                <wp:effectExtent l="4445" t="4445" r="19685" b="21590"/>
                <wp:wrapNone/>
                <wp:docPr id="22" name="文本框 22"/>
                <wp:cNvGraphicFramePr/>
                <a:graphic xmlns:a="http://schemas.openxmlformats.org/drawingml/2006/main">
                  <a:graphicData uri="http://schemas.microsoft.com/office/word/2010/wordprocessingShape">
                    <wps:wsp>
                      <wps:cNvSpPr txBox="1"/>
                      <wps:spPr>
                        <a:xfrm>
                          <a:off x="4632960" y="2630805"/>
                          <a:ext cx="2985770" cy="17837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DC6BDFF">
                            <w:r>
                              <w:drawing>
                                <wp:inline distT="0" distB="0" distL="114300" distR="114300">
                                  <wp:extent cx="2816860" cy="1680845"/>
                                  <wp:effectExtent l="0" t="0" r="2540" b="1460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30"/>
                                          <a:stretch>
                                            <a:fillRect/>
                                          </a:stretch>
                                        </pic:blipFill>
                                        <pic:spPr>
                                          <a:xfrm>
                                            <a:off x="0" y="0"/>
                                            <a:ext cx="2816860" cy="16808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2pt;margin-top:40.25pt;height:140.45pt;width:235.1pt;z-index:251741184;mso-width-relative:page;mso-height-relative:page;" fillcolor="#FFFFFF [3201]" filled="t" stroked="t" coordsize="21600,21600" o:gfxdata="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5mp9B1wAAAAoBAAAPAAAAAAAAAAEAIAAAACIAAABkcnMvZG93bnJldi54bWxQSwEC&#10;FAAUAAAACACHTuJAYdQgYWcCAADGBAAADgAAAAAAAAABACAAAAAmAQAAZHJzL2Uyb0RvYy54bWxQ&#10;SwUGAAAAAAYABgBZAQAA/wUAAAAA&#10;">
                <v:fill on="t" focussize="0,0"/>
                <v:stroke weight="0.5pt" color="#000000 [3204]" joinstyle="round"/>
                <v:imagedata o:title=""/>
                <o:lock v:ext="edit" aspectratio="f"/>
                <v:textbox>
                  <w:txbxContent>
                    <w:p w14:paraId="6DC6BDFF">
                      <w:r>
                        <w:drawing>
                          <wp:inline distT="0" distB="0" distL="114300" distR="114300">
                            <wp:extent cx="2816860" cy="1680845"/>
                            <wp:effectExtent l="0" t="0" r="2540" b="1460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30"/>
                                    <a:stretch>
                                      <a:fillRect/>
                                    </a:stretch>
                                  </pic:blipFill>
                                  <pic:spPr>
                                    <a:xfrm>
                                      <a:off x="0" y="0"/>
                                      <a:ext cx="2816860" cy="1680845"/>
                                    </a:xfrm>
                                    <a:prstGeom prst="rect">
                                      <a:avLst/>
                                    </a:prstGeom>
                                    <a:noFill/>
                                    <a:ln>
                                      <a:noFill/>
                                    </a:ln>
                                  </pic:spPr>
                                </pic:pic>
                              </a:graphicData>
                            </a:graphic>
                          </wp:inline>
                        </w:drawing>
                      </w:r>
                    </w:p>
                  </w:txbxContent>
                </v:textbox>
              </v:shape>
            </w:pict>
          </mc:Fallback>
        </mc:AlternateContent>
      </w:r>
      <w:r>
        <w:rPr>
          <w:rFonts w:hint="default" w:ascii="Times New Roman" w:hAnsi="Times New Roman" w:eastAsia="宋体" w:cs="Times New Roman"/>
          <w:b/>
          <w:bCs/>
          <w:color w:val="auto"/>
          <w:sz w:val="24"/>
          <w:szCs w:val="24"/>
          <w:lang w:val="en-US" w:eastAsia="zh-CN"/>
        </w:rPr>
        <w:drawing>
          <wp:inline distT="0" distB="0" distL="114300" distR="114300">
            <wp:extent cx="7194550" cy="5106035"/>
            <wp:effectExtent l="0" t="0" r="6350" b="18415"/>
            <wp:docPr id="248" name="图片 4" descr="三线一单-图件【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4" descr="三线一单-图件【2024】"/>
                    <pic:cNvPicPr>
                      <a:picLocks noChangeAspect="1"/>
                    </pic:cNvPicPr>
                  </pic:nvPicPr>
                  <pic:blipFill>
                    <a:blip r:embed="rId31"/>
                    <a:stretch>
                      <a:fillRect/>
                    </a:stretch>
                  </pic:blipFill>
                  <pic:spPr>
                    <a:xfrm>
                      <a:off x="0" y="0"/>
                      <a:ext cx="7194550" cy="5106035"/>
                    </a:xfrm>
                    <a:prstGeom prst="rect">
                      <a:avLst/>
                    </a:prstGeom>
                    <a:noFill/>
                    <a:ln>
                      <a:noFill/>
                    </a:ln>
                  </pic:spPr>
                </pic:pic>
              </a:graphicData>
            </a:graphic>
          </wp:inline>
        </w:drawing>
      </w:r>
    </w:p>
    <w:p w14:paraId="44A4458A">
      <w:pPr>
        <w:jc w:val="center"/>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附图</w:t>
      </w:r>
      <w:r>
        <w:rPr>
          <w:rFonts w:hint="eastAsia" w:cs="Times New Roman"/>
          <w:b/>
          <w:bCs/>
          <w:color w:val="auto"/>
          <w:sz w:val="24"/>
          <w:szCs w:val="24"/>
          <w:highlight w:val="none"/>
          <w:lang w:val="en-US" w:eastAsia="zh-CN"/>
        </w:rPr>
        <w:t>9</w:t>
      </w:r>
      <w:r>
        <w:rPr>
          <w:rFonts w:hint="eastAsia" w:ascii="Times New Roman" w:hAnsi="Times New Roman" w:eastAsia="宋体" w:cs="Times New Roman"/>
          <w:b/>
          <w:bCs/>
          <w:color w:val="auto"/>
          <w:sz w:val="24"/>
          <w:szCs w:val="24"/>
          <w:highlight w:val="none"/>
          <w:lang w:val="en-US" w:eastAsia="zh-CN"/>
        </w:rPr>
        <w:t xml:space="preserve"> 中山市环境管控单元图</w:t>
      </w:r>
    </w:p>
    <w:p w14:paraId="7509F308">
      <w:pPr>
        <w:pStyle w:val="170"/>
        <w:ind w:firstLine="422"/>
        <w:jc w:val="center"/>
        <w:outlineLvl w:val="0"/>
        <w:rPr>
          <w:rFonts w:hint="default" w:ascii="Times New Roman" w:hAnsi="Times New Roman" w:eastAsia="宋体" w:cs="Times New Roman"/>
          <w:b/>
          <w:bCs/>
          <w:color w:val="auto"/>
          <w:sz w:val="21"/>
          <w:szCs w:val="21"/>
          <w:highlight w:val="yellow"/>
          <w:lang w:val="en-US" w:eastAsia="zh-CN"/>
        </w:rPr>
        <w:sectPr>
          <w:pgSz w:w="16839" w:h="11907" w:orient="landscape"/>
          <w:pgMar w:top="1531" w:right="1701" w:bottom="1531" w:left="1701" w:header="851" w:footer="567" w:gutter="0"/>
          <w:pgBorders>
            <w:top w:val="none" w:sz="0" w:space="0"/>
            <w:left w:val="none" w:sz="0" w:space="0"/>
            <w:bottom w:val="none" w:sz="0" w:space="0"/>
            <w:right w:val="none" w:sz="0" w:space="0"/>
          </w:pgBorders>
          <w:cols w:space="720" w:num="1"/>
          <w:docGrid w:linePitch="312" w:charSpace="0"/>
        </w:sectPr>
      </w:pPr>
    </w:p>
    <w:bookmarkEnd w:id="18"/>
    <w:p w14:paraId="64064F39">
      <w:pPr>
        <w:pStyle w:val="170"/>
        <w:ind w:firstLine="422"/>
        <w:outlineLvl w:val="0"/>
        <w:rPr>
          <w:rFonts w:hint="default"/>
          <w:color w:val="auto"/>
          <w:lang w:val="en-US" w:eastAsia="zh-CN"/>
        </w:rPr>
      </w:pPr>
      <w:r>
        <w:rPr>
          <w:color w:val="auto"/>
          <w:sz w:val="21"/>
        </w:rPr>
        <mc:AlternateContent>
          <mc:Choice Requires="wpg">
            <w:drawing>
              <wp:anchor distT="0" distB="0" distL="114300" distR="114300" simplePos="0" relativeHeight="251706368" behindDoc="0" locked="0" layoutInCell="1" allowOverlap="1">
                <wp:simplePos x="0" y="0"/>
                <wp:positionH relativeFrom="column">
                  <wp:posOffset>4105910</wp:posOffset>
                </wp:positionH>
                <wp:positionV relativeFrom="paragraph">
                  <wp:posOffset>2984500</wp:posOffset>
                </wp:positionV>
                <wp:extent cx="1042035" cy="572135"/>
                <wp:effectExtent l="4445" t="4445" r="20320" b="13970"/>
                <wp:wrapNone/>
                <wp:docPr id="256" name="组合 256"/>
                <wp:cNvGraphicFramePr/>
                <a:graphic xmlns:a="http://schemas.openxmlformats.org/drawingml/2006/main">
                  <a:graphicData uri="http://schemas.microsoft.com/office/word/2010/wordprocessingGroup">
                    <wpg:wgp>
                      <wpg:cNvGrpSpPr/>
                      <wpg:grpSpPr>
                        <a:xfrm>
                          <a:off x="0" y="0"/>
                          <a:ext cx="1042035" cy="572135"/>
                          <a:chOff x="9440" y="496529"/>
                          <a:chExt cx="1641" cy="901"/>
                        </a:xfrm>
                      </wpg:grpSpPr>
                      <wps:wsp>
                        <wps:cNvPr id="257" name="矩形标注 250"/>
                        <wps:cNvSpPr/>
                        <wps:spPr>
                          <a:xfrm>
                            <a:off x="9551" y="496529"/>
                            <a:ext cx="1531" cy="430"/>
                          </a:xfrm>
                          <a:prstGeom prst="wedgeRectCallout">
                            <a:avLst>
                              <a:gd name="adj1" fmla="val -49227"/>
                              <a:gd name="adj2" fmla="val 129148"/>
                            </a:avLst>
                          </a:prstGeom>
                          <a:solidFill>
                            <a:srgbClr val="FFFFFF"/>
                          </a:solidFill>
                          <a:ln w="9525" cap="flat" cmpd="sng">
                            <a:solidFill>
                              <a:srgbClr val="000000"/>
                            </a:solidFill>
                            <a:prstDash val="solid"/>
                            <a:miter/>
                            <a:headEnd type="none" w="med" len="med"/>
                            <a:tailEnd type="none" w="med" len="med"/>
                          </a:ln>
                        </wps:spPr>
                        <wps:txbx>
                          <w:txbxContent>
                            <w:p w14:paraId="496F4C06">
                              <w:pPr>
                                <w:rPr>
                                  <w:sz w:val="24"/>
                                </w:rPr>
                              </w:pPr>
                              <w:r>
                                <w:rPr>
                                  <w:rFonts w:hint="eastAsia" w:eastAsia="宋体"/>
                                  <w:sz w:val="24"/>
                                </w:rPr>
                                <w:t>项目所在地</w:t>
                              </w:r>
                            </w:p>
                          </w:txbxContent>
                        </wps:txbx>
                        <wps:bodyPr upright="1"/>
                      </wps:wsp>
                      <wps:wsp>
                        <wps:cNvPr id="258" name="椭圆 251"/>
                        <wps:cNvSpPr/>
                        <wps:spPr>
                          <a:xfrm>
                            <a:off x="9440" y="497290"/>
                            <a:ext cx="140" cy="140"/>
                          </a:xfrm>
                          <a:prstGeom prst="ellipse">
                            <a:avLst/>
                          </a:prstGeom>
                          <a:solidFill>
                            <a:srgbClr val="FF0000"/>
                          </a:solidFill>
                          <a:ln w="9525"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323.3pt;margin-top:235pt;height:45.05pt;width:82.05pt;z-index:251706368;mso-width-relative:page;mso-height-relative:page;" coordorigin="9440,496529" coordsize="1641,901" o:gfxdata="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F4W&#10;3mbbAAAACwEAAA8AAAAAAAAAAQAgAAAAIgAAAGRycy9kb3ducmV2LnhtbFBLAQIUABQAAAAIAIdO&#10;4kDTufXcBAMAAAcIAAAOAAAAAAAAAAEAIAAAACoBAABkcnMvZTJvRG9jLnhtbFBLBQYAAAAABgAG&#10;AFkBAACgBgAAAAA=&#10;">
                <o:lock v:ext="edit" aspectratio="f"/>
                <v:shape id="矩形标注 250" o:spid="_x0000_s1026" o:spt="61" type="#_x0000_t61" style="position:absolute;left:9551;top:496529;height:430;width:1531;" fillcolor="#FFFFFF" filled="t" stroked="t" coordsize="21600,21600" o:gfxdata="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Ktvor4A&#10;AADcAAAADwAAAAAAAAABACAAAAAiAAAAZHJzL2Rvd25yZXYueG1sUEsBAhQAFAAAAAgAh07iQDMv&#10;BZ47AAAAOQAAABAAAAAAAAAAAQAgAAAADQEAAGRycy9zaGFwZXhtbC54bWxQSwUGAAAAAAYABgBb&#10;AQAAtwMAAAAA&#10;" adj="167,38696">
                  <v:fill on="t" focussize="0,0"/>
                  <v:stroke color="#000000" joinstyle="miter"/>
                  <v:imagedata o:title=""/>
                  <o:lock v:ext="edit" aspectratio="f"/>
                  <v:textbox>
                    <w:txbxContent>
                      <w:p w14:paraId="496F4C06">
                        <w:pPr>
                          <w:rPr>
                            <w:sz w:val="24"/>
                          </w:rPr>
                        </w:pPr>
                        <w:r>
                          <w:rPr>
                            <w:rFonts w:hint="eastAsia" w:eastAsia="宋体"/>
                            <w:sz w:val="24"/>
                          </w:rPr>
                          <w:t>项目所在地</w:t>
                        </w:r>
                      </w:p>
                    </w:txbxContent>
                  </v:textbox>
                </v:shape>
                <v:shape id="椭圆 251" o:spid="_x0000_s1026" o:spt="3" type="#_x0000_t3" style="position:absolute;left:9440;top:497290;height:140;width:140;" fillcolor="#FF0000" filled="t" stroked="t" coordsize="21600,21600" o:gfxdata="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5DFk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shape>
              </v:group>
            </w:pict>
          </mc:Fallback>
        </mc:AlternateContent>
      </w:r>
      <w:r>
        <w:rPr>
          <w:rFonts w:hint="default"/>
          <w:color w:val="auto"/>
          <w:lang w:val="en-US" w:eastAsia="zh-CN"/>
        </w:rPr>
        <w:drawing>
          <wp:inline distT="0" distB="0" distL="114300" distR="114300">
            <wp:extent cx="5215255" cy="7367905"/>
            <wp:effectExtent l="0" t="0" r="4445" b="4445"/>
            <wp:docPr id="255" name="图片 5" descr="53f9430147bed0c2091b54717b70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5" descr="53f9430147bed0c2091b54717b70d63"/>
                    <pic:cNvPicPr>
                      <a:picLocks noChangeAspect="1"/>
                    </pic:cNvPicPr>
                  </pic:nvPicPr>
                  <pic:blipFill>
                    <a:blip r:embed="rId32"/>
                    <a:stretch>
                      <a:fillRect/>
                    </a:stretch>
                  </pic:blipFill>
                  <pic:spPr>
                    <a:xfrm>
                      <a:off x="0" y="0"/>
                      <a:ext cx="5215255" cy="7367905"/>
                    </a:xfrm>
                    <a:prstGeom prst="rect">
                      <a:avLst/>
                    </a:prstGeom>
                    <a:noFill/>
                    <a:ln>
                      <a:noFill/>
                    </a:ln>
                  </pic:spPr>
                </pic:pic>
              </a:graphicData>
            </a:graphic>
          </wp:inline>
        </w:drawing>
      </w:r>
    </w:p>
    <w:p w14:paraId="35768949">
      <w:pPr>
        <w:pStyle w:val="170"/>
        <w:ind w:firstLine="422"/>
        <w:outlineLvl w:val="0"/>
        <w:rPr>
          <w:rFonts w:hint="default"/>
          <w:color w:val="auto"/>
          <w:lang w:val="en-US" w:eastAsia="zh-CN"/>
        </w:rPr>
      </w:pPr>
    </w:p>
    <w:p w14:paraId="6B82B656">
      <w:pPr>
        <w:pStyle w:val="46"/>
        <w:keepNext w:val="0"/>
        <w:keepLines w:val="0"/>
        <w:pageBreakBefore w:val="0"/>
        <w:widowControl w:val="0"/>
        <w:kinsoku/>
        <w:wordWrap w:val="0"/>
        <w:overflowPunct w:val="0"/>
        <w:topLinePunct/>
        <w:autoSpaceDE w:val="0"/>
        <w:autoSpaceDN w:val="0"/>
        <w:bidi w:val="0"/>
        <w:adjustRightInd w:val="0"/>
        <w:snapToGrid/>
        <w:textAlignment w:val="auto"/>
        <w:outlineLvl w:val="0"/>
        <w:rPr>
          <w:rFonts w:hint="eastAsia"/>
          <w:b/>
          <w:bCs/>
          <w:color w:val="auto"/>
          <w:lang w:val="en-US" w:eastAsia="zh-CN"/>
        </w:rPr>
      </w:pPr>
      <w:bookmarkStart w:id="19" w:name="_Toc3372"/>
      <w:bookmarkStart w:id="20" w:name="_Toc20822"/>
      <w:r>
        <w:rPr>
          <w:rFonts w:hint="eastAsia"/>
          <w:b/>
          <w:bCs/>
          <w:color w:val="auto"/>
          <w:lang w:val="en-US" w:eastAsia="zh-CN"/>
        </w:rPr>
        <w:t>附图10 中山市地下水污染防治重点区划定</w:t>
      </w:r>
      <w:bookmarkEnd w:id="19"/>
      <w:bookmarkEnd w:id="20"/>
    </w:p>
    <w:p w14:paraId="11EF9DC8">
      <w:pPr>
        <w:pStyle w:val="170"/>
        <w:ind w:firstLine="422"/>
        <w:outlineLvl w:val="0"/>
        <w:rPr>
          <w:rFonts w:hint="eastAsia"/>
          <w:color w:val="auto"/>
          <w:lang w:val="en-US" w:eastAsia="zh-CN"/>
        </w:rPr>
        <w:sectPr>
          <w:pgSz w:w="11907" w:h="16839"/>
          <w:pgMar w:top="1701" w:right="1531" w:bottom="1701" w:left="1531" w:header="851" w:footer="567" w:gutter="0"/>
          <w:pgBorders>
            <w:top w:val="none" w:sz="0" w:space="0"/>
            <w:left w:val="none" w:sz="0" w:space="0"/>
            <w:bottom w:val="none" w:sz="0" w:space="0"/>
            <w:right w:val="none" w:sz="0" w:space="0"/>
          </w:pgBorders>
          <w:cols w:space="720" w:num="1"/>
          <w:docGrid w:linePitch="312" w:charSpace="0"/>
        </w:sectPr>
      </w:pPr>
    </w:p>
    <w:p w14:paraId="43F6983E">
      <w:pPr>
        <w:pStyle w:val="170"/>
        <w:ind w:firstLine="0" w:firstLineChars="0"/>
        <w:rPr>
          <w:color w:val="auto"/>
          <w:sz w:val="21"/>
          <w:szCs w:val="21"/>
        </w:rPr>
      </w:pPr>
      <w:r>
        <w:rPr>
          <w:color w:val="auto"/>
        </w:rPr>
        <w:t xml:space="preserve">    </w:t>
      </w:r>
    </w:p>
    <w:sectPr>
      <w:pgSz w:w="11907" w:h="16839"/>
      <w:pgMar w:top="1701" w:right="1531" w:bottom="1701" w:left="1531" w:header="851" w:footer="567"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仿宋_GB2312">
    <w:panose1 w:val="02010609030101010101"/>
    <w:charset w:val="86"/>
    <w:family w:val="modern"/>
    <w:pitch w:val="default"/>
    <w:sig w:usb0="00000001" w:usb1="080E0000" w:usb2="00000000" w:usb3="00000000" w:csb0="00040000" w:csb1="00000000"/>
  </w:font>
  <w:font w:name="PMingLiU">
    <w:altName w:val="Microsoft JhengHei UI"/>
    <w:panose1 w:val="02010601000101010101"/>
    <w:charset w:val="88"/>
    <w:family w:val="auto"/>
    <w:pitch w:val="default"/>
    <w:sig w:usb0="00000000" w:usb1="00000000" w:usb2="00000010" w:usb3="00000000" w:csb0="00100000" w:csb1="00000000"/>
  </w:font>
  <w:font w:name="Microsoft JhengHei UI">
    <w:panose1 w:val="020B0604030504040204"/>
    <w:charset w:val="88"/>
    <w:family w:val="auto"/>
    <w:pitch w:val="default"/>
    <w:sig w:usb0="000002A7" w:usb1="28CF4400" w:usb2="00000016" w:usb3="00000000" w:csb0="00100009" w:csb1="00000000"/>
  </w:font>
  <w:font w:name="Impact">
    <w:panose1 w:val="020B0806030902050204"/>
    <w:charset w:val="00"/>
    <w:family w:val="swiss"/>
    <w:pitch w:val="default"/>
    <w:sig w:usb0="00000287" w:usb1="00000000" w:usb2="00000000" w:usb3="00000000" w:csb0="2000009F" w:csb1="DFD70000"/>
  </w:font>
  <w:font w:name="Calibri Light">
    <w:panose1 w:val="020F0302020204030204"/>
    <w:charset w:val="00"/>
    <w:family w:val="swiss"/>
    <w:pitch w:val="default"/>
    <w:sig w:usb0="E4002EFF" w:usb1="C000247B" w:usb2="00000009" w:usb3="00000000" w:csb0="200001FF"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AdobeSongStd-Light-Acro">
    <w:altName w:val="宋体"/>
    <w:panose1 w:val="00000000000000000000"/>
    <w:charset w:val="86"/>
    <w:family w:val="auto"/>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E297A5">
    <w:pPr>
      <w:pStyle w:val="23"/>
      <w:framePr w:wrap="around" w:vAnchor="text" w:hAnchor="margin" w:xAlign="center" w:y="1"/>
      <w:rPr>
        <w:rStyle w:val="41"/>
      </w:rPr>
    </w:pPr>
    <w:r>
      <w:fldChar w:fldCharType="begin"/>
    </w:r>
    <w:r>
      <w:rPr>
        <w:rStyle w:val="41"/>
      </w:rPr>
      <w:instrText xml:space="preserve">PAGE  </w:instrText>
    </w:r>
    <w:r>
      <w:fldChar w:fldCharType="separate"/>
    </w:r>
    <w:r>
      <w:rPr>
        <w:rStyle w:val="41"/>
      </w:rPr>
      <w:t>89</w:t>
    </w:r>
    <w:r>
      <w:fldChar w:fldCharType="end"/>
    </w:r>
  </w:p>
  <w:p w14:paraId="51F875F3">
    <w:pPr>
      <w:pStyle w:val="23"/>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B1318C">
    <w:pPr>
      <w:pStyle w:val="23"/>
      <w:framePr w:wrap="around" w:vAnchor="text" w:hAnchor="margin" w:xAlign="outside" w:y="1"/>
      <w:rPr>
        <w:rStyle w:val="41"/>
        <w:rFonts w:ascii="宋体" w:hAnsi="宋体"/>
        <w:sz w:val="28"/>
        <w:szCs w:val="28"/>
      </w:rPr>
    </w:pPr>
    <w:r>
      <w:rPr>
        <w:rStyle w:val="41"/>
        <w:rFonts w:hint="eastAsia" w:ascii="宋体" w:hAnsi="宋体"/>
        <w:sz w:val="28"/>
        <w:szCs w:val="28"/>
      </w:rPr>
      <w:t>—</w:t>
    </w:r>
    <w:r>
      <w:rPr>
        <w:rStyle w:val="41"/>
        <w:rFonts w:hint="eastAsia" w:ascii="宋体" w:hAnsi="宋体"/>
        <w:sz w:val="20"/>
      </w:rPr>
      <w:t xml:space="preserve">  </w:t>
    </w:r>
    <w:r>
      <w:rPr>
        <w:rStyle w:val="41"/>
        <w:rFonts w:ascii="宋体" w:hAnsi="宋体"/>
        <w:sz w:val="26"/>
        <w:szCs w:val="26"/>
      </w:rPr>
      <w:fldChar w:fldCharType="begin"/>
    </w:r>
    <w:r>
      <w:rPr>
        <w:rStyle w:val="41"/>
        <w:rFonts w:ascii="宋体" w:hAnsi="宋体"/>
        <w:sz w:val="26"/>
        <w:szCs w:val="26"/>
      </w:rPr>
      <w:instrText xml:space="preserve">PAGE  </w:instrText>
    </w:r>
    <w:r>
      <w:rPr>
        <w:rStyle w:val="41"/>
        <w:rFonts w:ascii="宋体" w:hAnsi="宋体"/>
        <w:sz w:val="26"/>
        <w:szCs w:val="26"/>
      </w:rPr>
      <w:fldChar w:fldCharType="separate"/>
    </w:r>
    <w:r>
      <w:rPr>
        <w:rStyle w:val="41"/>
        <w:rFonts w:ascii="宋体" w:hAnsi="宋体"/>
        <w:sz w:val="26"/>
        <w:szCs w:val="26"/>
      </w:rPr>
      <w:t>48</w:t>
    </w:r>
    <w:r>
      <w:rPr>
        <w:rStyle w:val="41"/>
        <w:rFonts w:ascii="宋体" w:hAnsi="宋体"/>
        <w:sz w:val="26"/>
        <w:szCs w:val="26"/>
      </w:rPr>
      <w:fldChar w:fldCharType="end"/>
    </w:r>
    <w:r>
      <w:rPr>
        <w:rStyle w:val="41"/>
        <w:rFonts w:hint="eastAsia" w:ascii="宋体" w:hAnsi="宋体"/>
        <w:sz w:val="20"/>
      </w:rPr>
      <w:t xml:space="preserve">  </w:t>
    </w:r>
    <w:r>
      <w:rPr>
        <w:rStyle w:val="41"/>
        <w:rFonts w:hint="eastAsia" w:ascii="宋体" w:hAnsi="宋体"/>
        <w:sz w:val="28"/>
        <w:szCs w:val="28"/>
      </w:rPr>
      <w:t>—</w:t>
    </w:r>
  </w:p>
  <w:p w14:paraId="490A3086">
    <w:pPr>
      <w:pStyle w:val="23"/>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B7F31A">
    <w:pPr>
      <w:pStyle w:val="23"/>
      <w:framePr w:wrap="around" w:vAnchor="text" w:hAnchor="margin" w:xAlign="center" w:y="1"/>
      <w:rPr>
        <w:rStyle w:val="41"/>
        <w:rFonts w:ascii="宋体" w:hAnsi="宋体"/>
        <w:sz w:val="28"/>
        <w:szCs w:val="28"/>
      </w:rPr>
    </w:pPr>
    <w:r>
      <w:rPr>
        <w:rStyle w:val="41"/>
        <w:rFonts w:hint="eastAsia" w:ascii="宋体" w:hAnsi="宋体"/>
        <w:sz w:val="28"/>
        <w:szCs w:val="28"/>
      </w:rPr>
      <w:t>—</w:t>
    </w:r>
    <w:r>
      <w:rPr>
        <w:rStyle w:val="41"/>
        <w:rFonts w:hint="eastAsia" w:ascii="宋体" w:hAnsi="宋体"/>
        <w:sz w:val="20"/>
      </w:rPr>
      <w:t xml:space="preserve">  </w:t>
    </w:r>
    <w:r>
      <w:rPr>
        <w:rStyle w:val="41"/>
        <w:rFonts w:ascii="宋体" w:hAnsi="宋体"/>
        <w:sz w:val="26"/>
        <w:szCs w:val="26"/>
      </w:rPr>
      <w:fldChar w:fldCharType="begin"/>
    </w:r>
    <w:r>
      <w:rPr>
        <w:rStyle w:val="41"/>
        <w:rFonts w:ascii="宋体" w:hAnsi="宋体"/>
        <w:sz w:val="26"/>
        <w:szCs w:val="26"/>
      </w:rPr>
      <w:instrText xml:space="preserve">PAGE  </w:instrText>
    </w:r>
    <w:r>
      <w:rPr>
        <w:rStyle w:val="41"/>
        <w:rFonts w:ascii="宋体" w:hAnsi="宋体"/>
        <w:sz w:val="26"/>
        <w:szCs w:val="26"/>
      </w:rPr>
      <w:fldChar w:fldCharType="separate"/>
    </w:r>
    <w:r>
      <w:rPr>
        <w:rStyle w:val="41"/>
        <w:rFonts w:ascii="宋体" w:hAnsi="宋体"/>
        <w:sz w:val="26"/>
        <w:szCs w:val="26"/>
      </w:rPr>
      <w:t>50</w:t>
    </w:r>
    <w:r>
      <w:rPr>
        <w:rStyle w:val="41"/>
        <w:rFonts w:ascii="宋体" w:hAnsi="宋体"/>
        <w:sz w:val="26"/>
        <w:szCs w:val="26"/>
      </w:rPr>
      <w:fldChar w:fldCharType="end"/>
    </w:r>
    <w:r>
      <w:rPr>
        <w:rStyle w:val="41"/>
        <w:rFonts w:hint="eastAsia" w:ascii="宋体" w:hAnsi="宋体"/>
        <w:sz w:val="20"/>
      </w:rPr>
      <w:t xml:space="preserve">  </w:t>
    </w:r>
    <w:r>
      <w:rPr>
        <w:rStyle w:val="41"/>
        <w:rFonts w:hint="eastAsia" w:ascii="宋体" w:hAnsi="宋体"/>
        <w:sz w:val="28"/>
        <w:szCs w:val="28"/>
      </w:rPr>
      <w:t>—</w:t>
    </w:r>
  </w:p>
  <w:p w14:paraId="1E8B2589">
    <w:pPr>
      <w:pStyle w:val="23"/>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0CF50">
    <w:pPr>
      <w:pStyle w:val="23"/>
      <w:jc w:val="center"/>
    </w:pPr>
    <w:r>
      <w:fldChar w:fldCharType="begin"/>
    </w:r>
    <w:r>
      <w:instrText xml:space="preserve">PAGE   \* MERGEFORMAT</w:instrText>
    </w:r>
    <w:r>
      <w:fldChar w:fldCharType="separate"/>
    </w:r>
    <w:r>
      <w:t>58</w:t>
    </w:r>
    <w:r>
      <w:fldChar w:fldCharType="end"/>
    </w:r>
  </w:p>
  <w:p w14:paraId="349735AC">
    <w:pPr>
      <w:pStyle w:val="23"/>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5F6E9F"/>
    <w:multiLevelType w:val="singleLevel"/>
    <w:tmpl w:val="A55F6E9F"/>
    <w:lvl w:ilvl="0" w:tentative="0">
      <w:start w:val="5"/>
      <w:numFmt w:val="decimal"/>
      <w:suff w:val="nothing"/>
      <w:lvlText w:val="%1、"/>
      <w:lvlJc w:val="left"/>
    </w:lvl>
  </w:abstractNum>
  <w:abstractNum w:abstractNumId="1">
    <w:nsid w:val="C8CCF400"/>
    <w:multiLevelType w:val="singleLevel"/>
    <w:tmpl w:val="C8CCF400"/>
    <w:lvl w:ilvl="0" w:tentative="0">
      <w:start w:val="1"/>
      <w:numFmt w:val="decimal"/>
      <w:suff w:val="nothing"/>
      <w:lvlText w:val="（%1）"/>
      <w:lvlJc w:val="left"/>
    </w:lvl>
  </w:abstractNum>
  <w:abstractNum w:abstractNumId="2">
    <w:nsid w:val="02197076"/>
    <w:multiLevelType w:val="multilevel"/>
    <w:tmpl w:val="02197076"/>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3">
    <w:nsid w:val="08C46D79"/>
    <w:multiLevelType w:val="multilevel"/>
    <w:tmpl w:val="08C46D79"/>
    <w:lvl w:ilvl="0" w:tentative="0">
      <w:start w:val="1"/>
      <w:numFmt w:val="decimal"/>
      <w:pStyle w:val="9"/>
      <w:lvlText w:val="表%1"/>
      <w:lvlJc w:val="center"/>
      <w:pPr>
        <w:ind w:left="630" w:hanging="420"/>
      </w:pPr>
      <w:rPr>
        <w:rFonts w:hint="default"/>
        <w:b/>
        <w:color w:val="auto"/>
        <w:sz w:val="21"/>
        <w:szCs w:val="21"/>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760FF18"/>
    <w:multiLevelType w:val="singleLevel"/>
    <w:tmpl w:val="1760FF18"/>
    <w:lvl w:ilvl="0" w:tentative="0">
      <w:start w:val="1"/>
      <w:numFmt w:val="decimal"/>
      <w:suff w:val="nothing"/>
      <w:lvlText w:val="%1、"/>
      <w:lvlJc w:val="left"/>
    </w:lvl>
  </w:abstractNum>
  <w:abstractNum w:abstractNumId="5">
    <w:nsid w:val="19FAC3C2"/>
    <w:multiLevelType w:val="singleLevel"/>
    <w:tmpl w:val="19FAC3C2"/>
    <w:lvl w:ilvl="0" w:tentative="0">
      <w:start w:val="6"/>
      <w:numFmt w:val="chineseCounting"/>
      <w:suff w:val="nothing"/>
      <w:lvlText w:val="%1、"/>
      <w:lvlJc w:val="left"/>
      <w:rPr>
        <w:rFonts w:hint="eastAsia"/>
      </w:rPr>
    </w:lvl>
  </w:abstractNum>
  <w:abstractNum w:abstractNumId="6">
    <w:nsid w:val="257C4FC2"/>
    <w:multiLevelType w:val="multilevel"/>
    <w:tmpl w:val="257C4FC2"/>
    <w:lvl w:ilvl="0" w:tentative="0">
      <w:start w:val="1"/>
      <w:numFmt w:val="decimal"/>
      <w:pStyle w:val="185"/>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574D35F9"/>
    <w:multiLevelType w:val="singleLevel"/>
    <w:tmpl w:val="574D35F9"/>
    <w:lvl w:ilvl="0" w:tentative="0">
      <w:start w:val="3"/>
      <w:numFmt w:val="decimal"/>
      <w:pStyle w:val="150"/>
      <w:suff w:val="nothing"/>
      <w:lvlText w:val="%1、"/>
      <w:lvlJc w:val="left"/>
    </w:lvl>
  </w:abstractNum>
  <w:abstractNum w:abstractNumId="8">
    <w:nsid w:val="5F299A92"/>
    <w:multiLevelType w:val="singleLevel"/>
    <w:tmpl w:val="5F299A92"/>
    <w:lvl w:ilvl="0" w:tentative="0">
      <w:start w:val="1"/>
      <w:numFmt w:val="decimal"/>
      <w:suff w:val="nothing"/>
      <w:lvlText w:val="（%1）"/>
      <w:lvlJc w:val="left"/>
    </w:lvl>
  </w:abstractNum>
  <w:abstractNum w:abstractNumId="9">
    <w:nsid w:val="74F1060D"/>
    <w:multiLevelType w:val="multilevel"/>
    <w:tmpl w:val="74F1060D"/>
    <w:lvl w:ilvl="0" w:tentative="0">
      <w:start w:val="1"/>
      <w:numFmt w:val="decimal"/>
      <w:pStyle w:val="159"/>
      <w:lvlText w:val="图%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7"/>
  </w:num>
  <w:num w:numId="3">
    <w:abstractNumId w:val="9"/>
  </w:num>
  <w:num w:numId="4">
    <w:abstractNumId w:val="6"/>
  </w:num>
  <w:num w:numId="5">
    <w:abstractNumId w:val="2"/>
  </w:num>
  <w:num w:numId="6">
    <w:abstractNumId w:val="0"/>
  </w:num>
  <w:num w:numId="7">
    <w:abstractNumId w:val="1"/>
  </w:num>
  <w:num w:numId="8">
    <w:abstractNumId w:val="4"/>
  </w:num>
  <w:num w:numId="9">
    <w:abstractNumId w:val="5"/>
  </w:num>
  <w:num w:numId="10">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Memory Bay">
    <w15:presenceInfo w15:providerId="None" w15:userId="Memory Ba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3OTA1MDZkZWIzN2UwYzFlOTA0NTIwZTZlMDQ4OGEifQ=="/>
  </w:docVars>
  <w:rsids>
    <w:rsidRoot w:val="00172A27"/>
    <w:rsid w:val="00000F16"/>
    <w:rsid w:val="00001686"/>
    <w:rsid w:val="000027F8"/>
    <w:rsid w:val="00002AA6"/>
    <w:rsid w:val="00002DC5"/>
    <w:rsid w:val="00003037"/>
    <w:rsid w:val="00003AAC"/>
    <w:rsid w:val="00004187"/>
    <w:rsid w:val="00004A60"/>
    <w:rsid w:val="00004BFF"/>
    <w:rsid w:val="0000540E"/>
    <w:rsid w:val="00005A72"/>
    <w:rsid w:val="00005AAA"/>
    <w:rsid w:val="00005D24"/>
    <w:rsid w:val="0000712B"/>
    <w:rsid w:val="0000717A"/>
    <w:rsid w:val="00007FD3"/>
    <w:rsid w:val="0001034C"/>
    <w:rsid w:val="00010AC0"/>
    <w:rsid w:val="000127AC"/>
    <w:rsid w:val="00012EFB"/>
    <w:rsid w:val="00013D3A"/>
    <w:rsid w:val="00015974"/>
    <w:rsid w:val="00015C49"/>
    <w:rsid w:val="00015EAC"/>
    <w:rsid w:val="00016D43"/>
    <w:rsid w:val="00017373"/>
    <w:rsid w:val="00017C96"/>
    <w:rsid w:val="00017EC9"/>
    <w:rsid w:val="0002099D"/>
    <w:rsid w:val="000215B1"/>
    <w:rsid w:val="000221F3"/>
    <w:rsid w:val="0002223A"/>
    <w:rsid w:val="00022837"/>
    <w:rsid w:val="0002295C"/>
    <w:rsid w:val="00023AFF"/>
    <w:rsid w:val="00024C2C"/>
    <w:rsid w:val="00025402"/>
    <w:rsid w:val="00027749"/>
    <w:rsid w:val="00027964"/>
    <w:rsid w:val="00031321"/>
    <w:rsid w:val="00031E2E"/>
    <w:rsid w:val="00032502"/>
    <w:rsid w:val="000328E3"/>
    <w:rsid w:val="00033788"/>
    <w:rsid w:val="0003396D"/>
    <w:rsid w:val="00034810"/>
    <w:rsid w:val="0003597F"/>
    <w:rsid w:val="000376BD"/>
    <w:rsid w:val="00037C40"/>
    <w:rsid w:val="000408C0"/>
    <w:rsid w:val="00040C37"/>
    <w:rsid w:val="00040CD2"/>
    <w:rsid w:val="00041891"/>
    <w:rsid w:val="00041FE6"/>
    <w:rsid w:val="000434D5"/>
    <w:rsid w:val="000436DB"/>
    <w:rsid w:val="00044839"/>
    <w:rsid w:val="00044AC7"/>
    <w:rsid w:val="0004576A"/>
    <w:rsid w:val="00045892"/>
    <w:rsid w:val="000469D0"/>
    <w:rsid w:val="00046A4F"/>
    <w:rsid w:val="00047889"/>
    <w:rsid w:val="000504E3"/>
    <w:rsid w:val="000507CA"/>
    <w:rsid w:val="00052EAB"/>
    <w:rsid w:val="000540DE"/>
    <w:rsid w:val="00054EBB"/>
    <w:rsid w:val="000563BB"/>
    <w:rsid w:val="000567E5"/>
    <w:rsid w:val="000573D7"/>
    <w:rsid w:val="00057A9F"/>
    <w:rsid w:val="00061009"/>
    <w:rsid w:val="00063BA6"/>
    <w:rsid w:val="000642DF"/>
    <w:rsid w:val="00064607"/>
    <w:rsid w:val="0006477D"/>
    <w:rsid w:val="00064AC3"/>
    <w:rsid w:val="00064DD3"/>
    <w:rsid w:val="000655A5"/>
    <w:rsid w:val="00065BFF"/>
    <w:rsid w:val="00065C44"/>
    <w:rsid w:val="00065E55"/>
    <w:rsid w:val="0006778E"/>
    <w:rsid w:val="000704FD"/>
    <w:rsid w:val="000707FF"/>
    <w:rsid w:val="0007242F"/>
    <w:rsid w:val="0007244D"/>
    <w:rsid w:val="0007256C"/>
    <w:rsid w:val="00072BAA"/>
    <w:rsid w:val="000739AA"/>
    <w:rsid w:val="000746C0"/>
    <w:rsid w:val="00074BA5"/>
    <w:rsid w:val="00074DDE"/>
    <w:rsid w:val="00075494"/>
    <w:rsid w:val="00075BD5"/>
    <w:rsid w:val="00075C47"/>
    <w:rsid w:val="000765B7"/>
    <w:rsid w:val="00076DDA"/>
    <w:rsid w:val="00076F21"/>
    <w:rsid w:val="00077A2F"/>
    <w:rsid w:val="000808CC"/>
    <w:rsid w:val="00080B97"/>
    <w:rsid w:val="00081AEB"/>
    <w:rsid w:val="00081EF8"/>
    <w:rsid w:val="00082491"/>
    <w:rsid w:val="00082F21"/>
    <w:rsid w:val="0008420E"/>
    <w:rsid w:val="0008463D"/>
    <w:rsid w:val="0008698C"/>
    <w:rsid w:val="000870FF"/>
    <w:rsid w:val="00087690"/>
    <w:rsid w:val="00090CCD"/>
    <w:rsid w:val="00091197"/>
    <w:rsid w:val="000913F2"/>
    <w:rsid w:val="00091A10"/>
    <w:rsid w:val="000923F9"/>
    <w:rsid w:val="00093D8D"/>
    <w:rsid w:val="00093DDC"/>
    <w:rsid w:val="000941B6"/>
    <w:rsid w:val="00096DAD"/>
    <w:rsid w:val="000A00FD"/>
    <w:rsid w:val="000A077B"/>
    <w:rsid w:val="000A1040"/>
    <w:rsid w:val="000A171F"/>
    <w:rsid w:val="000A231E"/>
    <w:rsid w:val="000A3C9D"/>
    <w:rsid w:val="000A5286"/>
    <w:rsid w:val="000A5EE5"/>
    <w:rsid w:val="000A5EFE"/>
    <w:rsid w:val="000A714D"/>
    <w:rsid w:val="000A7EA0"/>
    <w:rsid w:val="000B00A8"/>
    <w:rsid w:val="000B029A"/>
    <w:rsid w:val="000B0788"/>
    <w:rsid w:val="000B0B1E"/>
    <w:rsid w:val="000B155B"/>
    <w:rsid w:val="000B2AE9"/>
    <w:rsid w:val="000B3033"/>
    <w:rsid w:val="000B47E4"/>
    <w:rsid w:val="000B4C7D"/>
    <w:rsid w:val="000B514D"/>
    <w:rsid w:val="000B582C"/>
    <w:rsid w:val="000B592F"/>
    <w:rsid w:val="000B6252"/>
    <w:rsid w:val="000B67AF"/>
    <w:rsid w:val="000B6C1E"/>
    <w:rsid w:val="000C26D1"/>
    <w:rsid w:val="000C3416"/>
    <w:rsid w:val="000C3455"/>
    <w:rsid w:val="000C3D62"/>
    <w:rsid w:val="000C3EA3"/>
    <w:rsid w:val="000C4017"/>
    <w:rsid w:val="000C4668"/>
    <w:rsid w:val="000C46BB"/>
    <w:rsid w:val="000C488C"/>
    <w:rsid w:val="000C5E9D"/>
    <w:rsid w:val="000C6CEE"/>
    <w:rsid w:val="000C6F62"/>
    <w:rsid w:val="000C7170"/>
    <w:rsid w:val="000D0383"/>
    <w:rsid w:val="000D1FC6"/>
    <w:rsid w:val="000D2A39"/>
    <w:rsid w:val="000D3EF6"/>
    <w:rsid w:val="000D446D"/>
    <w:rsid w:val="000D4E30"/>
    <w:rsid w:val="000D56C7"/>
    <w:rsid w:val="000D6766"/>
    <w:rsid w:val="000D6C69"/>
    <w:rsid w:val="000E07E0"/>
    <w:rsid w:val="000E137D"/>
    <w:rsid w:val="000E1712"/>
    <w:rsid w:val="000E1B4D"/>
    <w:rsid w:val="000E1BF8"/>
    <w:rsid w:val="000E1F17"/>
    <w:rsid w:val="000E262D"/>
    <w:rsid w:val="000E2D1E"/>
    <w:rsid w:val="000E3365"/>
    <w:rsid w:val="000E3403"/>
    <w:rsid w:val="000E4173"/>
    <w:rsid w:val="000E5A1C"/>
    <w:rsid w:val="000E5C9D"/>
    <w:rsid w:val="000E5D47"/>
    <w:rsid w:val="000E6822"/>
    <w:rsid w:val="000E71CE"/>
    <w:rsid w:val="000E7DC7"/>
    <w:rsid w:val="000E7EC4"/>
    <w:rsid w:val="000F0A25"/>
    <w:rsid w:val="000F0C5D"/>
    <w:rsid w:val="000F0D3B"/>
    <w:rsid w:val="000F2015"/>
    <w:rsid w:val="000F2536"/>
    <w:rsid w:val="000F27F8"/>
    <w:rsid w:val="000F2972"/>
    <w:rsid w:val="000F30D2"/>
    <w:rsid w:val="000F3751"/>
    <w:rsid w:val="000F4D13"/>
    <w:rsid w:val="000F5A40"/>
    <w:rsid w:val="000F720C"/>
    <w:rsid w:val="000F757A"/>
    <w:rsid w:val="000F77E2"/>
    <w:rsid w:val="001003E8"/>
    <w:rsid w:val="001008D8"/>
    <w:rsid w:val="00101666"/>
    <w:rsid w:val="00101F81"/>
    <w:rsid w:val="001035D1"/>
    <w:rsid w:val="001036F9"/>
    <w:rsid w:val="001039A5"/>
    <w:rsid w:val="0010495A"/>
    <w:rsid w:val="001058E0"/>
    <w:rsid w:val="00105941"/>
    <w:rsid w:val="00106257"/>
    <w:rsid w:val="001069A0"/>
    <w:rsid w:val="00106B4C"/>
    <w:rsid w:val="00106FB0"/>
    <w:rsid w:val="00107986"/>
    <w:rsid w:val="0011019A"/>
    <w:rsid w:val="00110CB3"/>
    <w:rsid w:val="00111AE4"/>
    <w:rsid w:val="00113015"/>
    <w:rsid w:val="00113980"/>
    <w:rsid w:val="00113DBD"/>
    <w:rsid w:val="00114513"/>
    <w:rsid w:val="00114939"/>
    <w:rsid w:val="00114BAF"/>
    <w:rsid w:val="00115565"/>
    <w:rsid w:val="00116613"/>
    <w:rsid w:val="0011688B"/>
    <w:rsid w:val="001170C4"/>
    <w:rsid w:val="0011732E"/>
    <w:rsid w:val="00120778"/>
    <w:rsid w:val="00121606"/>
    <w:rsid w:val="00121AFA"/>
    <w:rsid w:val="00121CB3"/>
    <w:rsid w:val="00122A82"/>
    <w:rsid w:val="00122B7A"/>
    <w:rsid w:val="001234E2"/>
    <w:rsid w:val="00123843"/>
    <w:rsid w:val="001243F7"/>
    <w:rsid w:val="0012453C"/>
    <w:rsid w:val="00124919"/>
    <w:rsid w:val="00125554"/>
    <w:rsid w:val="00125F59"/>
    <w:rsid w:val="001260C9"/>
    <w:rsid w:val="0012660C"/>
    <w:rsid w:val="00126721"/>
    <w:rsid w:val="00126807"/>
    <w:rsid w:val="00126CF6"/>
    <w:rsid w:val="0012714E"/>
    <w:rsid w:val="001276AE"/>
    <w:rsid w:val="001278AD"/>
    <w:rsid w:val="001279A0"/>
    <w:rsid w:val="0013019D"/>
    <w:rsid w:val="00130982"/>
    <w:rsid w:val="00130B94"/>
    <w:rsid w:val="00131513"/>
    <w:rsid w:val="001315EF"/>
    <w:rsid w:val="00131C18"/>
    <w:rsid w:val="001321E7"/>
    <w:rsid w:val="00132406"/>
    <w:rsid w:val="00132E27"/>
    <w:rsid w:val="001339C3"/>
    <w:rsid w:val="0013463D"/>
    <w:rsid w:val="0013519F"/>
    <w:rsid w:val="001359CD"/>
    <w:rsid w:val="00135B26"/>
    <w:rsid w:val="00136C59"/>
    <w:rsid w:val="00136CB4"/>
    <w:rsid w:val="00137172"/>
    <w:rsid w:val="00137675"/>
    <w:rsid w:val="00137CF9"/>
    <w:rsid w:val="00140D12"/>
    <w:rsid w:val="00141CD4"/>
    <w:rsid w:val="00142D9B"/>
    <w:rsid w:val="00142DF6"/>
    <w:rsid w:val="00143D88"/>
    <w:rsid w:val="001455C5"/>
    <w:rsid w:val="001467FC"/>
    <w:rsid w:val="00146CCC"/>
    <w:rsid w:val="0014715D"/>
    <w:rsid w:val="00147546"/>
    <w:rsid w:val="00147622"/>
    <w:rsid w:val="001501A6"/>
    <w:rsid w:val="001509DB"/>
    <w:rsid w:val="00151359"/>
    <w:rsid w:val="0015224C"/>
    <w:rsid w:val="00152374"/>
    <w:rsid w:val="00153E7C"/>
    <w:rsid w:val="00153FD0"/>
    <w:rsid w:val="001540B2"/>
    <w:rsid w:val="0015417D"/>
    <w:rsid w:val="00154D4F"/>
    <w:rsid w:val="00155550"/>
    <w:rsid w:val="00155BD4"/>
    <w:rsid w:val="001561A8"/>
    <w:rsid w:val="00156804"/>
    <w:rsid w:val="001577A1"/>
    <w:rsid w:val="001607F4"/>
    <w:rsid w:val="00161021"/>
    <w:rsid w:val="00161221"/>
    <w:rsid w:val="00161561"/>
    <w:rsid w:val="00163153"/>
    <w:rsid w:val="0016327F"/>
    <w:rsid w:val="001636A8"/>
    <w:rsid w:val="00163FAC"/>
    <w:rsid w:val="00164176"/>
    <w:rsid w:val="0016540F"/>
    <w:rsid w:val="00166731"/>
    <w:rsid w:val="00166DAB"/>
    <w:rsid w:val="00167C5C"/>
    <w:rsid w:val="00170EAC"/>
    <w:rsid w:val="001712E8"/>
    <w:rsid w:val="00171B7A"/>
    <w:rsid w:val="0017228C"/>
    <w:rsid w:val="001729E4"/>
    <w:rsid w:val="00172A27"/>
    <w:rsid w:val="00172E1C"/>
    <w:rsid w:val="0017356A"/>
    <w:rsid w:val="00174ABE"/>
    <w:rsid w:val="00174FE0"/>
    <w:rsid w:val="00175718"/>
    <w:rsid w:val="0017586D"/>
    <w:rsid w:val="00175BB1"/>
    <w:rsid w:val="0017676F"/>
    <w:rsid w:val="0017678C"/>
    <w:rsid w:val="00176BEC"/>
    <w:rsid w:val="00177134"/>
    <w:rsid w:val="00177637"/>
    <w:rsid w:val="0018020F"/>
    <w:rsid w:val="00180BAB"/>
    <w:rsid w:val="00180BDB"/>
    <w:rsid w:val="00180F35"/>
    <w:rsid w:val="001824ED"/>
    <w:rsid w:val="0018508D"/>
    <w:rsid w:val="0018551B"/>
    <w:rsid w:val="00185E03"/>
    <w:rsid w:val="0018755E"/>
    <w:rsid w:val="00187941"/>
    <w:rsid w:val="00187F35"/>
    <w:rsid w:val="00190608"/>
    <w:rsid w:val="00192430"/>
    <w:rsid w:val="00193709"/>
    <w:rsid w:val="00193C3D"/>
    <w:rsid w:val="00195225"/>
    <w:rsid w:val="00195254"/>
    <w:rsid w:val="001953AC"/>
    <w:rsid w:val="00197463"/>
    <w:rsid w:val="0019794D"/>
    <w:rsid w:val="00197B4E"/>
    <w:rsid w:val="001A02FB"/>
    <w:rsid w:val="001A050B"/>
    <w:rsid w:val="001A061F"/>
    <w:rsid w:val="001A0951"/>
    <w:rsid w:val="001A0A9D"/>
    <w:rsid w:val="001A0D75"/>
    <w:rsid w:val="001A114C"/>
    <w:rsid w:val="001A31F0"/>
    <w:rsid w:val="001A35AD"/>
    <w:rsid w:val="001A3C83"/>
    <w:rsid w:val="001A3DAB"/>
    <w:rsid w:val="001A493D"/>
    <w:rsid w:val="001A4BC2"/>
    <w:rsid w:val="001A5ADF"/>
    <w:rsid w:val="001A6401"/>
    <w:rsid w:val="001A726D"/>
    <w:rsid w:val="001A78CE"/>
    <w:rsid w:val="001B07A7"/>
    <w:rsid w:val="001B1D09"/>
    <w:rsid w:val="001B216E"/>
    <w:rsid w:val="001B223E"/>
    <w:rsid w:val="001B23CD"/>
    <w:rsid w:val="001B2507"/>
    <w:rsid w:val="001B2C22"/>
    <w:rsid w:val="001B2DB3"/>
    <w:rsid w:val="001B4578"/>
    <w:rsid w:val="001B4B6E"/>
    <w:rsid w:val="001B4D75"/>
    <w:rsid w:val="001B5A86"/>
    <w:rsid w:val="001B6190"/>
    <w:rsid w:val="001B654A"/>
    <w:rsid w:val="001C0666"/>
    <w:rsid w:val="001C1315"/>
    <w:rsid w:val="001C2691"/>
    <w:rsid w:val="001C2E75"/>
    <w:rsid w:val="001C3DDC"/>
    <w:rsid w:val="001C3F64"/>
    <w:rsid w:val="001C40B2"/>
    <w:rsid w:val="001C42CF"/>
    <w:rsid w:val="001C44CF"/>
    <w:rsid w:val="001C4A47"/>
    <w:rsid w:val="001C504A"/>
    <w:rsid w:val="001C57C2"/>
    <w:rsid w:val="001C5D79"/>
    <w:rsid w:val="001C64D6"/>
    <w:rsid w:val="001C684A"/>
    <w:rsid w:val="001C753E"/>
    <w:rsid w:val="001C7928"/>
    <w:rsid w:val="001D0040"/>
    <w:rsid w:val="001D03BE"/>
    <w:rsid w:val="001D04B7"/>
    <w:rsid w:val="001D05F1"/>
    <w:rsid w:val="001D0BC9"/>
    <w:rsid w:val="001D0E77"/>
    <w:rsid w:val="001D1B33"/>
    <w:rsid w:val="001D2B00"/>
    <w:rsid w:val="001D30CA"/>
    <w:rsid w:val="001D352E"/>
    <w:rsid w:val="001D3860"/>
    <w:rsid w:val="001D4171"/>
    <w:rsid w:val="001D47C1"/>
    <w:rsid w:val="001D519E"/>
    <w:rsid w:val="001D7448"/>
    <w:rsid w:val="001D748E"/>
    <w:rsid w:val="001D7C2B"/>
    <w:rsid w:val="001E0BDC"/>
    <w:rsid w:val="001E1163"/>
    <w:rsid w:val="001E12DD"/>
    <w:rsid w:val="001E1B95"/>
    <w:rsid w:val="001E1C2F"/>
    <w:rsid w:val="001E2AB7"/>
    <w:rsid w:val="001E2C95"/>
    <w:rsid w:val="001E30FA"/>
    <w:rsid w:val="001E345F"/>
    <w:rsid w:val="001E4842"/>
    <w:rsid w:val="001E5569"/>
    <w:rsid w:val="001E5D56"/>
    <w:rsid w:val="001E62A0"/>
    <w:rsid w:val="001E6B2E"/>
    <w:rsid w:val="001F0500"/>
    <w:rsid w:val="001F0635"/>
    <w:rsid w:val="001F0AA3"/>
    <w:rsid w:val="001F1CF5"/>
    <w:rsid w:val="001F3731"/>
    <w:rsid w:val="001F3D14"/>
    <w:rsid w:val="001F40F1"/>
    <w:rsid w:val="001F4CA2"/>
    <w:rsid w:val="001F5932"/>
    <w:rsid w:val="001F637D"/>
    <w:rsid w:val="001F6762"/>
    <w:rsid w:val="001F7140"/>
    <w:rsid w:val="001F7611"/>
    <w:rsid w:val="001F7AFB"/>
    <w:rsid w:val="001F7E5A"/>
    <w:rsid w:val="00200281"/>
    <w:rsid w:val="0020136A"/>
    <w:rsid w:val="0020138E"/>
    <w:rsid w:val="002016EB"/>
    <w:rsid w:val="00201A99"/>
    <w:rsid w:val="00201F42"/>
    <w:rsid w:val="00202170"/>
    <w:rsid w:val="00202AE5"/>
    <w:rsid w:val="002031E5"/>
    <w:rsid w:val="00204BCE"/>
    <w:rsid w:val="002052B1"/>
    <w:rsid w:val="002059E8"/>
    <w:rsid w:val="00206794"/>
    <w:rsid w:val="00206C8B"/>
    <w:rsid w:val="002102A1"/>
    <w:rsid w:val="0021121A"/>
    <w:rsid w:val="0021229B"/>
    <w:rsid w:val="00212CAA"/>
    <w:rsid w:val="0021386E"/>
    <w:rsid w:val="00214610"/>
    <w:rsid w:val="00214684"/>
    <w:rsid w:val="00214A5E"/>
    <w:rsid w:val="0021580A"/>
    <w:rsid w:val="00215D83"/>
    <w:rsid w:val="002164F3"/>
    <w:rsid w:val="00216F73"/>
    <w:rsid w:val="00217561"/>
    <w:rsid w:val="00217A87"/>
    <w:rsid w:val="00217A8D"/>
    <w:rsid w:val="0022144F"/>
    <w:rsid w:val="00221F26"/>
    <w:rsid w:val="00222701"/>
    <w:rsid w:val="0022336E"/>
    <w:rsid w:val="0022341C"/>
    <w:rsid w:val="00223BA5"/>
    <w:rsid w:val="00224A62"/>
    <w:rsid w:val="00224B6B"/>
    <w:rsid w:val="002254A7"/>
    <w:rsid w:val="002254BE"/>
    <w:rsid w:val="002261F0"/>
    <w:rsid w:val="002278B7"/>
    <w:rsid w:val="002304EE"/>
    <w:rsid w:val="00231ABB"/>
    <w:rsid w:val="00231C65"/>
    <w:rsid w:val="00231D4B"/>
    <w:rsid w:val="00232145"/>
    <w:rsid w:val="002329DB"/>
    <w:rsid w:val="00233B07"/>
    <w:rsid w:val="00234307"/>
    <w:rsid w:val="00234C22"/>
    <w:rsid w:val="00234D9C"/>
    <w:rsid w:val="00235041"/>
    <w:rsid w:val="0023671C"/>
    <w:rsid w:val="00236DA7"/>
    <w:rsid w:val="00236ECB"/>
    <w:rsid w:val="00237150"/>
    <w:rsid w:val="00237BA1"/>
    <w:rsid w:val="002400E2"/>
    <w:rsid w:val="00240F82"/>
    <w:rsid w:val="00241EA2"/>
    <w:rsid w:val="00242ADB"/>
    <w:rsid w:val="002435C0"/>
    <w:rsid w:val="00243B58"/>
    <w:rsid w:val="00244066"/>
    <w:rsid w:val="002441DB"/>
    <w:rsid w:val="002450F8"/>
    <w:rsid w:val="00245549"/>
    <w:rsid w:val="00246DA4"/>
    <w:rsid w:val="002470D7"/>
    <w:rsid w:val="002476A3"/>
    <w:rsid w:val="00250488"/>
    <w:rsid w:val="00250586"/>
    <w:rsid w:val="002515A7"/>
    <w:rsid w:val="00252E2A"/>
    <w:rsid w:val="0025335E"/>
    <w:rsid w:val="00253FEE"/>
    <w:rsid w:val="002543D5"/>
    <w:rsid w:val="00254645"/>
    <w:rsid w:val="00254978"/>
    <w:rsid w:val="00254EFA"/>
    <w:rsid w:val="00255DAC"/>
    <w:rsid w:val="002575AC"/>
    <w:rsid w:val="0025798E"/>
    <w:rsid w:val="0026037D"/>
    <w:rsid w:val="002605DE"/>
    <w:rsid w:val="002605E8"/>
    <w:rsid w:val="002612B4"/>
    <w:rsid w:val="00262372"/>
    <w:rsid w:val="00263717"/>
    <w:rsid w:val="00263F7C"/>
    <w:rsid w:val="00266A4C"/>
    <w:rsid w:val="00266B2F"/>
    <w:rsid w:val="00266BF9"/>
    <w:rsid w:val="00266D64"/>
    <w:rsid w:val="0026728C"/>
    <w:rsid w:val="002674AB"/>
    <w:rsid w:val="00267BBB"/>
    <w:rsid w:val="00271B44"/>
    <w:rsid w:val="00271D17"/>
    <w:rsid w:val="002721B7"/>
    <w:rsid w:val="00272834"/>
    <w:rsid w:val="00272C57"/>
    <w:rsid w:val="00272F81"/>
    <w:rsid w:val="00274FCD"/>
    <w:rsid w:val="00275A01"/>
    <w:rsid w:val="00275B59"/>
    <w:rsid w:val="0027658A"/>
    <w:rsid w:val="00276C80"/>
    <w:rsid w:val="002771E7"/>
    <w:rsid w:val="00277A7B"/>
    <w:rsid w:val="002802AA"/>
    <w:rsid w:val="00280BFD"/>
    <w:rsid w:val="00280E01"/>
    <w:rsid w:val="00282B0A"/>
    <w:rsid w:val="00282BA1"/>
    <w:rsid w:val="00283DAB"/>
    <w:rsid w:val="00284209"/>
    <w:rsid w:val="002843D3"/>
    <w:rsid w:val="00285163"/>
    <w:rsid w:val="002858C0"/>
    <w:rsid w:val="002867C9"/>
    <w:rsid w:val="00287805"/>
    <w:rsid w:val="00290B8D"/>
    <w:rsid w:val="00292593"/>
    <w:rsid w:val="00293573"/>
    <w:rsid w:val="00294277"/>
    <w:rsid w:val="00297952"/>
    <w:rsid w:val="002979C1"/>
    <w:rsid w:val="002A0A92"/>
    <w:rsid w:val="002A1EB3"/>
    <w:rsid w:val="002A2B28"/>
    <w:rsid w:val="002A2F6C"/>
    <w:rsid w:val="002A6281"/>
    <w:rsid w:val="002A6D50"/>
    <w:rsid w:val="002A761B"/>
    <w:rsid w:val="002B0672"/>
    <w:rsid w:val="002B08B7"/>
    <w:rsid w:val="002B1B90"/>
    <w:rsid w:val="002B2404"/>
    <w:rsid w:val="002B2CD9"/>
    <w:rsid w:val="002B2D43"/>
    <w:rsid w:val="002B2E65"/>
    <w:rsid w:val="002B38A5"/>
    <w:rsid w:val="002B3B37"/>
    <w:rsid w:val="002B55C5"/>
    <w:rsid w:val="002B5D37"/>
    <w:rsid w:val="002B64F4"/>
    <w:rsid w:val="002B7136"/>
    <w:rsid w:val="002C2898"/>
    <w:rsid w:val="002C301E"/>
    <w:rsid w:val="002C468B"/>
    <w:rsid w:val="002C4A72"/>
    <w:rsid w:val="002C53B8"/>
    <w:rsid w:val="002D13A5"/>
    <w:rsid w:val="002D1A07"/>
    <w:rsid w:val="002D1D96"/>
    <w:rsid w:val="002D2347"/>
    <w:rsid w:val="002D2BEF"/>
    <w:rsid w:val="002D3D2E"/>
    <w:rsid w:val="002D3F2E"/>
    <w:rsid w:val="002D41A0"/>
    <w:rsid w:val="002D458A"/>
    <w:rsid w:val="002D45A9"/>
    <w:rsid w:val="002D7327"/>
    <w:rsid w:val="002D7B0C"/>
    <w:rsid w:val="002E09DA"/>
    <w:rsid w:val="002E2147"/>
    <w:rsid w:val="002E269F"/>
    <w:rsid w:val="002E3D7E"/>
    <w:rsid w:val="002E3D8E"/>
    <w:rsid w:val="002E3DAA"/>
    <w:rsid w:val="002E3E76"/>
    <w:rsid w:val="002E433B"/>
    <w:rsid w:val="002E43AB"/>
    <w:rsid w:val="002E6A21"/>
    <w:rsid w:val="002E719A"/>
    <w:rsid w:val="002E78FA"/>
    <w:rsid w:val="002F0987"/>
    <w:rsid w:val="002F0FFC"/>
    <w:rsid w:val="002F154C"/>
    <w:rsid w:val="002F1CB2"/>
    <w:rsid w:val="002F43F1"/>
    <w:rsid w:val="002F47DE"/>
    <w:rsid w:val="002F499F"/>
    <w:rsid w:val="002F5345"/>
    <w:rsid w:val="002F5442"/>
    <w:rsid w:val="002F78D4"/>
    <w:rsid w:val="002F7CFA"/>
    <w:rsid w:val="00300E81"/>
    <w:rsid w:val="0030117C"/>
    <w:rsid w:val="003023D3"/>
    <w:rsid w:val="00303142"/>
    <w:rsid w:val="00303486"/>
    <w:rsid w:val="0030373F"/>
    <w:rsid w:val="00303E2B"/>
    <w:rsid w:val="00304B16"/>
    <w:rsid w:val="0030619B"/>
    <w:rsid w:val="0030689D"/>
    <w:rsid w:val="00307715"/>
    <w:rsid w:val="00307E2D"/>
    <w:rsid w:val="00310157"/>
    <w:rsid w:val="003103D2"/>
    <w:rsid w:val="003112C2"/>
    <w:rsid w:val="00311681"/>
    <w:rsid w:val="00311815"/>
    <w:rsid w:val="0031208E"/>
    <w:rsid w:val="003124B0"/>
    <w:rsid w:val="003128BA"/>
    <w:rsid w:val="0031356A"/>
    <w:rsid w:val="00313DFE"/>
    <w:rsid w:val="003140CA"/>
    <w:rsid w:val="00314A34"/>
    <w:rsid w:val="0031503A"/>
    <w:rsid w:val="00315539"/>
    <w:rsid w:val="00315E74"/>
    <w:rsid w:val="00321366"/>
    <w:rsid w:val="00321402"/>
    <w:rsid w:val="00322C77"/>
    <w:rsid w:val="003236FF"/>
    <w:rsid w:val="00323B20"/>
    <w:rsid w:val="00323D4F"/>
    <w:rsid w:val="00324C83"/>
    <w:rsid w:val="00326C7F"/>
    <w:rsid w:val="00327F50"/>
    <w:rsid w:val="00330920"/>
    <w:rsid w:val="00331046"/>
    <w:rsid w:val="00331126"/>
    <w:rsid w:val="00331CA8"/>
    <w:rsid w:val="003328AC"/>
    <w:rsid w:val="00332CBE"/>
    <w:rsid w:val="00332DA4"/>
    <w:rsid w:val="00332ED3"/>
    <w:rsid w:val="00333299"/>
    <w:rsid w:val="00334487"/>
    <w:rsid w:val="003345D5"/>
    <w:rsid w:val="003351CB"/>
    <w:rsid w:val="003351EF"/>
    <w:rsid w:val="003356CC"/>
    <w:rsid w:val="003359A4"/>
    <w:rsid w:val="00335CE2"/>
    <w:rsid w:val="0033646C"/>
    <w:rsid w:val="0033748A"/>
    <w:rsid w:val="003377DD"/>
    <w:rsid w:val="0034083B"/>
    <w:rsid w:val="0034129A"/>
    <w:rsid w:val="00342645"/>
    <w:rsid w:val="00342676"/>
    <w:rsid w:val="003431A5"/>
    <w:rsid w:val="00343342"/>
    <w:rsid w:val="0034337E"/>
    <w:rsid w:val="00343445"/>
    <w:rsid w:val="00343657"/>
    <w:rsid w:val="00344048"/>
    <w:rsid w:val="003440B1"/>
    <w:rsid w:val="00344942"/>
    <w:rsid w:val="00346160"/>
    <w:rsid w:val="00347941"/>
    <w:rsid w:val="00347D63"/>
    <w:rsid w:val="00350405"/>
    <w:rsid w:val="00350C04"/>
    <w:rsid w:val="00350ECE"/>
    <w:rsid w:val="00351635"/>
    <w:rsid w:val="003517F6"/>
    <w:rsid w:val="00351E1B"/>
    <w:rsid w:val="0035246A"/>
    <w:rsid w:val="0035293A"/>
    <w:rsid w:val="00354439"/>
    <w:rsid w:val="00356084"/>
    <w:rsid w:val="00356764"/>
    <w:rsid w:val="00356B57"/>
    <w:rsid w:val="00356DDB"/>
    <w:rsid w:val="0035710E"/>
    <w:rsid w:val="003579FB"/>
    <w:rsid w:val="0036039F"/>
    <w:rsid w:val="00360C0F"/>
    <w:rsid w:val="00361014"/>
    <w:rsid w:val="003614E2"/>
    <w:rsid w:val="00361862"/>
    <w:rsid w:val="00361C6E"/>
    <w:rsid w:val="003634F9"/>
    <w:rsid w:val="003643A3"/>
    <w:rsid w:val="003643E0"/>
    <w:rsid w:val="003650A3"/>
    <w:rsid w:val="0036551B"/>
    <w:rsid w:val="003661DF"/>
    <w:rsid w:val="003675D4"/>
    <w:rsid w:val="003679CD"/>
    <w:rsid w:val="00370986"/>
    <w:rsid w:val="00370D59"/>
    <w:rsid w:val="00372079"/>
    <w:rsid w:val="00372AD0"/>
    <w:rsid w:val="00373496"/>
    <w:rsid w:val="00375B6E"/>
    <w:rsid w:val="003761FD"/>
    <w:rsid w:val="003772A6"/>
    <w:rsid w:val="0037764A"/>
    <w:rsid w:val="0037774A"/>
    <w:rsid w:val="0038086E"/>
    <w:rsid w:val="00380E74"/>
    <w:rsid w:val="00382750"/>
    <w:rsid w:val="00382CE2"/>
    <w:rsid w:val="00383364"/>
    <w:rsid w:val="003834E7"/>
    <w:rsid w:val="003837C4"/>
    <w:rsid w:val="00383A48"/>
    <w:rsid w:val="003840C5"/>
    <w:rsid w:val="00384106"/>
    <w:rsid w:val="00384308"/>
    <w:rsid w:val="003857BA"/>
    <w:rsid w:val="00385907"/>
    <w:rsid w:val="00385E1A"/>
    <w:rsid w:val="00387190"/>
    <w:rsid w:val="00390611"/>
    <w:rsid w:val="0039113F"/>
    <w:rsid w:val="00391C5C"/>
    <w:rsid w:val="00391EFC"/>
    <w:rsid w:val="00392192"/>
    <w:rsid w:val="00392D02"/>
    <w:rsid w:val="0039362F"/>
    <w:rsid w:val="00395766"/>
    <w:rsid w:val="00395B5A"/>
    <w:rsid w:val="003966A8"/>
    <w:rsid w:val="00396A34"/>
    <w:rsid w:val="003975F5"/>
    <w:rsid w:val="00397755"/>
    <w:rsid w:val="003A00BD"/>
    <w:rsid w:val="003A0D82"/>
    <w:rsid w:val="003A10B0"/>
    <w:rsid w:val="003A1756"/>
    <w:rsid w:val="003A1F1E"/>
    <w:rsid w:val="003A2225"/>
    <w:rsid w:val="003A26C2"/>
    <w:rsid w:val="003A3F91"/>
    <w:rsid w:val="003A495A"/>
    <w:rsid w:val="003A77F3"/>
    <w:rsid w:val="003A7C5B"/>
    <w:rsid w:val="003A7C5C"/>
    <w:rsid w:val="003B0C05"/>
    <w:rsid w:val="003B0DFE"/>
    <w:rsid w:val="003B0F49"/>
    <w:rsid w:val="003B17D0"/>
    <w:rsid w:val="003B253F"/>
    <w:rsid w:val="003B2A23"/>
    <w:rsid w:val="003B3194"/>
    <w:rsid w:val="003B33E4"/>
    <w:rsid w:val="003B3725"/>
    <w:rsid w:val="003B380E"/>
    <w:rsid w:val="003B453B"/>
    <w:rsid w:val="003B63B4"/>
    <w:rsid w:val="003B6970"/>
    <w:rsid w:val="003B70B4"/>
    <w:rsid w:val="003B7FF8"/>
    <w:rsid w:val="003C0BAA"/>
    <w:rsid w:val="003C0BAE"/>
    <w:rsid w:val="003C1370"/>
    <w:rsid w:val="003C1A03"/>
    <w:rsid w:val="003C1C5B"/>
    <w:rsid w:val="003C3BF1"/>
    <w:rsid w:val="003C4566"/>
    <w:rsid w:val="003C5126"/>
    <w:rsid w:val="003C6359"/>
    <w:rsid w:val="003C65D0"/>
    <w:rsid w:val="003D0218"/>
    <w:rsid w:val="003D0A09"/>
    <w:rsid w:val="003D0F99"/>
    <w:rsid w:val="003D0FC2"/>
    <w:rsid w:val="003D1291"/>
    <w:rsid w:val="003D1F3A"/>
    <w:rsid w:val="003D2A94"/>
    <w:rsid w:val="003D2EA0"/>
    <w:rsid w:val="003D37AC"/>
    <w:rsid w:val="003D3EF4"/>
    <w:rsid w:val="003D462B"/>
    <w:rsid w:val="003D4EAC"/>
    <w:rsid w:val="003D519C"/>
    <w:rsid w:val="003D5709"/>
    <w:rsid w:val="003D6FD7"/>
    <w:rsid w:val="003D6FE7"/>
    <w:rsid w:val="003D7744"/>
    <w:rsid w:val="003D7857"/>
    <w:rsid w:val="003E017D"/>
    <w:rsid w:val="003E1E73"/>
    <w:rsid w:val="003E2287"/>
    <w:rsid w:val="003E29D3"/>
    <w:rsid w:val="003E3EBC"/>
    <w:rsid w:val="003E48F4"/>
    <w:rsid w:val="003E6FBD"/>
    <w:rsid w:val="003F0B94"/>
    <w:rsid w:val="003F0FC9"/>
    <w:rsid w:val="003F106A"/>
    <w:rsid w:val="003F172C"/>
    <w:rsid w:val="003F2324"/>
    <w:rsid w:val="003F2DF8"/>
    <w:rsid w:val="003F396A"/>
    <w:rsid w:val="003F4932"/>
    <w:rsid w:val="003F545B"/>
    <w:rsid w:val="003F5527"/>
    <w:rsid w:val="003F55B5"/>
    <w:rsid w:val="003F5FF8"/>
    <w:rsid w:val="003F64D0"/>
    <w:rsid w:val="003F6AFA"/>
    <w:rsid w:val="003F6F69"/>
    <w:rsid w:val="003F77C2"/>
    <w:rsid w:val="003F7B45"/>
    <w:rsid w:val="003F7ECE"/>
    <w:rsid w:val="0040132B"/>
    <w:rsid w:val="00401A6D"/>
    <w:rsid w:val="00401B29"/>
    <w:rsid w:val="00402BEE"/>
    <w:rsid w:val="00403B5C"/>
    <w:rsid w:val="00403EC7"/>
    <w:rsid w:val="0040405A"/>
    <w:rsid w:val="00404771"/>
    <w:rsid w:val="00404D73"/>
    <w:rsid w:val="00404FA9"/>
    <w:rsid w:val="00405030"/>
    <w:rsid w:val="00405577"/>
    <w:rsid w:val="00406536"/>
    <w:rsid w:val="00406FA1"/>
    <w:rsid w:val="00410517"/>
    <w:rsid w:val="00411037"/>
    <w:rsid w:val="00411421"/>
    <w:rsid w:val="00411574"/>
    <w:rsid w:val="00411B28"/>
    <w:rsid w:val="0041226F"/>
    <w:rsid w:val="004124C6"/>
    <w:rsid w:val="004130A2"/>
    <w:rsid w:val="00414122"/>
    <w:rsid w:val="004144CA"/>
    <w:rsid w:val="00414736"/>
    <w:rsid w:val="004165F1"/>
    <w:rsid w:val="0042031D"/>
    <w:rsid w:val="004209D8"/>
    <w:rsid w:val="00421073"/>
    <w:rsid w:val="0042142B"/>
    <w:rsid w:val="00421F72"/>
    <w:rsid w:val="0042228D"/>
    <w:rsid w:val="00423FDC"/>
    <w:rsid w:val="0042425C"/>
    <w:rsid w:val="004244D8"/>
    <w:rsid w:val="004249A2"/>
    <w:rsid w:val="0042601A"/>
    <w:rsid w:val="004268B8"/>
    <w:rsid w:val="00427304"/>
    <w:rsid w:val="00427373"/>
    <w:rsid w:val="00427ABD"/>
    <w:rsid w:val="004301E1"/>
    <w:rsid w:val="00430E8A"/>
    <w:rsid w:val="004311C7"/>
    <w:rsid w:val="004316CE"/>
    <w:rsid w:val="00431D10"/>
    <w:rsid w:val="00431F67"/>
    <w:rsid w:val="004325EA"/>
    <w:rsid w:val="004327D6"/>
    <w:rsid w:val="0043301E"/>
    <w:rsid w:val="0043320C"/>
    <w:rsid w:val="00433445"/>
    <w:rsid w:val="00433713"/>
    <w:rsid w:val="00433944"/>
    <w:rsid w:val="00433CCD"/>
    <w:rsid w:val="004341E4"/>
    <w:rsid w:val="00434EBF"/>
    <w:rsid w:val="004354A2"/>
    <w:rsid w:val="00436893"/>
    <w:rsid w:val="00437605"/>
    <w:rsid w:val="00440297"/>
    <w:rsid w:val="00440F7A"/>
    <w:rsid w:val="0044136C"/>
    <w:rsid w:val="00441B51"/>
    <w:rsid w:val="00441E5C"/>
    <w:rsid w:val="00442205"/>
    <w:rsid w:val="00443923"/>
    <w:rsid w:val="00443E3A"/>
    <w:rsid w:val="00444003"/>
    <w:rsid w:val="004443C9"/>
    <w:rsid w:val="00444EF4"/>
    <w:rsid w:val="00445349"/>
    <w:rsid w:val="00446667"/>
    <w:rsid w:val="0044722B"/>
    <w:rsid w:val="00447799"/>
    <w:rsid w:val="00447ED5"/>
    <w:rsid w:val="004502A2"/>
    <w:rsid w:val="00450AB1"/>
    <w:rsid w:val="004510C9"/>
    <w:rsid w:val="004514D4"/>
    <w:rsid w:val="00451D3F"/>
    <w:rsid w:val="00452A50"/>
    <w:rsid w:val="00454445"/>
    <w:rsid w:val="00454862"/>
    <w:rsid w:val="00454FB3"/>
    <w:rsid w:val="0045574E"/>
    <w:rsid w:val="0045682C"/>
    <w:rsid w:val="00457E0A"/>
    <w:rsid w:val="0046023F"/>
    <w:rsid w:val="00460FB0"/>
    <w:rsid w:val="0046190F"/>
    <w:rsid w:val="004639B8"/>
    <w:rsid w:val="0046427F"/>
    <w:rsid w:val="00464570"/>
    <w:rsid w:val="004655DF"/>
    <w:rsid w:val="004658D9"/>
    <w:rsid w:val="00465C54"/>
    <w:rsid w:val="00466EA3"/>
    <w:rsid w:val="00467361"/>
    <w:rsid w:val="0046787A"/>
    <w:rsid w:val="00467A27"/>
    <w:rsid w:val="00467A6A"/>
    <w:rsid w:val="00467D5A"/>
    <w:rsid w:val="004702A2"/>
    <w:rsid w:val="0047089D"/>
    <w:rsid w:val="0047293E"/>
    <w:rsid w:val="00472B1B"/>
    <w:rsid w:val="004734DE"/>
    <w:rsid w:val="00473863"/>
    <w:rsid w:val="00473933"/>
    <w:rsid w:val="00473AB8"/>
    <w:rsid w:val="004750C9"/>
    <w:rsid w:val="00475B17"/>
    <w:rsid w:val="00475FFB"/>
    <w:rsid w:val="00476E06"/>
    <w:rsid w:val="00477A1D"/>
    <w:rsid w:val="004811BE"/>
    <w:rsid w:val="00481214"/>
    <w:rsid w:val="00481597"/>
    <w:rsid w:val="00481991"/>
    <w:rsid w:val="00481CF6"/>
    <w:rsid w:val="00483215"/>
    <w:rsid w:val="00483CF0"/>
    <w:rsid w:val="0048530B"/>
    <w:rsid w:val="00485664"/>
    <w:rsid w:val="00485681"/>
    <w:rsid w:val="0048615F"/>
    <w:rsid w:val="0048688C"/>
    <w:rsid w:val="00491DE7"/>
    <w:rsid w:val="00492319"/>
    <w:rsid w:val="00492FBC"/>
    <w:rsid w:val="00494549"/>
    <w:rsid w:val="00494D72"/>
    <w:rsid w:val="0049685F"/>
    <w:rsid w:val="00497110"/>
    <w:rsid w:val="00497769"/>
    <w:rsid w:val="004A0426"/>
    <w:rsid w:val="004A0F92"/>
    <w:rsid w:val="004A36CE"/>
    <w:rsid w:val="004A4761"/>
    <w:rsid w:val="004A4D2A"/>
    <w:rsid w:val="004A50B5"/>
    <w:rsid w:val="004A576A"/>
    <w:rsid w:val="004A58B3"/>
    <w:rsid w:val="004A5BF6"/>
    <w:rsid w:val="004A6BBB"/>
    <w:rsid w:val="004A6F93"/>
    <w:rsid w:val="004A7428"/>
    <w:rsid w:val="004A753E"/>
    <w:rsid w:val="004A75FD"/>
    <w:rsid w:val="004A7C5A"/>
    <w:rsid w:val="004B01EE"/>
    <w:rsid w:val="004B04A3"/>
    <w:rsid w:val="004B0518"/>
    <w:rsid w:val="004B1617"/>
    <w:rsid w:val="004B1BAB"/>
    <w:rsid w:val="004B285B"/>
    <w:rsid w:val="004B2A35"/>
    <w:rsid w:val="004B378B"/>
    <w:rsid w:val="004B4829"/>
    <w:rsid w:val="004B4E12"/>
    <w:rsid w:val="004B57F9"/>
    <w:rsid w:val="004B70EA"/>
    <w:rsid w:val="004B75B6"/>
    <w:rsid w:val="004C04D8"/>
    <w:rsid w:val="004C0BF1"/>
    <w:rsid w:val="004C1355"/>
    <w:rsid w:val="004C16C8"/>
    <w:rsid w:val="004C1CBB"/>
    <w:rsid w:val="004C3C48"/>
    <w:rsid w:val="004C3F3E"/>
    <w:rsid w:val="004C41AE"/>
    <w:rsid w:val="004C430E"/>
    <w:rsid w:val="004C59B6"/>
    <w:rsid w:val="004C6034"/>
    <w:rsid w:val="004C609C"/>
    <w:rsid w:val="004C7904"/>
    <w:rsid w:val="004D0592"/>
    <w:rsid w:val="004D0C85"/>
    <w:rsid w:val="004D0F51"/>
    <w:rsid w:val="004D1EE7"/>
    <w:rsid w:val="004D202D"/>
    <w:rsid w:val="004D269A"/>
    <w:rsid w:val="004D2FED"/>
    <w:rsid w:val="004D418C"/>
    <w:rsid w:val="004D43FF"/>
    <w:rsid w:val="004D48C3"/>
    <w:rsid w:val="004D6290"/>
    <w:rsid w:val="004D6B9A"/>
    <w:rsid w:val="004D7176"/>
    <w:rsid w:val="004E010D"/>
    <w:rsid w:val="004E0635"/>
    <w:rsid w:val="004E1E82"/>
    <w:rsid w:val="004E4A17"/>
    <w:rsid w:val="004E6B92"/>
    <w:rsid w:val="004E6E03"/>
    <w:rsid w:val="004E72F0"/>
    <w:rsid w:val="004F09CA"/>
    <w:rsid w:val="004F0C23"/>
    <w:rsid w:val="004F0D76"/>
    <w:rsid w:val="004F0DC9"/>
    <w:rsid w:val="004F1127"/>
    <w:rsid w:val="004F15DF"/>
    <w:rsid w:val="004F184C"/>
    <w:rsid w:val="004F224E"/>
    <w:rsid w:val="004F26E1"/>
    <w:rsid w:val="004F3E44"/>
    <w:rsid w:val="004F486E"/>
    <w:rsid w:val="004F4AA2"/>
    <w:rsid w:val="004F58C7"/>
    <w:rsid w:val="004F5F51"/>
    <w:rsid w:val="004F5F90"/>
    <w:rsid w:val="004F6DEA"/>
    <w:rsid w:val="00501917"/>
    <w:rsid w:val="00502772"/>
    <w:rsid w:val="00502C32"/>
    <w:rsid w:val="00502CDD"/>
    <w:rsid w:val="00502DAA"/>
    <w:rsid w:val="005032B2"/>
    <w:rsid w:val="005046F4"/>
    <w:rsid w:val="00505536"/>
    <w:rsid w:val="00506335"/>
    <w:rsid w:val="00506650"/>
    <w:rsid w:val="00506D72"/>
    <w:rsid w:val="00507533"/>
    <w:rsid w:val="0050761F"/>
    <w:rsid w:val="00507B18"/>
    <w:rsid w:val="00507C7A"/>
    <w:rsid w:val="005107B5"/>
    <w:rsid w:val="005108A8"/>
    <w:rsid w:val="00511297"/>
    <w:rsid w:val="00511F4A"/>
    <w:rsid w:val="00512031"/>
    <w:rsid w:val="00512357"/>
    <w:rsid w:val="005126E4"/>
    <w:rsid w:val="00512822"/>
    <w:rsid w:val="00512B5F"/>
    <w:rsid w:val="00512E13"/>
    <w:rsid w:val="0051358C"/>
    <w:rsid w:val="005138C8"/>
    <w:rsid w:val="00513C78"/>
    <w:rsid w:val="00514272"/>
    <w:rsid w:val="005143E5"/>
    <w:rsid w:val="0051479E"/>
    <w:rsid w:val="00515C1A"/>
    <w:rsid w:val="00515EB0"/>
    <w:rsid w:val="00516161"/>
    <w:rsid w:val="00516CF7"/>
    <w:rsid w:val="005171FD"/>
    <w:rsid w:val="005177AF"/>
    <w:rsid w:val="005200E2"/>
    <w:rsid w:val="00520B5A"/>
    <w:rsid w:val="00520E08"/>
    <w:rsid w:val="0052290A"/>
    <w:rsid w:val="00522A36"/>
    <w:rsid w:val="005230E6"/>
    <w:rsid w:val="0052327C"/>
    <w:rsid w:val="0052518D"/>
    <w:rsid w:val="005263F9"/>
    <w:rsid w:val="00527E91"/>
    <w:rsid w:val="00530249"/>
    <w:rsid w:val="00530A70"/>
    <w:rsid w:val="0053113F"/>
    <w:rsid w:val="00531664"/>
    <w:rsid w:val="0053183B"/>
    <w:rsid w:val="005329FC"/>
    <w:rsid w:val="00532E1C"/>
    <w:rsid w:val="005331E5"/>
    <w:rsid w:val="0053448F"/>
    <w:rsid w:val="00534D41"/>
    <w:rsid w:val="0053572A"/>
    <w:rsid w:val="00537BDD"/>
    <w:rsid w:val="00540924"/>
    <w:rsid w:val="00540E0B"/>
    <w:rsid w:val="00540E63"/>
    <w:rsid w:val="00540F1B"/>
    <w:rsid w:val="00541A10"/>
    <w:rsid w:val="005422F6"/>
    <w:rsid w:val="0054268A"/>
    <w:rsid w:val="005438AE"/>
    <w:rsid w:val="00543D40"/>
    <w:rsid w:val="00543E2F"/>
    <w:rsid w:val="00544359"/>
    <w:rsid w:val="00544892"/>
    <w:rsid w:val="005459BF"/>
    <w:rsid w:val="00545EF6"/>
    <w:rsid w:val="00546EA6"/>
    <w:rsid w:val="00546F37"/>
    <w:rsid w:val="00546FBC"/>
    <w:rsid w:val="00550D42"/>
    <w:rsid w:val="00550D44"/>
    <w:rsid w:val="00550E4E"/>
    <w:rsid w:val="00551489"/>
    <w:rsid w:val="00551937"/>
    <w:rsid w:val="0055204E"/>
    <w:rsid w:val="005527EE"/>
    <w:rsid w:val="0055370D"/>
    <w:rsid w:val="00553C54"/>
    <w:rsid w:val="00554020"/>
    <w:rsid w:val="0055608A"/>
    <w:rsid w:val="00556230"/>
    <w:rsid w:val="00557A93"/>
    <w:rsid w:val="00557D80"/>
    <w:rsid w:val="00557DE3"/>
    <w:rsid w:val="0056152B"/>
    <w:rsid w:val="005616CE"/>
    <w:rsid w:val="00561A4B"/>
    <w:rsid w:val="005620B7"/>
    <w:rsid w:val="005623CA"/>
    <w:rsid w:val="00562CEA"/>
    <w:rsid w:val="005647A0"/>
    <w:rsid w:val="00565962"/>
    <w:rsid w:val="00565DC4"/>
    <w:rsid w:val="00566479"/>
    <w:rsid w:val="0056666B"/>
    <w:rsid w:val="005666B2"/>
    <w:rsid w:val="0056675E"/>
    <w:rsid w:val="00567F33"/>
    <w:rsid w:val="005700BE"/>
    <w:rsid w:val="0057022A"/>
    <w:rsid w:val="0057118D"/>
    <w:rsid w:val="00571B92"/>
    <w:rsid w:val="00571DB0"/>
    <w:rsid w:val="005720CE"/>
    <w:rsid w:val="00573107"/>
    <w:rsid w:val="00573E85"/>
    <w:rsid w:val="005741B6"/>
    <w:rsid w:val="00574300"/>
    <w:rsid w:val="005745A0"/>
    <w:rsid w:val="00575140"/>
    <w:rsid w:val="00575CE8"/>
    <w:rsid w:val="00575F07"/>
    <w:rsid w:val="00576593"/>
    <w:rsid w:val="005779B7"/>
    <w:rsid w:val="00580F16"/>
    <w:rsid w:val="00581DC1"/>
    <w:rsid w:val="00581F66"/>
    <w:rsid w:val="005827EB"/>
    <w:rsid w:val="00582FAC"/>
    <w:rsid w:val="005843DB"/>
    <w:rsid w:val="00585E4E"/>
    <w:rsid w:val="00586706"/>
    <w:rsid w:val="00586F36"/>
    <w:rsid w:val="00587302"/>
    <w:rsid w:val="00587AA2"/>
    <w:rsid w:val="00587B7A"/>
    <w:rsid w:val="005909EE"/>
    <w:rsid w:val="00590E05"/>
    <w:rsid w:val="00591C29"/>
    <w:rsid w:val="00591CCE"/>
    <w:rsid w:val="00591D27"/>
    <w:rsid w:val="00592D62"/>
    <w:rsid w:val="005932BC"/>
    <w:rsid w:val="00593B98"/>
    <w:rsid w:val="005942E9"/>
    <w:rsid w:val="0059433D"/>
    <w:rsid w:val="0059436F"/>
    <w:rsid w:val="005948B3"/>
    <w:rsid w:val="00594D0A"/>
    <w:rsid w:val="00595D6F"/>
    <w:rsid w:val="00596381"/>
    <w:rsid w:val="00596F77"/>
    <w:rsid w:val="00597A3E"/>
    <w:rsid w:val="005A0161"/>
    <w:rsid w:val="005A0268"/>
    <w:rsid w:val="005A048F"/>
    <w:rsid w:val="005A09B9"/>
    <w:rsid w:val="005A1574"/>
    <w:rsid w:val="005A25AA"/>
    <w:rsid w:val="005A377C"/>
    <w:rsid w:val="005A3CEE"/>
    <w:rsid w:val="005A453B"/>
    <w:rsid w:val="005A4AC2"/>
    <w:rsid w:val="005A5184"/>
    <w:rsid w:val="005A5CAA"/>
    <w:rsid w:val="005A6D91"/>
    <w:rsid w:val="005B2072"/>
    <w:rsid w:val="005B2316"/>
    <w:rsid w:val="005B27FC"/>
    <w:rsid w:val="005B29AC"/>
    <w:rsid w:val="005B2E51"/>
    <w:rsid w:val="005B326A"/>
    <w:rsid w:val="005B3D3B"/>
    <w:rsid w:val="005B447D"/>
    <w:rsid w:val="005B4F90"/>
    <w:rsid w:val="005B4F96"/>
    <w:rsid w:val="005B5278"/>
    <w:rsid w:val="005B5C97"/>
    <w:rsid w:val="005B7055"/>
    <w:rsid w:val="005B7D62"/>
    <w:rsid w:val="005C0C77"/>
    <w:rsid w:val="005C102C"/>
    <w:rsid w:val="005C20EC"/>
    <w:rsid w:val="005C21EA"/>
    <w:rsid w:val="005C2769"/>
    <w:rsid w:val="005C2C7B"/>
    <w:rsid w:val="005C2C85"/>
    <w:rsid w:val="005C3900"/>
    <w:rsid w:val="005C41E7"/>
    <w:rsid w:val="005C435D"/>
    <w:rsid w:val="005C4914"/>
    <w:rsid w:val="005C4ADD"/>
    <w:rsid w:val="005C4CAF"/>
    <w:rsid w:val="005C62D2"/>
    <w:rsid w:val="005C7AC4"/>
    <w:rsid w:val="005D0752"/>
    <w:rsid w:val="005D17B9"/>
    <w:rsid w:val="005D2978"/>
    <w:rsid w:val="005D2AD0"/>
    <w:rsid w:val="005D2C32"/>
    <w:rsid w:val="005D2D0E"/>
    <w:rsid w:val="005D3D08"/>
    <w:rsid w:val="005D4904"/>
    <w:rsid w:val="005D50A3"/>
    <w:rsid w:val="005D5414"/>
    <w:rsid w:val="005D5E73"/>
    <w:rsid w:val="005D697B"/>
    <w:rsid w:val="005D69F7"/>
    <w:rsid w:val="005D6B49"/>
    <w:rsid w:val="005D6B5B"/>
    <w:rsid w:val="005D6C47"/>
    <w:rsid w:val="005E0065"/>
    <w:rsid w:val="005E040D"/>
    <w:rsid w:val="005E08E6"/>
    <w:rsid w:val="005E11B3"/>
    <w:rsid w:val="005E12B9"/>
    <w:rsid w:val="005E160C"/>
    <w:rsid w:val="005E27B2"/>
    <w:rsid w:val="005E65C8"/>
    <w:rsid w:val="005E6627"/>
    <w:rsid w:val="005E71F2"/>
    <w:rsid w:val="005E7384"/>
    <w:rsid w:val="005E742F"/>
    <w:rsid w:val="005F16E5"/>
    <w:rsid w:val="005F1DF5"/>
    <w:rsid w:val="005F25A5"/>
    <w:rsid w:val="005F3266"/>
    <w:rsid w:val="005F3518"/>
    <w:rsid w:val="005F3613"/>
    <w:rsid w:val="005F4513"/>
    <w:rsid w:val="005F4540"/>
    <w:rsid w:val="005F4BD8"/>
    <w:rsid w:val="005F4C91"/>
    <w:rsid w:val="005F5200"/>
    <w:rsid w:val="005F5ABE"/>
    <w:rsid w:val="005F5CEE"/>
    <w:rsid w:val="005F5FFB"/>
    <w:rsid w:val="005F6A4E"/>
    <w:rsid w:val="005F748A"/>
    <w:rsid w:val="00600809"/>
    <w:rsid w:val="00600A8F"/>
    <w:rsid w:val="006015DE"/>
    <w:rsid w:val="006019DA"/>
    <w:rsid w:val="00602762"/>
    <w:rsid w:val="00602E95"/>
    <w:rsid w:val="00604A43"/>
    <w:rsid w:val="006060A1"/>
    <w:rsid w:val="006067CA"/>
    <w:rsid w:val="006069FC"/>
    <w:rsid w:val="00610472"/>
    <w:rsid w:val="00610DB7"/>
    <w:rsid w:val="006116ED"/>
    <w:rsid w:val="00611704"/>
    <w:rsid w:val="00611F77"/>
    <w:rsid w:val="006127CA"/>
    <w:rsid w:val="00612CAE"/>
    <w:rsid w:val="00613D50"/>
    <w:rsid w:val="00613FBF"/>
    <w:rsid w:val="006144C5"/>
    <w:rsid w:val="00616742"/>
    <w:rsid w:val="006176CC"/>
    <w:rsid w:val="006206CB"/>
    <w:rsid w:val="0062070E"/>
    <w:rsid w:val="0062107A"/>
    <w:rsid w:val="00621B2A"/>
    <w:rsid w:val="00621B4F"/>
    <w:rsid w:val="00621D8B"/>
    <w:rsid w:val="00622066"/>
    <w:rsid w:val="006226C7"/>
    <w:rsid w:val="00623E79"/>
    <w:rsid w:val="0062612C"/>
    <w:rsid w:val="0062622E"/>
    <w:rsid w:val="0062666B"/>
    <w:rsid w:val="006269E5"/>
    <w:rsid w:val="006274EB"/>
    <w:rsid w:val="00627A15"/>
    <w:rsid w:val="00627BBF"/>
    <w:rsid w:val="006329F5"/>
    <w:rsid w:val="0063315C"/>
    <w:rsid w:val="006331C2"/>
    <w:rsid w:val="00633798"/>
    <w:rsid w:val="006342C7"/>
    <w:rsid w:val="00634306"/>
    <w:rsid w:val="006349D4"/>
    <w:rsid w:val="006355AF"/>
    <w:rsid w:val="00635799"/>
    <w:rsid w:val="0063768B"/>
    <w:rsid w:val="00637763"/>
    <w:rsid w:val="006379FB"/>
    <w:rsid w:val="00637A55"/>
    <w:rsid w:val="006400D1"/>
    <w:rsid w:val="0064034E"/>
    <w:rsid w:val="00640854"/>
    <w:rsid w:val="006412D8"/>
    <w:rsid w:val="006415D2"/>
    <w:rsid w:val="00641A86"/>
    <w:rsid w:val="006420F2"/>
    <w:rsid w:val="00642B44"/>
    <w:rsid w:val="0064442D"/>
    <w:rsid w:val="00644574"/>
    <w:rsid w:val="00644AFE"/>
    <w:rsid w:val="00645C9B"/>
    <w:rsid w:val="00645D0B"/>
    <w:rsid w:val="00646D29"/>
    <w:rsid w:val="00647530"/>
    <w:rsid w:val="00650D0E"/>
    <w:rsid w:val="0065106E"/>
    <w:rsid w:val="006511DF"/>
    <w:rsid w:val="00651BB2"/>
    <w:rsid w:val="00651BDC"/>
    <w:rsid w:val="00652B41"/>
    <w:rsid w:val="00652C2A"/>
    <w:rsid w:val="00652F4B"/>
    <w:rsid w:val="00652F62"/>
    <w:rsid w:val="0065328A"/>
    <w:rsid w:val="0065347B"/>
    <w:rsid w:val="00653836"/>
    <w:rsid w:val="00653A17"/>
    <w:rsid w:val="00655C15"/>
    <w:rsid w:val="00660DD7"/>
    <w:rsid w:val="00660DE1"/>
    <w:rsid w:val="00661C16"/>
    <w:rsid w:val="00661CDB"/>
    <w:rsid w:val="00661F7A"/>
    <w:rsid w:val="0066339A"/>
    <w:rsid w:val="006633F0"/>
    <w:rsid w:val="0066352A"/>
    <w:rsid w:val="006636D3"/>
    <w:rsid w:val="00663BA0"/>
    <w:rsid w:val="00665510"/>
    <w:rsid w:val="00666B8E"/>
    <w:rsid w:val="00666F05"/>
    <w:rsid w:val="006704DD"/>
    <w:rsid w:val="006712EE"/>
    <w:rsid w:val="00671981"/>
    <w:rsid w:val="00671C67"/>
    <w:rsid w:val="00671CA1"/>
    <w:rsid w:val="00672194"/>
    <w:rsid w:val="00672C86"/>
    <w:rsid w:val="006740AD"/>
    <w:rsid w:val="006744D6"/>
    <w:rsid w:val="0067459D"/>
    <w:rsid w:val="00675693"/>
    <w:rsid w:val="00675C95"/>
    <w:rsid w:val="00675CD7"/>
    <w:rsid w:val="00676693"/>
    <w:rsid w:val="006769C8"/>
    <w:rsid w:val="00676C1E"/>
    <w:rsid w:val="006771F9"/>
    <w:rsid w:val="00680000"/>
    <w:rsid w:val="00681CBF"/>
    <w:rsid w:val="00681D88"/>
    <w:rsid w:val="00682639"/>
    <w:rsid w:val="00683EB0"/>
    <w:rsid w:val="00684EB8"/>
    <w:rsid w:val="00685212"/>
    <w:rsid w:val="006854DB"/>
    <w:rsid w:val="006855C0"/>
    <w:rsid w:val="00685CEB"/>
    <w:rsid w:val="00686282"/>
    <w:rsid w:val="00687C73"/>
    <w:rsid w:val="00690FCE"/>
    <w:rsid w:val="006914B5"/>
    <w:rsid w:val="00691AA9"/>
    <w:rsid w:val="00694445"/>
    <w:rsid w:val="00694E2B"/>
    <w:rsid w:val="006979D8"/>
    <w:rsid w:val="006A14CF"/>
    <w:rsid w:val="006A2A73"/>
    <w:rsid w:val="006A3C6A"/>
    <w:rsid w:val="006A7D8E"/>
    <w:rsid w:val="006B0A8F"/>
    <w:rsid w:val="006B0C66"/>
    <w:rsid w:val="006B0FA5"/>
    <w:rsid w:val="006B1059"/>
    <w:rsid w:val="006B2449"/>
    <w:rsid w:val="006B27B5"/>
    <w:rsid w:val="006B29CE"/>
    <w:rsid w:val="006B2D30"/>
    <w:rsid w:val="006B341C"/>
    <w:rsid w:val="006B3663"/>
    <w:rsid w:val="006B4C19"/>
    <w:rsid w:val="006B504E"/>
    <w:rsid w:val="006B55A3"/>
    <w:rsid w:val="006B6DD2"/>
    <w:rsid w:val="006B770F"/>
    <w:rsid w:val="006B7A46"/>
    <w:rsid w:val="006B7BD3"/>
    <w:rsid w:val="006B7CDB"/>
    <w:rsid w:val="006C0062"/>
    <w:rsid w:val="006C086E"/>
    <w:rsid w:val="006C0CAE"/>
    <w:rsid w:val="006C0F08"/>
    <w:rsid w:val="006C177A"/>
    <w:rsid w:val="006C1928"/>
    <w:rsid w:val="006C2B67"/>
    <w:rsid w:val="006C2D2E"/>
    <w:rsid w:val="006C53D3"/>
    <w:rsid w:val="006C7941"/>
    <w:rsid w:val="006D0D73"/>
    <w:rsid w:val="006D1257"/>
    <w:rsid w:val="006D1515"/>
    <w:rsid w:val="006D3075"/>
    <w:rsid w:val="006D46CA"/>
    <w:rsid w:val="006D4DBE"/>
    <w:rsid w:val="006D60E8"/>
    <w:rsid w:val="006D62F2"/>
    <w:rsid w:val="006D6A51"/>
    <w:rsid w:val="006D702A"/>
    <w:rsid w:val="006D7205"/>
    <w:rsid w:val="006E044F"/>
    <w:rsid w:val="006E0DAC"/>
    <w:rsid w:val="006E0DB5"/>
    <w:rsid w:val="006E1B40"/>
    <w:rsid w:val="006E1DCA"/>
    <w:rsid w:val="006E1EF4"/>
    <w:rsid w:val="006E258E"/>
    <w:rsid w:val="006E2A8C"/>
    <w:rsid w:val="006E3478"/>
    <w:rsid w:val="006E37F1"/>
    <w:rsid w:val="006E3DE5"/>
    <w:rsid w:val="006E3F73"/>
    <w:rsid w:val="006E3FED"/>
    <w:rsid w:val="006E58E1"/>
    <w:rsid w:val="006E6996"/>
    <w:rsid w:val="006E77AC"/>
    <w:rsid w:val="006E78AC"/>
    <w:rsid w:val="006F0FBC"/>
    <w:rsid w:val="006F1049"/>
    <w:rsid w:val="006F157A"/>
    <w:rsid w:val="006F3AB3"/>
    <w:rsid w:val="006F4581"/>
    <w:rsid w:val="006F5389"/>
    <w:rsid w:val="006F5583"/>
    <w:rsid w:val="006F5A20"/>
    <w:rsid w:val="006F68DF"/>
    <w:rsid w:val="006F6DF9"/>
    <w:rsid w:val="006F6E2A"/>
    <w:rsid w:val="00700859"/>
    <w:rsid w:val="00700F56"/>
    <w:rsid w:val="00701AD8"/>
    <w:rsid w:val="00702179"/>
    <w:rsid w:val="0070241B"/>
    <w:rsid w:val="0070349A"/>
    <w:rsid w:val="00703D7C"/>
    <w:rsid w:val="0070404C"/>
    <w:rsid w:val="007040D7"/>
    <w:rsid w:val="007044A5"/>
    <w:rsid w:val="00704D17"/>
    <w:rsid w:val="007050BE"/>
    <w:rsid w:val="007052C2"/>
    <w:rsid w:val="007054EF"/>
    <w:rsid w:val="0071012A"/>
    <w:rsid w:val="00710498"/>
    <w:rsid w:val="00710614"/>
    <w:rsid w:val="007111E1"/>
    <w:rsid w:val="007115D2"/>
    <w:rsid w:val="00711797"/>
    <w:rsid w:val="0071249F"/>
    <w:rsid w:val="0071271D"/>
    <w:rsid w:val="00712C01"/>
    <w:rsid w:val="00713327"/>
    <w:rsid w:val="00713BCD"/>
    <w:rsid w:val="00713E7C"/>
    <w:rsid w:val="00714102"/>
    <w:rsid w:val="007143D4"/>
    <w:rsid w:val="00714556"/>
    <w:rsid w:val="007147E6"/>
    <w:rsid w:val="00714A94"/>
    <w:rsid w:val="007152EE"/>
    <w:rsid w:val="007152FD"/>
    <w:rsid w:val="00716378"/>
    <w:rsid w:val="007165CD"/>
    <w:rsid w:val="0071752F"/>
    <w:rsid w:val="00717C54"/>
    <w:rsid w:val="0072135D"/>
    <w:rsid w:val="00721564"/>
    <w:rsid w:val="00723504"/>
    <w:rsid w:val="00723910"/>
    <w:rsid w:val="00725383"/>
    <w:rsid w:val="007268F8"/>
    <w:rsid w:val="00727431"/>
    <w:rsid w:val="0073058B"/>
    <w:rsid w:val="00730903"/>
    <w:rsid w:val="00730E5F"/>
    <w:rsid w:val="00731621"/>
    <w:rsid w:val="0073245A"/>
    <w:rsid w:val="00732EA5"/>
    <w:rsid w:val="00733836"/>
    <w:rsid w:val="00734095"/>
    <w:rsid w:val="007342C0"/>
    <w:rsid w:val="007350C2"/>
    <w:rsid w:val="00735323"/>
    <w:rsid w:val="007355D5"/>
    <w:rsid w:val="007356C0"/>
    <w:rsid w:val="00735F43"/>
    <w:rsid w:val="00737CC5"/>
    <w:rsid w:val="007403EE"/>
    <w:rsid w:val="00740635"/>
    <w:rsid w:val="00741B66"/>
    <w:rsid w:val="00742FC3"/>
    <w:rsid w:val="0074304C"/>
    <w:rsid w:val="00743267"/>
    <w:rsid w:val="00744212"/>
    <w:rsid w:val="0074471E"/>
    <w:rsid w:val="00744E35"/>
    <w:rsid w:val="00745811"/>
    <w:rsid w:val="00746861"/>
    <w:rsid w:val="00746F76"/>
    <w:rsid w:val="00747029"/>
    <w:rsid w:val="007470E9"/>
    <w:rsid w:val="00747B73"/>
    <w:rsid w:val="0075008F"/>
    <w:rsid w:val="00750D83"/>
    <w:rsid w:val="00750EED"/>
    <w:rsid w:val="00751884"/>
    <w:rsid w:val="00752B8C"/>
    <w:rsid w:val="00752C10"/>
    <w:rsid w:val="00752CFD"/>
    <w:rsid w:val="0075412E"/>
    <w:rsid w:val="0075524B"/>
    <w:rsid w:val="00755C49"/>
    <w:rsid w:val="00755D9A"/>
    <w:rsid w:val="00755EA3"/>
    <w:rsid w:val="00756B88"/>
    <w:rsid w:val="00756BE4"/>
    <w:rsid w:val="00756C49"/>
    <w:rsid w:val="00756EC0"/>
    <w:rsid w:val="00757977"/>
    <w:rsid w:val="00757D0F"/>
    <w:rsid w:val="0076066C"/>
    <w:rsid w:val="0076112C"/>
    <w:rsid w:val="00762512"/>
    <w:rsid w:val="007636B6"/>
    <w:rsid w:val="00763B51"/>
    <w:rsid w:val="00764094"/>
    <w:rsid w:val="00764595"/>
    <w:rsid w:val="00764B6E"/>
    <w:rsid w:val="007651C4"/>
    <w:rsid w:val="0076528A"/>
    <w:rsid w:val="00765690"/>
    <w:rsid w:val="007663C3"/>
    <w:rsid w:val="007670B4"/>
    <w:rsid w:val="00767220"/>
    <w:rsid w:val="00770013"/>
    <w:rsid w:val="00770822"/>
    <w:rsid w:val="007710BC"/>
    <w:rsid w:val="007711A4"/>
    <w:rsid w:val="00771491"/>
    <w:rsid w:val="007718A3"/>
    <w:rsid w:val="00771D74"/>
    <w:rsid w:val="007728AA"/>
    <w:rsid w:val="00772D51"/>
    <w:rsid w:val="00773456"/>
    <w:rsid w:val="0077399A"/>
    <w:rsid w:val="00774BB6"/>
    <w:rsid w:val="00775066"/>
    <w:rsid w:val="00776723"/>
    <w:rsid w:val="00776B3A"/>
    <w:rsid w:val="00776D48"/>
    <w:rsid w:val="007775F2"/>
    <w:rsid w:val="007800FA"/>
    <w:rsid w:val="00780AFB"/>
    <w:rsid w:val="00780DD8"/>
    <w:rsid w:val="00781380"/>
    <w:rsid w:val="0078179C"/>
    <w:rsid w:val="00781EA3"/>
    <w:rsid w:val="00782B74"/>
    <w:rsid w:val="00783BA1"/>
    <w:rsid w:val="007849C0"/>
    <w:rsid w:val="0078629B"/>
    <w:rsid w:val="007868C4"/>
    <w:rsid w:val="00786BFB"/>
    <w:rsid w:val="007871B1"/>
    <w:rsid w:val="00787CCB"/>
    <w:rsid w:val="00790C0D"/>
    <w:rsid w:val="007916DB"/>
    <w:rsid w:val="00791BA3"/>
    <w:rsid w:val="00791DD5"/>
    <w:rsid w:val="007925AD"/>
    <w:rsid w:val="00794105"/>
    <w:rsid w:val="0079567F"/>
    <w:rsid w:val="00796C3E"/>
    <w:rsid w:val="00796CBE"/>
    <w:rsid w:val="00797ED2"/>
    <w:rsid w:val="007A04E2"/>
    <w:rsid w:val="007A0628"/>
    <w:rsid w:val="007A0C7A"/>
    <w:rsid w:val="007A22DE"/>
    <w:rsid w:val="007A25FA"/>
    <w:rsid w:val="007A2979"/>
    <w:rsid w:val="007A329A"/>
    <w:rsid w:val="007A3579"/>
    <w:rsid w:val="007A367C"/>
    <w:rsid w:val="007A375D"/>
    <w:rsid w:val="007A4730"/>
    <w:rsid w:val="007A4FFA"/>
    <w:rsid w:val="007A5993"/>
    <w:rsid w:val="007A6204"/>
    <w:rsid w:val="007A64AF"/>
    <w:rsid w:val="007A6D18"/>
    <w:rsid w:val="007A6E87"/>
    <w:rsid w:val="007A7A44"/>
    <w:rsid w:val="007A7AAA"/>
    <w:rsid w:val="007B0326"/>
    <w:rsid w:val="007B0600"/>
    <w:rsid w:val="007B1AC9"/>
    <w:rsid w:val="007B300C"/>
    <w:rsid w:val="007B32A6"/>
    <w:rsid w:val="007B33A3"/>
    <w:rsid w:val="007B3894"/>
    <w:rsid w:val="007B3BE2"/>
    <w:rsid w:val="007B5E6E"/>
    <w:rsid w:val="007B5FB4"/>
    <w:rsid w:val="007B69DD"/>
    <w:rsid w:val="007B7510"/>
    <w:rsid w:val="007B7639"/>
    <w:rsid w:val="007B7671"/>
    <w:rsid w:val="007C0417"/>
    <w:rsid w:val="007C0E25"/>
    <w:rsid w:val="007C1392"/>
    <w:rsid w:val="007C1824"/>
    <w:rsid w:val="007C294B"/>
    <w:rsid w:val="007C30C6"/>
    <w:rsid w:val="007C3459"/>
    <w:rsid w:val="007C3606"/>
    <w:rsid w:val="007C3797"/>
    <w:rsid w:val="007C3EC3"/>
    <w:rsid w:val="007C40DF"/>
    <w:rsid w:val="007C43C6"/>
    <w:rsid w:val="007C4586"/>
    <w:rsid w:val="007C52AF"/>
    <w:rsid w:val="007C5BEA"/>
    <w:rsid w:val="007C5E0E"/>
    <w:rsid w:val="007C5EC2"/>
    <w:rsid w:val="007C654E"/>
    <w:rsid w:val="007C65AB"/>
    <w:rsid w:val="007C7116"/>
    <w:rsid w:val="007C747B"/>
    <w:rsid w:val="007C7A4B"/>
    <w:rsid w:val="007C7F6F"/>
    <w:rsid w:val="007D1205"/>
    <w:rsid w:val="007D16FC"/>
    <w:rsid w:val="007D36B7"/>
    <w:rsid w:val="007D37FB"/>
    <w:rsid w:val="007D3A57"/>
    <w:rsid w:val="007D4484"/>
    <w:rsid w:val="007D4A9A"/>
    <w:rsid w:val="007D55CA"/>
    <w:rsid w:val="007D599A"/>
    <w:rsid w:val="007D5B12"/>
    <w:rsid w:val="007D5B64"/>
    <w:rsid w:val="007D5DD8"/>
    <w:rsid w:val="007D5F43"/>
    <w:rsid w:val="007D5F80"/>
    <w:rsid w:val="007D734F"/>
    <w:rsid w:val="007D7877"/>
    <w:rsid w:val="007D7C1F"/>
    <w:rsid w:val="007D7D10"/>
    <w:rsid w:val="007E0A50"/>
    <w:rsid w:val="007E0BF0"/>
    <w:rsid w:val="007E0D05"/>
    <w:rsid w:val="007E0D89"/>
    <w:rsid w:val="007E150E"/>
    <w:rsid w:val="007E1C6F"/>
    <w:rsid w:val="007E1F29"/>
    <w:rsid w:val="007E2562"/>
    <w:rsid w:val="007E26B3"/>
    <w:rsid w:val="007E299B"/>
    <w:rsid w:val="007E30D4"/>
    <w:rsid w:val="007E350E"/>
    <w:rsid w:val="007E3CDC"/>
    <w:rsid w:val="007E4466"/>
    <w:rsid w:val="007E4E9B"/>
    <w:rsid w:val="007E5D2F"/>
    <w:rsid w:val="007E6A01"/>
    <w:rsid w:val="007E7135"/>
    <w:rsid w:val="007E79F5"/>
    <w:rsid w:val="007F010A"/>
    <w:rsid w:val="007F039C"/>
    <w:rsid w:val="007F04BF"/>
    <w:rsid w:val="007F08A3"/>
    <w:rsid w:val="007F1153"/>
    <w:rsid w:val="007F23EE"/>
    <w:rsid w:val="007F2F79"/>
    <w:rsid w:val="007F3420"/>
    <w:rsid w:val="007F34D4"/>
    <w:rsid w:val="007F5E77"/>
    <w:rsid w:val="007F622F"/>
    <w:rsid w:val="007F6545"/>
    <w:rsid w:val="007F65E0"/>
    <w:rsid w:val="007F67AC"/>
    <w:rsid w:val="007F6A66"/>
    <w:rsid w:val="007F6C71"/>
    <w:rsid w:val="007F7B91"/>
    <w:rsid w:val="00800536"/>
    <w:rsid w:val="00800946"/>
    <w:rsid w:val="008010B1"/>
    <w:rsid w:val="00801541"/>
    <w:rsid w:val="008024C0"/>
    <w:rsid w:val="008028D3"/>
    <w:rsid w:val="00802D1D"/>
    <w:rsid w:val="00803D8E"/>
    <w:rsid w:val="00804A2F"/>
    <w:rsid w:val="0080570E"/>
    <w:rsid w:val="008059AA"/>
    <w:rsid w:val="00807000"/>
    <w:rsid w:val="008072A0"/>
    <w:rsid w:val="00812940"/>
    <w:rsid w:val="00812F28"/>
    <w:rsid w:val="008131C8"/>
    <w:rsid w:val="008132B2"/>
    <w:rsid w:val="00813B4E"/>
    <w:rsid w:val="00814989"/>
    <w:rsid w:val="00815290"/>
    <w:rsid w:val="00815ACC"/>
    <w:rsid w:val="00816059"/>
    <w:rsid w:val="00816D82"/>
    <w:rsid w:val="00816DC2"/>
    <w:rsid w:val="008170BA"/>
    <w:rsid w:val="00822003"/>
    <w:rsid w:val="0082256B"/>
    <w:rsid w:val="008225C1"/>
    <w:rsid w:val="00822D4A"/>
    <w:rsid w:val="008230A0"/>
    <w:rsid w:val="00825873"/>
    <w:rsid w:val="00825BC8"/>
    <w:rsid w:val="00825D07"/>
    <w:rsid w:val="00826469"/>
    <w:rsid w:val="00826A22"/>
    <w:rsid w:val="00826A58"/>
    <w:rsid w:val="0082716F"/>
    <w:rsid w:val="00827B8A"/>
    <w:rsid w:val="00831C9C"/>
    <w:rsid w:val="00833A75"/>
    <w:rsid w:val="0083539A"/>
    <w:rsid w:val="00835C4E"/>
    <w:rsid w:val="00835D55"/>
    <w:rsid w:val="00836DC5"/>
    <w:rsid w:val="00837412"/>
    <w:rsid w:val="00837A7F"/>
    <w:rsid w:val="00837C18"/>
    <w:rsid w:val="00840BF1"/>
    <w:rsid w:val="00840FFC"/>
    <w:rsid w:val="008410BB"/>
    <w:rsid w:val="008419E3"/>
    <w:rsid w:val="0084265E"/>
    <w:rsid w:val="00843CC8"/>
    <w:rsid w:val="0084551A"/>
    <w:rsid w:val="00846F16"/>
    <w:rsid w:val="00846FF1"/>
    <w:rsid w:val="00847321"/>
    <w:rsid w:val="008503B7"/>
    <w:rsid w:val="00850E7C"/>
    <w:rsid w:val="008512A7"/>
    <w:rsid w:val="00851302"/>
    <w:rsid w:val="00852DD8"/>
    <w:rsid w:val="008542E6"/>
    <w:rsid w:val="00854521"/>
    <w:rsid w:val="00855855"/>
    <w:rsid w:val="00855B32"/>
    <w:rsid w:val="00855CDF"/>
    <w:rsid w:val="008561A6"/>
    <w:rsid w:val="00856865"/>
    <w:rsid w:val="008575A4"/>
    <w:rsid w:val="00857FCD"/>
    <w:rsid w:val="00860062"/>
    <w:rsid w:val="00860846"/>
    <w:rsid w:val="00860C80"/>
    <w:rsid w:val="00860F4D"/>
    <w:rsid w:val="00861777"/>
    <w:rsid w:val="00862509"/>
    <w:rsid w:val="00863474"/>
    <w:rsid w:val="00863E2B"/>
    <w:rsid w:val="00864104"/>
    <w:rsid w:val="0086462C"/>
    <w:rsid w:val="0086491C"/>
    <w:rsid w:val="00864C0B"/>
    <w:rsid w:val="00864C28"/>
    <w:rsid w:val="008653B5"/>
    <w:rsid w:val="0086547B"/>
    <w:rsid w:val="00865597"/>
    <w:rsid w:val="00865774"/>
    <w:rsid w:val="00865844"/>
    <w:rsid w:val="00866817"/>
    <w:rsid w:val="00867C83"/>
    <w:rsid w:val="00870AB6"/>
    <w:rsid w:val="00870B20"/>
    <w:rsid w:val="0087197D"/>
    <w:rsid w:val="00872A81"/>
    <w:rsid w:val="00872D33"/>
    <w:rsid w:val="00873013"/>
    <w:rsid w:val="008743E1"/>
    <w:rsid w:val="00874799"/>
    <w:rsid w:val="0087597E"/>
    <w:rsid w:val="00876034"/>
    <w:rsid w:val="008764FC"/>
    <w:rsid w:val="00876540"/>
    <w:rsid w:val="00876701"/>
    <w:rsid w:val="00876927"/>
    <w:rsid w:val="00876ADC"/>
    <w:rsid w:val="00876C02"/>
    <w:rsid w:val="00876DBA"/>
    <w:rsid w:val="00876EE7"/>
    <w:rsid w:val="00877185"/>
    <w:rsid w:val="00877E17"/>
    <w:rsid w:val="008807D2"/>
    <w:rsid w:val="008809EB"/>
    <w:rsid w:val="00880D0E"/>
    <w:rsid w:val="0088119C"/>
    <w:rsid w:val="0088153C"/>
    <w:rsid w:val="00881884"/>
    <w:rsid w:val="008822D8"/>
    <w:rsid w:val="00882D13"/>
    <w:rsid w:val="00883784"/>
    <w:rsid w:val="008842F1"/>
    <w:rsid w:val="00885683"/>
    <w:rsid w:val="0088571C"/>
    <w:rsid w:val="008857A7"/>
    <w:rsid w:val="00885ADE"/>
    <w:rsid w:val="00885FDA"/>
    <w:rsid w:val="00886384"/>
    <w:rsid w:val="00886511"/>
    <w:rsid w:val="00886D6D"/>
    <w:rsid w:val="008902DF"/>
    <w:rsid w:val="008902EE"/>
    <w:rsid w:val="00890FE2"/>
    <w:rsid w:val="0089197A"/>
    <w:rsid w:val="00892DFA"/>
    <w:rsid w:val="008940AD"/>
    <w:rsid w:val="00894A0F"/>
    <w:rsid w:val="00895921"/>
    <w:rsid w:val="00895AE4"/>
    <w:rsid w:val="00896F8D"/>
    <w:rsid w:val="00897128"/>
    <w:rsid w:val="008A0771"/>
    <w:rsid w:val="008A1123"/>
    <w:rsid w:val="008A1E1A"/>
    <w:rsid w:val="008A267B"/>
    <w:rsid w:val="008A36E8"/>
    <w:rsid w:val="008A3A81"/>
    <w:rsid w:val="008A436D"/>
    <w:rsid w:val="008A4874"/>
    <w:rsid w:val="008A490A"/>
    <w:rsid w:val="008A4FA5"/>
    <w:rsid w:val="008A542E"/>
    <w:rsid w:val="008A5CF0"/>
    <w:rsid w:val="008A5F36"/>
    <w:rsid w:val="008A7052"/>
    <w:rsid w:val="008A7494"/>
    <w:rsid w:val="008A7882"/>
    <w:rsid w:val="008A7BAD"/>
    <w:rsid w:val="008B00D4"/>
    <w:rsid w:val="008B0A64"/>
    <w:rsid w:val="008B0BEA"/>
    <w:rsid w:val="008B1C39"/>
    <w:rsid w:val="008B2D67"/>
    <w:rsid w:val="008B3182"/>
    <w:rsid w:val="008B3483"/>
    <w:rsid w:val="008B3D34"/>
    <w:rsid w:val="008B3D4D"/>
    <w:rsid w:val="008B3E72"/>
    <w:rsid w:val="008B4B4E"/>
    <w:rsid w:val="008B518C"/>
    <w:rsid w:val="008B5AE0"/>
    <w:rsid w:val="008B6441"/>
    <w:rsid w:val="008B79B7"/>
    <w:rsid w:val="008B7A1B"/>
    <w:rsid w:val="008C04A1"/>
    <w:rsid w:val="008C147C"/>
    <w:rsid w:val="008C203A"/>
    <w:rsid w:val="008C221F"/>
    <w:rsid w:val="008C27A7"/>
    <w:rsid w:val="008C31CD"/>
    <w:rsid w:val="008C3596"/>
    <w:rsid w:val="008C3ED1"/>
    <w:rsid w:val="008C3F1F"/>
    <w:rsid w:val="008C401C"/>
    <w:rsid w:val="008C4CDE"/>
    <w:rsid w:val="008C4DD1"/>
    <w:rsid w:val="008C5F00"/>
    <w:rsid w:val="008C6341"/>
    <w:rsid w:val="008C6551"/>
    <w:rsid w:val="008C65E0"/>
    <w:rsid w:val="008C6A4C"/>
    <w:rsid w:val="008C78AE"/>
    <w:rsid w:val="008D0780"/>
    <w:rsid w:val="008D0900"/>
    <w:rsid w:val="008D0B42"/>
    <w:rsid w:val="008D1291"/>
    <w:rsid w:val="008D1F4D"/>
    <w:rsid w:val="008D2938"/>
    <w:rsid w:val="008D4A78"/>
    <w:rsid w:val="008D4A7F"/>
    <w:rsid w:val="008D4D61"/>
    <w:rsid w:val="008D511C"/>
    <w:rsid w:val="008D5A90"/>
    <w:rsid w:val="008D66FF"/>
    <w:rsid w:val="008D6761"/>
    <w:rsid w:val="008D6E57"/>
    <w:rsid w:val="008D75CA"/>
    <w:rsid w:val="008E065B"/>
    <w:rsid w:val="008E18DA"/>
    <w:rsid w:val="008E1E08"/>
    <w:rsid w:val="008E1F75"/>
    <w:rsid w:val="008E26F8"/>
    <w:rsid w:val="008E32B3"/>
    <w:rsid w:val="008E3C4E"/>
    <w:rsid w:val="008E491B"/>
    <w:rsid w:val="008E6CCA"/>
    <w:rsid w:val="008E751A"/>
    <w:rsid w:val="008F0D07"/>
    <w:rsid w:val="008F0F07"/>
    <w:rsid w:val="008F1277"/>
    <w:rsid w:val="008F1C15"/>
    <w:rsid w:val="008F1DCC"/>
    <w:rsid w:val="008F2464"/>
    <w:rsid w:val="008F38FC"/>
    <w:rsid w:val="008F41F7"/>
    <w:rsid w:val="008F4322"/>
    <w:rsid w:val="008F4438"/>
    <w:rsid w:val="008F4A3C"/>
    <w:rsid w:val="008F5DBB"/>
    <w:rsid w:val="008F6288"/>
    <w:rsid w:val="008F66E2"/>
    <w:rsid w:val="008F7493"/>
    <w:rsid w:val="00900A18"/>
    <w:rsid w:val="00901188"/>
    <w:rsid w:val="009014D5"/>
    <w:rsid w:val="00901D89"/>
    <w:rsid w:val="00902900"/>
    <w:rsid w:val="00903084"/>
    <w:rsid w:val="0090394D"/>
    <w:rsid w:val="00903F37"/>
    <w:rsid w:val="0090420E"/>
    <w:rsid w:val="0090440B"/>
    <w:rsid w:val="00905047"/>
    <w:rsid w:val="00905774"/>
    <w:rsid w:val="00905A1A"/>
    <w:rsid w:val="00905E8B"/>
    <w:rsid w:val="00906D73"/>
    <w:rsid w:val="00907B67"/>
    <w:rsid w:val="00910498"/>
    <w:rsid w:val="009106A6"/>
    <w:rsid w:val="00910A8C"/>
    <w:rsid w:val="009113D8"/>
    <w:rsid w:val="0091280A"/>
    <w:rsid w:val="00912F7C"/>
    <w:rsid w:val="00913527"/>
    <w:rsid w:val="00913D6C"/>
    <w:rsid w:val="00914100"/>
    <w:rsid w:val="0091594D"/>
    <w:rsid w:val="0091645E"/>
    <w:rsid w:val="009164E2"/>
    <w:rsid w:val="009173B8"/>
    <w:rsid w:val="00917886"/>
    <w:rsid w:val="00917B2D"/>
    <w:rsid w:val="00920C96"/>
    <w:rsid w:val="00921395"/>
    <w:rsid w:val="009215B8"/>
    <w:rsid w:val="009215F5"/>
    <w:rsid w:val="0092316A"/>
    <w:rsid w:val="00924C6C"/>
    <w:rsid w:val="0092512E"/>
    <w:rsid w:val="00925501"/>
    <w:rsid w:val="00925F0E"/>
    <w:rsid w:val="0092613C"/>
    <w:rsid w:val="00930B31"/>
    <w:rsid w:val="00931845"/>
    <w:rsid w:val="009320C3"/>
    <w:rsid w:val="0093234B"/>
    <w:rsid w:val="009328C5"/>
    <w:rsid w:val="009339DC"/>
    <w:rsid w:val="00934245"/>
    <w:rsid w:val="009344F3"/>
    <w:rsid w:val="00934894"/>
    <w:rsid w:val="0093530F"/>
    <w:rsid w:val="009404B8"/>
    <w:rsid w:val="009406C5"/>
    <w:rsid w:val="00940BC4"/>
    <w:rsid w:val="00940F91"/>
    <w:rsid w:val="00941165"/>
    <w:rsid w:val="00941558"/>
    <w:rsid w:val="00943CC2"/>
    <w:rsid w:val="00943FB5"/>
    <w:rsid w:val="0094456A"/>
    <w:rsid w:val="0094494A"/>
    <w:rsid w:val="009470C6"/>
    <w:rsid w:val="009475B2"/>
    <w:rsid w:val="0094788D"/>
    <w:rsid w:val="0095003E"/>
    <w:rsid w:val="00950216"/>
    <w:rsid w:val="00950662"/>
    <w:rsid w:val="00950CBE"/>
    <w:rsid w:val="0095112C"/>
    <w:rsid w:val="009527A1"/>
    <w:rsid w:val="00952D4A"/>
    <w:rsid w:val="00952F3C"/>
    <w:rsid w:val="009534B5"/>
    <w:rsid w:val="009537A4"/>
    <w:rsid w:val="00955473"/>
    <w:rsid w:val="009560D2"/>
    <w:rsid w:val="009577B6"/>
    <w:rsid w:val="009578FB"/>
    <w:rsid w:val="00957974"/>
    <w:rsid w:val="00957D46"/>
    <w:rsid w:val="009602BB"/>
    <w:rsid w:val="0096069E"/>
    <w:rsid w:val="00961032"/>
    <w:rsid w:val="009620EB"/>
    <w:rsid w:val="009624F8"/>
    <w:rsid w:val="00963478"/>
    <w:rsid w:val="00963A94"/>
    <w:rsid w:val="009641C5"/>
    <w:rsid w:val="009642DE"/>
    <w:rsid w:val="0096481D"/>
    <w:rsid w:val="009648B7"/>
    <w:rsid w:val="00965F53"/>
    <w:rsid w:val="009674E4"/>
    <w:rsid w:val="00967536"/>
    <w:rsid w:val="00967CD1"/>
    <w:rsid w:val="0097008F"/>
    <w:rsid w:val="00970500"/>
    <w:rsid w:val="0097061F"/>
    <w:rsid w:val="00970751"/>
    <w:rsid w:val="00970E6E"/>
    <w:rsid w:val="00971302"/>
    <w:rsid w:val="00971E3F"/>
    <w:rsid w:val="0097210E"/>
    <w:rsid w:val="0097306C"/>
    <w:rsid w:val="0097372E"/>
    <w:rsid w:val="0097411F"/>
    <w:rsid w:val="0097433D"/>
    <w:rsid w:val="009743E2"/>
    <w:rsid w:val="00974D11"/>
    <w:rsid w:val="0097542A"/>
    <w:rsid w:val="0097677A"/>
    <w:rsid w:val="00976DBC"/>
    <w:rsid w:val="00976E85"/>
    <w:rsid w:val="0097724E"/>
    <w:rsid w:val="00977C80"/>
    <w:rsid w:val="00977F3A"/>
    <w:rsid w:val="009801B2"/>
    <w:rsid w:val="00980A9F"/>
    <w:rsid w:val="00982C07"/>
    <w:rsid w:val="009834F2"/>
    <w:rsid w:val="00983523"/>
    <w:rsid w:val="009837F7"/>
    <w:rsid w:val="009843A5"/>
    <w:rsid w:val="009855B4"/>
    <w:rsid w:val="0098615E"/>
    <w:rsid w:val="00986789"/>
    <w:rsid w:val="00987584"/>
    <w:rsid w:val="00987E7A"/>
    <w:rsid w:val="0099050D"/>
    <w:rsid w:val="0099059A"/>
    <w:rsid w:val="00991C0C"/>
    <w:rsid w:val="00991F6F"/>
    <w:rsid w:val="009924B4"/>
    <w:rsid w:val="00992D7B"/>
    <w:rsid w:val="00993524"/>
    <w:rsid w:val="00993601"/>
    <w:rsid w:val="00993B25"/>
    <w:rsid w:val="00994A83"/>
    <w:rsid w:val="00994E7F"/>
    <w:rsid w:val="0099522E"/>
    <w:rsid w:val="00995535"/>
    <w:rsid w:val="009957B5"/>
    <w:rsid w:val="00995E4A"/>
    <w:rsid w:val="00997B5F"/>
    <w:rsid w:val="009A10E9"/>
    <w:rsid w:val="009A216B"/>
    <w:rsid w:val="009A24AC"/>
    <w:rsid w:val="009A3544"/>
    <w:rsid w:val="009A3EA3"/>
    <w:rsid w:val="009A4502"/>
    <w:rsid w:val="009A4D40"/>
    <w:rsid w:val="009A55A6"/>
    <w:rsid w:val="009A7E13"/>
    <w:rsid w:val="009B0745"/>
    <w:rsid w:val="009B19CB"/>
    <w:rsid w:val="009B1A5E"/>
    <w:rsid w:val="009B219F"/>
    <w:rsid w:val="009B255A"/>
    <w:rsid w:val="009B350C"/>
    <w:rsid w:val="009B3B16"/>
    <w:rsid w:val="009B41FA"/>
    <w:rsid w:val="009B4D77"/>
    <w:rsid w:val="009B531A"/>
    <w:rsid w:val="009B63C1"/>
    <w:rsid w:val="009B6572"/>
    <w:rsid w:val="009B75ED"/>
    <w:rsid w:val="009C0138"/>
    <w:rsid w:val="009C015F"/>
    <w:rsid w:val="009C0A68"/>
    <w:rsid w:val="009C2935"/>
    <w:rsid w:val="009C29E9"/>
    <w:rsid w:val="009C2D7B"/>
    <w:rsid w:val="009C2E40"/>
    <w:rsid w:val="009C2E64"/>
    <w:rsid w:val="009C4541"/>
    <w:rsid w:val="009C526E"/>
    <w:rsid w:val="009C5384"/>
    <w:rsid w:val="009C547C"/>
    <w:rsid w:val="009C5AF1"/>
    <w:rsid w:val="009C6020"/>
    <w:rsid w:val="009C6E6D"/>
    <w:rsid w:val="009C6EE1"/>
    <w:rsid w:val="009C6F7E"/>
    <w:rsid w:val="009C76DE"/>
    <w:rsid w:val="009C7FDA"/>
    <w:rsid w:val="009D10E5"/>
    <w:rsid w:val="009D16C5"/>
    <w:rsid w:val="009D18B0"/>
    <w:rsid w:val="009D2265"/>
    <w:rsid w:val="009D3630"/>
    <w:rsid w:val="009D41CE"/>
    <w:rsid w:val="009D599C"/>
    <w:rsid w:val="009D679A"/>
    <w:rsid w:val="009D72AB"/>
    <w:rsid w:val="009D7EAF"/>
    <w:rsid w:val="009E0EAB"/>
    <w:rsid w:val="009E13C2"/>
    <w:rsid w:val="009E1468"/>
    <w:rsid w:val="009E1954"/>
    <w:rsid w:val="009E19C4"/>
    <w:rsid w:val="009E1C29"/>
    <w:rsid w:val="009E5C3F"/>
    <w:rsid w:val="009E6EE2"/>
    <w:rsid w:val="009E754E"/>
    <w:rsid w:val="009F1616"/>
    <w:rsid w:val="009F337F"/>
    <w:rsid w:val="009F36AF"/>
    <w:rsid w:val="009F7D6D"/>
    <w:rsid w:val="009F7FF4"/>
    <w:rsid w:val="00A002FB"/>
    <w:rsid w:val="00A01963"/>
    <w:rsid w:val="00A02381"/>
    <w:rsid w:val="00A02437"/>
    <w:rsid w:val="00A025DC"/>
    <w:rsid w:val="00A044D1"/>
    <w:rsid w:val="00A05312"/>
    <w:rsid w:val="00A0534A"/>
    <w:rsid w:val="00A05F8B"/>
    <w:rsid w:val="00A06598"/>
    <w:rsid w:val="00A066A2"/>
    <w:rsid w:val="00A06769"/>
    <w:rsid w:val="00A072AC"/>
    <w:rsid w:val="00A07B13"/>
    <w:rsid w:val="00A1018F"/>
    <w:rsid w:val="00A102E0"/>
    <w:rsid w:val="00A105CB"/>
    <w:rsid w:val="00A10801"/>
    <w:rsid w:val="00A131E6"/>
    <w:rsid w:val="00A13B9D"/>
    <w:rsid w:val="00A14227"/>
    <w:rsid w:val="00A14348"/>
    <w:rsid w:val="00A144DD"/>
    <w:rsid w:val="00A149DD"/>
    <w:rsid w:val="00A14EB7"/>
    <w:rsid w:val="00A16761"/>
    <w:rsid w:val="00A16C5D"/>
    <w:rsid w:val="00A2081F"/>
    <w:rsid w:val="00A20E34"/>
    <w:rsid w:val="00A21872"/>
    <w:rsid w:val="00A22426"/>
    <w:rsid w:val="00A22A39"/>
    <w:rsid w:val="00A22C29"/>
    <w:rsid w:val="00A252E1"/>
    <w:rsid w:val="00A254E8"/>
    <w:rsid w:val="00A255BE"/>
    <w:rsid w:val="00A260F8"/>
    <w:rsid w:val="00A26149"/>
    <w:rsid w:val="00A2692E"/>
    <w:rsid w:val="00A26AEC"/>
    <w:rsid w:val="00A26B58"/>
    <w:rsid w:val="00A275B3"/>
    <w:rsid w:val="00A27D6D"/>
    <w:rsid w:val="00A27E84"/>
    <w:rsid w:val="00A3059D"/>
    <w:rsid w:val="00A307D6"/>
    <w:rsid w:val="00A308F7"/>
    <w:rsid w:val="00A30A4E"/>
    <w:rsid w:val="00A316DE"/>
    <w:rsid w:val="00A31AC3"/>
    <w:rsid w:val="00A31E6E"/>
    <w:rsid w:val="00A32EF0"/>
    <w:rsid w:val="00A334B5"/>
    <w:rsid w:val="00A33814"/>
    <w:rsid w:val="00A34B5A"/>
    <w:rsid w:val="00A35D8B"/>
    <w:rsid w:val="00A366B0"/>
    <w:rsid w:val="00A36792"/>
    <w:rsid w:val="00A36AE2"/>
    <w:rsid w:val="00A36B79"/>
    <w:rsid w:val="00A36E41"/>
    <w:rsid w:val="00A4006C"/>
    <w:rsid w:val="00A40C46"/>
    <w:rsid w:val="00A40E88"/>
    <w:rsid w:val="00A428FE"/>
    <w:rsid w:val="00A42D18"/>
    <w:rsid w:val="00A439A3"/>
    <w:rsid w:val="00A43B0E"/>
    <w:rsid w:val="00A43D36"/>
    <w:rsid w:val="00A43FF5"/>
    <w:rsid w:val="00A44092"/>
    <w:rsid w:val="00A46F79"/>
    <w:rsid w:val="00A47295"/>
    <w:rsid w:val="00A475DD"/>
    <w:rsid w:val="00A47674"/>
    <w:rsid w:val="00A503FA"/>
    <w:rsid w:val="00A51A87"/>
    <w:rsid w:val="00A51F0C"/>
    <w:rsid w:val="00A51F34"/>
    <w:rsid w:val="00A5205B"/>
    <w:rsid w:val="00A52BCE"/>
    <w:rsid w:val="00A52F6E"/>
    <w:rsid w:val="00A53C0F"/>
    <w:rsid w:val="00A5404D"/>
    <w:rsid w:val="00A54067"/>
    <w:rsid w:val="00A54FD5"/>
    <w:rsid w:val="00A55ADA"/>
    <w:rsid w:val="00A55FEE"/>
    <w:rsid w:val="00A5685D"/>
    <w:rsid w:val="00A56A96"/>
    <w:rsid w:val="00A56E04"/>
    <w:rsid w:val="00A57106"/>
    <w:rsid w:val="00A57268"/>
    <w:rsid w:val="00A5738E"/>
    <w:rsid w:val="00A5767D"/>
    <w:rsid w:val="00A577BA"/>
    <w:rsid w:val="00A57B58"/>
    <w:rsid w:val="00A6011E"/>
    <w:rsid w:val="00A605D0"/>
    <w:rsid w:val="00A60975"/>
    <w:rsid w:val="00A60AEE"/>
    <w:rsid w:val="00A60EA3"/>
    <w:rsid w:val="00A61230"/>
    <w:rsid w:val="00A617BF"/>
    <w:rsid w:val="00A61C2D"/>
    <w:rsid w:val="00A61C5C"/>
    <w:rsid w:val="00A6321B"/>
    <w:rsid w:val="00A63ACA"/>
    <w:rsid w:val="00A64206"/>
    <w:rsid w:val="00A64B59"/>
    <w:rsid w:val="00A64F9F"/>
    <w:rsid w:val="00A652C9"/>
    <w:rsid w:val="00A652F3"/>
    <w:rsid w:val="00A6572B"/>
    <w:rsid w:val="00A664B9"/>
    <w:rsid w:val="00A668D7"/>
    <w:rsid w:val="00A70503"/>
    <w:rsid w:val="00A70B5A"/>
    <w:rsid w:val="00A70DFB"/>
    <w:rsid w:val="00A71237"/>
    <w:rsid w:val="00A71476"/>
    <w:rsid w:val="00A72621"/>
    <w:rsid w:val="00A7271D"/>
    <w:rsid w:val="00A72A03"/>
    <w:rsid w:val="00A74378"/>
    <w:rsid w:val="00A74F22"/>
    <w:rsid w:val="00A755D5"/>
    <w:rsid w:val="00A763D1"/>
    <w:rsid w:val="00A76913"/>
    <w:rsid w:val="00A80128"/>
    <w:rsid w:val="00A8091B"/>
    <w:rsid w:val="00A80AB2"/>
    <w:rsid w:val="00A80D50"/>
    <w:rsid w:val="00A8160A"/>
    <w:rsid w:val="00A816FE"/>
    <w:rsid w:val="00A81AAC"/>
    <w:rsid w:val="00A824D1"/>
    <w:rsid w:val="00A83C15"/>
    <w:rsid w:val="00A84E61"/>
    <w:rsid w:val="00A85585"/>
    <w:rsid w:val="00A85B69"/>
    <w:rsid w:val="00A85E1D"/>
    <w:rsid w:val="00A868E4"/>
    <w:rsid w:val="00A87437"/>
    <w:rsid w:val="00A87CED"/>
    <w:rsid w:val="00A87D1E"/>
    <w:rsid w:val="00A90BF5"/>
    <w:rsid w:val="00A91151"/>
    <w:rsid w:val="00A91CF3"/>
    <w:rsid w:val="00A9286E"/>
    <w:rsid w:val="00A92909"/>
    <w:rsid w:val="00A929B9"/>
    <w:rsid w:val="00A92DFD"/>
    <w:rsid w:val="00A93B41"/>
    <w:rsid w:val="00A93EA8"/>
    <w:rsid w:val="00A94168"/>
    <w:rsid w:val="00A941EF"/>
    <w:rsid w:val="00A9426A"/>
    <w:rsid w:val="00A94774"/>
    <w:rsid w:val="00A959C2"/>
    <w:rsid w:val="00A95CB0"/>
    <w:rsid w:val="00A95CF9"/>
    <w:rsid w:val="00A96084"/>
    <w:rsid w:val="00A9622D"/>
    <w:rsid w:val="00A96DFD"/>
    <w:rsid w:val="00A97B5F"/>
    <w:rsid w:val="00A97FC1"/>
    <w:rsid w:val="00AA0478"/>
    <w:rsid w:val="00AA04D2"/>
    <w:rsid w:val="00AA0B71"/>
    <w:rsid w:val="00AA0D8B"/>
    <w:rsid w:val="00AA0EA5"/>
    <w:rsid w:val="00AA2DB1"/>
    <w:rsid w:val="00AA37EA"/>
    <w:rsid w:val="00AA37EB"/>
    <w:rsid w:val="00AA3DB5"/>
    <w:rsid w:val="00AA3F01"/>
    <w:rsid w:val="00AA6E48"/>
    <w:rsid w:val="00AA7397"/>
    <w:rsid w:val="00AA7865"/>
    <w:rsid w:val="00AB102A"/>
    <w:rsid w:val="00AB103D"/>
    <w:rsid w:val="00AB14D1"/>
    <w:rsid w:val="00AB271C"/>
    <w:rsid w:val="00AB3361"/>
    <w:rsid w:val="00AB34CC"/>
    <w:rsid w:val="00AB3ADE"/>
    <w:rsid w:val="00AB3AF2"/>
    <w:rsid w:val="00AB4D6D"/>
    <w:rsid w:val="00AB4EE8"/>
    <w:rsid w:val="00AB5103"/>
    <w:rsid w:val="00AB5340"/>
    <w:rsid w:val="00AB5562"/>
    <w:rsid w:val="00AB5C90"/>
    <w:rsid w:val="00AB66FC"/>
    <w:rsid w:val="00AB6CAB"/>
    <w:rsid w:val="00AB7586"/>
    <w:rsid w:val="00AB7E33"/>
    <w:rsid w:val="00AC08BC"/>
    <w:rsid w:val="00AC0FFA"/>
    <w:rsid w:val="00AC145D"/>
    <w:rsid w:val="00AC1686"/>
    <w:rsid w:val="00AC1714"/>
    <w:rsid w:val="00AC297E"/>
    <w:rsid w:val="00AC2DD2"/>
    <w:rsid w:val="00AC452A"/>
    <w:rsid w:val="00AC54B6"/>
    <w:rsid w:val="00AC61AC"/>
    <w:rsid w:val="00AD0010"/>
    <w:rsid w:val="00AD096D"/>
    <w:rsid w:val="00AD16E1"/>
    <w:rsid w:val="00AD1EFC"/>
    <w:rsid w:val="00AD23B6"/>
    <w:rsid w:val="00AD395D"/>
    <w:rsid w:val="00AD3A62"/>
    <w:rsid w:val="00AD4557"/>
    <w:rsid w:val="00AD46AC"/>
    <w:rsid w:val="00AD4881"/>
    <w:rsid w:val="00AD5C8C"/>
    <w:rsid w:val="00AD721E"/>
    <w:rsid w:val="00AD7654"/>
    <w:rsid w:val="00AD768E"/>
    <w:rsid w:val="00AD7829"/>
    <w:rsid w:val="00AD7F7B"/>
    <w:rsid w:val="00AD7FF8"/>
    <w:rsid w:val="00AE066B"/>
    <w:rsid w:val="00AE1578"/>
    <w:rsid w:val="00AE1949"/>
    <w:rsid w:val="00AE22FC"/>
    <w:rsid w:val="00AE3970"/>
    <w:rsid w:val="00AE3C38"/>
    <w:rsid w:val="00AE3DAC"/>
    <w:rsid w:val="00AE44E7"/>
    <w:rsid w:val="00AE5C30"/>
    <w:rsid w:val="00AE5D66"/>
    <w:rsid w:val="00AE6192"/>
    <w:rsid w:val="00AE632F"/>
    <w:rsid w:val="00AE7DAE"/>
    <w:rsid w:val="00AE7FDC"/>
    <w:rsid w:val="00AF0B30"/>
    <w:rsid w:val="00AF27DC"/>
    <w:rsid w:val="00AF3192"/>
    <w:rsid w:val="00AF4095"/>
    <w:rsid w:val="00AF435A"/>
    <w:rsid w:val="00AF43C7"/>
    <w:rsid w:val="00AF4F56"/>
    <w:rsid w:val="00AF5282"/>
    <w:rsid w:val="00AF5AE1"/>
    <w:rsid w:val="00AF5C20"/>
    <w:rsid w:val="00AF6106"/>
    <w:rsid w:val="00AF75D2"/>
    <w:rsid w:val="00AF7794"/>
    <w:rsid w:val="00AF7AD2"/>
    <w:rsid w:val="00AF7F45"/>
    <w:rsid w:val="00B00F72"/>
    <w:rsid w:val="00B010EF"/>
    <w:rsid w:val="00B01CC6"/>
    <w:rsid w:val="00B0312D"/>
    <w:rsid w:val="00B04DBC"/>
    <w:rsid w:val="00B05148"/>
    <w:rsid w:val="00B05D1B"/>
    <w:rsid w:val="00B06F87"/>
    <w:rsid w:val="00B0727A"/>
    <w:rsid w:val="00B076EE"/>
    <w:rsid w:val="00B07BA8"/>
    <w:rsid w:val="00B1092E"/>
    <w:rsid w:val="00B118AB"/>
    <w:rsid w:val="00B12369"/>
    <w:rsid w:val="00B128AA"/>
    <w:rsid w:val="00B12DB9"/>
    <w:rsid w:val="00B12E22"/>
    <w:rsid w:val="00B133A8"/>
    <w:rsid w:val="00B133F9"/>
    <w:rsid w:val="00B13417"/>
    <w:rsid w:val="00B134B0"/>
    <w:rsid w:val="00B14F72"/>
    <w:rsid w:val="00B1522C"/>
    <w:rsid w:val="00B1532A"/>
    <w:rsid w:val="00B1538A"/>
    <w:rsid w:val="00B15E86"/>
    <w:rsid w:val="00B16DCC"/>
    <w:rsid w:val="00B17B78"/>
    <w:rsid w:val="00B20076"/>
    <w:rsid w:val="00B20996"/>
    <w:rsid w:val="00B20AB5"/>
    <w:rsid w:val="00B20B83"/>
    <w:rsid w:val="00B20C05"/>
    <w:rsid w:val="00B21D6A"/>
    <w:rsid w:val="00B22C25"/>
    <w:rsid w:val="00B23FF1"/>
    <w:rsid w:val="00B2465D"/>
    <w:rsid w:val="00B246F3"/>
    <w:rsid w:val="00B2521E"/>
    <w:rsid w:val="00B258BA"/>
    <w:rsid w:val="00B25CF2"/>
    <w:rsid w:val="00B2612C"/>
    <w:rsid w:val="00B26802"/>
    <w:rsid w:val="00B27151"/>
    <w:rsid w:val="00B2772D"/>
    <w:rsid w:val="00B27B68"/>
    <w:rsid w:val="00B30185"/>
    <w:rsid w:val="00B3374B"/>
    <w:rsid w:val="00B34681"/>
    <w:rsid w:val="00B34E83"/>
    <w:rsid w:val="00B3559E"/>
    <w:rsid w:val="00B35B2E"/>
    <w:rsid w:val="00B35F50"/>
    <w:rsid w:val="00B363F3"/>
    <w:rsid w:val="00B3776F"/>
    <w:rsid w:val="00B37971"/>
    <w:rsid w:val="00B37BAA"/>
    <w:rsid w:val="00B37CD6"/>
    <w:rsid w:val="00B40B8F"/>
    <w:rsid w:val="00B417C3"/>
    <w:rsid w:val="00B4193F"/>
    <w:rsid w:val="00B4252E"/>
    <w:rsid w:val="00B425B5"/>
    <w:rsid w:val="00B42A0F"/>
    <w:rsid w:val="00B430D4"/>
    <w:rsid w:val="00B43311"/>
    <w:rsid w:val="00B43EC6"/>
    <w:rsid w:val="00B43F26"/>
    <w:rsid w:val="00B442B9"/>
    <w:rsid w:val="00B445A3"/>
    <w:rsid w:val="00B453AA"/>
    <w:rsid w:val="00B454BF"/>
    <w:rsid w:val="00B45BBF"/>
    <w:rsid w:val="00B4695E"/>
    <w:rsid w:val="00B46A99"/>
    <w:rsid w:val="00B471FA"/>
    <w:rsid w:val="00B47D4F"/>
    <w:rsid w:val="00B50603"/>
    <w:rsid w:val="00B508B1"/>
    <w:rsid w:val="00B50C3E"/>
    <w:rsid w:val="00B50F27"/>
    <w:rsid w:val="00B51FA8"/>
    <w:rsid w:val="00B52BB9"/>
    <w:rsid w:val="00B5406A"/>
    <w:rsid w:val="00B549DB"/>
    <w:rsid w:val="00B553FB"/>
    <w:rsid w:val="00B55984"/>
    <w:rsid w:val="00B55B3D"/>
    <w:rsid w:val="00B55D07"/>
    <w:rsid w:val="00B6025A"/>
    <w:rsid w:val="00B606E9"/>
    <w:rsid w:val="00B60A72"/>
    <w:rsid w:val="00B611C2"/>
    <w:rsid w:val="00B614CF"/>
    <w:rsid w:val="00B61D41"/>
    <w:rsid w:val="00B6209E"/>
    <w:rsid w:val="00B625E1"/>
    <w:rsid w:val="00B62B01"/>
    <w:rsid w:val="00B6303D"/>
    <w:rsid w:val="00B63591"/>
    <w:rsid w:val="00B6395E"/>
    <w:rsid w:val="00B63AA7"/>
    <w:rsid w:val="00B643BE"/>
    <w:rsid w:val="00B65584"/>
    <w:rsid w:val="00B65A48"/>
    <w:rsid w:val="00B66022"/>
    <w:rsid w:val="00B670E0"/>
    <w:rsid w:val="00B7032F"/>
    <w:rsid w:val="00B70BDC"/>
    <w:rsid w:val="00B71133"/>
    <w:rsid w:val="00B71180"/>
    <w:rsid w:val="00B715ED"/>
    <w:rsid w:val="00B718FF"/>
    <w:rsid w:val="00B71D7C"/>
    <w:rsid w:val="00B71E71"/>
    <w:rsid w:val="00B72595"/>
    <w:rsid w:val="00B7277D"/>
    <w:rsid w:val="00B72FC7"/>
    <w:rsid w:val="00B7323B"/>
    <w:rsid w:val="00B73C8D"/>
    <w:rsid w:val="00B73FE0"/>
    <w:rsid w:val="00B74722"/>
    <w:rsid w:val="00B74EC4"/>
    <w:rsid w:val="00B75702"/>
    <w:rsid w:val="00B75E30"/>
    <w:rsid w:val="00B766CB"/>
    <w:rsid w:val="00B76EDB"/>
    <w:rsid w:val="00B77797"/>
    <w:rsid w:val="00B80231"/>
    <w:rsid w:val="00B80C70"/>
    <w:rsid w:val="00B81313"/>
    <w:rsid w:val="00B82924"/>
    <w:rsid w:val="00B834DF"/>
    <w:rsid w:val="00B83935"/>
    <w:rsid w:val="00B839FA"/>
    <w:rsid w:val="00B84E3B"/>
    <w:rsid w:val="00B85217"/>
    <w:rsid w:val="00B85266"/>
    <w:rsid w:val="00B853A7"/>
    <w:rsid w:val="00B853CE"/>
    <w:rsid w:val="00B85F01"/>
    <w:rsid w:val="00B85FC7"/>
    <w:rsid w:val="00B8655B"/>
    <w:rsid w:val="00B86867"/>
    <w:rsid w:val="00B87509"/>
    <w:rsid w:val="00B87812"/>
    <w:rsid w:val="00B913AD"/>
    <w:rsid w:val="00B91E5F"/>
    <w:rsid w:val="00B92185"/>
    <w:rsid w:val="00B9427D"/>
    <w:rsid w:val="00B952B0"/>
    <w:rsid w:val="00B95755"/>
    <w:rsid w:val="00B963B6"/>
    <w:rsid w:val="00B96474"/>
    <w:rsid w:val="00B9674E"/>
    <w:rsid w:val="00B97147"/>
    <w:rsid w:val="00B97BC0"/>
    <w:rsid w:val="00B97F6F"/>
    <w:rsid w:val="00BA0281"/>
    <w:rsid w:val="00BA1011"/>
    <w:rsid w:val="00BA14DB"/>
    <w:rsid w:val="00BA1E93"/>
    <w:rsid w:val="00BA28D4"/>
    <w:rsid w:val="00BA2ED5"/>
    <w:rsid w:val="00BA306C"/>
    <w:rsid w:val="00BA3AB1"/>
    <w:rsid w:val="00BA3D29"/>
    <w:rsid w:val="00BA4C58"/>
    <w:rsid w:val="00BA4DB1"/>
    <w:rsid w:val="00BA6545"/>
    <w:rsid w:val="00BA7912"/>
    <w:rsid w:val="00BA7FD0"/>
    <w:rsid w:val="00BB011E"/>
    <w:rsid w:val="00BB052E"/>
    <w:rsid w:val="00BB1780"/>
    <w:rsid w:val="00BB1839"/>
    <w:rsid w:val="00BB1CDB"/>
    <w:rsid w:val="00BB1EC8"/>
    <w:rsid w:val="00BB26F4"/>
    <w:rsid w:val="00BB2DDF"/>
    <w:rsid w:val="00BB304B"/>
    <w:rsid w:val="00BB3A36"/>
    <w:rsid w:val="00BB4B41"/>
    <w:rsid w:val="00BB500D"/>
    <w:rsid w:val="00BB510E"/>
    <w:rsid w:val="00BB5F37"/>
    <w:rsid w:val="00BB6981"/>
    <w:rsid w:val="00BB6EEC"/>
    <w:rsid w:val="00BB7DF7"/>
    <w:rsid w:val="00BC026C"/>
    <w:rsid w:val="00BC02CA"/>
    <w:rsid w:val="00BC063F"/>
    <w:rsid w:val="00BC094A"/>
    <w:rsid w:val="00BC0D29"/>
    <w:rsid w:val="00BC1337"/>
    <w:rsid w:val="00BC2053"/>
    <w:rsid w:val="00BC2320"/>
    <w:rsid w:val="00BC2DBA"/>
    <w:rsid w:val="00BC47B0"/>
    <w:rsid w:val="00BC5042"/>
    <w:rsid w:val="00BC5F05"/>
    <w:rsid w:val="00BC63B1"/>
    <w:rsid w:val="00BC6F6F"/>
    <w:rsid w:val="00BD068C"/>
    <w:rsid w:val="00BD0B91"/>
    <w:rsid w:val="00BD1171"/>
    <w:rsid w:val="00BD2004"/>
    <w:rsid w:val="00BD4033"/>
    <w:rsid w:val="00BD60C6"/>
    <w:rsid w:val="00BE00A1"/>
    <w:rsid w:val="00BE28DA"/>
    <w:rsid w:val="00BE4772"/>
    <w:rsid w:val="00BE5379"/>
    <w:rsid w:val="00BF158A"/>
    <w:rsid w:val="00BF1F59"/>
    <w:rsid w:val="00BF2A94"/>
    <w:rsid w:val="00BF2E5B"/>
    <w:rsid w:val="00BF2FDC"/>
    <w:rsid w:val="00BF3632"/>
    <w:rsid w:val="00BF3AF1"/>
    <w:rsid w:val="00BF3F27"/>
    <w:rsid w:val="00BF4054"/>
    <w:rsid w:val="00BF498C"/>
    <w:rsid w:val="00BF4EAF"/>
    <w:rsid w:val="00BF569D"/>
    <w:rsid w:val="00BF56EC"/>
    <w:rsid w:val="00BF5912"/>
    <w:rsid w:val="00BF5BD7"/>
    <w:rsid w:val="00BF63FE"/>
    <w:rsid w:val="00BF67BE"/>
    <w:rsid w:val="00BF708E"/>
    <w:rsid w:val="00BF7098"/>
    <w:rsid w:val="00BF7B57"/>
    <w:rsid w:val="00BF7E3A"/>
    <w:rsid w:val="00C00A34"/>
    <w:rsid w:val="00C011F8"/>
    <w:rsid w:val="00C02A11"/>
    <w:rsid w:val="00C03E75"/>
    <w:rsid w:val="00C0445C"/>
    <w:rsid w:val="00C04F65"/>
    <w:rsid w:val="00C05E43"/>
    <w:rsid w:val="00C07989"/>
    <w:rsid w:val="00C07A6F"/>
    <w:rsid w:val="00C07F71"/>
    <w:rsid w:val="00C10DF7"/>
    <w:rsid w:val="00C1136C"/>
    <w:rsid w:val="00C11721"/>
    <w:rsid w:val="00C1200B"/>
    <w:rsid w:val="00C143EE"/>
    <w:rsid w:val="00C15047"/>
    <w:rsid w:val="00C15166"/>
    <w:rsid w:val="00C152F9"/>
    <w:rsid w:val="00C1690F"/>
    <w:rsid w:val="00C17F31"/>
    <w:rsid w:val="00C20EF7"/>
    <w:rsid w:val="00C21A62"/>
    <w:rsid w:val="00C22238"/>
    <w:rsid w:val="00C22869"/>
    <w:rsid w:val="00C230A8"/>
    <w:rsid w:val="00C23131"/>
    <w:rsid w:val="00C2317B"/>
    <w:rsid w:val="00C251A5"/>
    <w:rsid w:val="00C256B3"/>
    <w:rsid w:val="00C2587C"/>
    <w:rsid w:val="00C259A0"/>
    <w:rsid w:val="00C25B8C"/>
    <w:rsid w:val="00C2632B"/>
    <w:rsid w:val="00C26E3B"/>
    <w:rsid w:val="00C272EE"/>
    <w:rsid w:val="00C30187"/>
    <w:rsid w:val="00C3034D"/>
    <w:rsid w:val="00C303E6"/>
    <w:rsid w:val="00C304CC"/>
    <w:rsid w:val="00C30A1F"/>
    <w:rsid w:val="00C31222"/>
    <w:rsid w:val="00C31CC4"/>
    <w:rsid w:val="00C3257C"/>
    <w:rsid w:val="00C332B7"/>
    <w:rsid w:val="00C33600"/>
    <w:rsid w:val="00C33A6D"/>
    <w:rsid w:val="00C3410D"/>
    <w:rsid w:val="00C341B0"/>
    <w:rsid w:val="00C35865"/>
    <w:rsid w:val="00C35D3A"/>
    <w:rsid w:val="00C36C07"/>
    <w:rsid w:val="00C36EFE"/>
    <w:rsid w:val="00C3743B"/>
    <w:rsid w:val="00C37AE0"/>
    <w:rsid w:val="00C406B9"/>
    <w:rsid w:val="00C409EA"/>
    <w:rsid w:val="00C40A3C"/>
    <w:rsid w:val="00C417F4"/>
    <w:rsid w:val="00C422F6"/>
    <w:rsid w:val="00C43175"/>
    <w:rsid w:val="00C43808"/>
    <w:rsid w:val="00C43E33"/>
    <w:rsid w:val="00C44278"/>
    <w:rsid w:val="00C444BC"/>
    <w:rsid w:val="00C4541F"/>
    <w:rsid w:val="00C47A3F"/>
    <w:rsid w:val="00C47AAC"/>
    <w:rsid w:val="00C47FFA"/>
    <w:rsid w:val="00C51094"/>
    <w:rsid w:val="00C51FCB"/>
    <w:rsid w:val="00C52700"/>
    <w:rsid w:val="00C5270B"/>
    <w:rsid w:val="00C52977"/>
    <w:rsid w:val="00C52CAB"/>
    <w:rsid w:val="00C52F2B"/>
    <w:rsid w:val="00C53ED9"/>
    <w:rsid w:val="00C54425"/>
    <w:rsid w:val="00C55392"/>
    <w:rsid w:val="00C553B8"/>
    <w:rsid w:val="00C5590C"/>
    <w:rsid w:val="00C55C90"/>
    <w:rsid w:val="00C56478"/>
    <w:rsid w:val="00C567D5"/>
    <w:rsid w:val="00C5695B"/>
    <w:rsid w:val="00C57062"/>
    <w:rsid w:val="00C57A25"/>
    <w:rsid w:val="00C602D3"/>
    <w:rsid w:val="00C60899"/>
    <w:rsid w:val="00C61DD9"/>
    <w:rsid w:val="00C623BD"/>
    <w:rsid w:val="00C6263E"/>
    <w:rsid w:val="00C63F7B"/>
    <w:rsid w:val="00C652D3"/>
    <w:rsid w:val="00C66007"/>
    <w:rsid w:val="00C66680"/>
    <w:rsid w:val="00C66D30"/>
    <w:rsid w:val="00C673B7"/>
    <w:rsid w:val="00C6759C"/>
    <w:rsid w:val="00C679DE"/>
    <w:rsid w:val="00C67FC6"/>
    <w:rsid w:val="00C70F85"/>
    <w:rsid w:val="00C710F7"/>
    <w:rsid w:val="00C71771"/>
    <w:rsid w:val="00C72204"/>
    <w:rsid w:val="00C72BC6"/>
    <w:rsid w:val="00C73976"/>
    <w:rsid w:val="00C73A8F"/>
    <w:rsid w:val="00C7403C"/>
    <w:rsid w:val="00C752E1"/>
    <w:rsid w:val="00C76197"/>
    <w:rsid w:val="00C766DA"/>
    <w:rsid w:val="00C778F9"/>
    <w:rsid w:val="00C77BF0"/>
    <w:rsid w:val="00C804C2"/>
    <w:rsid w:val="00C80853"/>
    <w:rsid w:val="00C853A5"/>
    <w:rsid w:val="00C858B6"/>
    <w:rsid w:val="00C862FF"/>
    <w:rsid w:val="00C86E4D"/>
    <w:rsid w:val="00C87883"/>
    <w:rsid w:val="00C879BE"/>
    <w:rsid w:val="00C87FAD"/>
    <w:rsid w:val="00C910B5"/>
    <w:rsid w:val="00C91421"/>
    <w:rsid w:val="00C929F9"/>
    <w:rsid w:val="00C92ADB"/>
    <w:rsid w:val="00C92F05"/>
    <w:rsid w:val="00C94A65"/>
    <w:rsid w:val="00C95D9D"/>
    <w:rsid w:val="00C967A5"/>
    <w:rsid w:val="00C971E2"/>
    <w:rsid w:val="00CA0C24"/>
    <w:rsid w:val="00CA1C58"/>
    <w:rsid w:val="00CA25F1"/>
    <w:rsid w:val="00CA35F8"/>
    <w:rsid w:val="00CA5B93"/>
    <w:rsid w:val="00CA600F"/>
    <w:rsid w:val="00CA6205"/>
    <w:rsid w:val="00CA6E69"/>
    <w:rsid w:val="00CA7AC1"/>
    <w:rsid w:val="00CB089F"/>
    <w:rsid w:val="00CB1032"/>
    <w:rsid w:val="00CB1142"/>
    <w:rsid w:val="00CB1674"/>
    <w:rsid w:val="00CB1DE0"/>
    <w:rsid w:val="00CB24EF"/>
    <w:rsid w:val="00CB25ED"/>
    <w:rsid w:val="00CB2C98"/>
    <w:rsid w:val="00CB3554"/>
    <w:rsid w:val="00CB37A2"/>
    <w:rsid w:val="00CB4493"/>
    <w:rsid w:val="00CB48BC"/>
    <w:rsid w:val="00CB5408"/>
    <w:rsid w:val="00CB5A29"/>
    <w:rsid w:val="00CB5EC7"/>
    <w:rsid w:val="00CB6317"/>
    <w:rsid w:val="00CB727E"/>
    <w:rsid w:val="00CB78B9"/>
    <w:rsid w:val="00CC0305"/>
    <w:rsid w:val="00CC03BE"/>
    <w:rsid w:val="00CC0BAE"/>
    <w:rsid w:val="00CC1974"/>
    <w:rsid w:val="00CC1AD5"/>
    <w:rsid w:val="00CC1E2B"/>
    <w:rsid w:val="00CC1E3B"/>
    <w:rsid w:val="00CC2448"/>
    <w:rsid w:val="00CC27F7"/>
    <w:rsid w:val="00CC3115"/>
    <w:rsid w:val="00CC38B2"/>
    <w:rsid w:val="00CC3A18"/>
    <w:rsid w:val="00CC4607"/>
    <w:rsid w:val="00CC49B9"/>
    <w:rsid w:val="00CC52F2"/>
    <w:rsid w:val="00CC68A4"/>
    <w:rsid w:val="00CC6A56"/>
    <w:rsid w:val="00CC7D3B"/>
    <w:rsid w:val="00CD1BC5"/>
    <w:rsid w:val="00CD255C"/>
    <w:rsid w:val="00CD25A4"/>
    <w:rsid w:val="00CD2668"/>
    <w:rsid w:val="00CD2819"/>
    <w:rsid w:val="00CD3687"/>
    <w:rsid w:val="00CD3857"/>
    <w:rsid w:val="00CD4350"/>
    <w:rsid w:val="00CD47E4"/>
    <w:rsid w:val="00CD4829"/>
    <w:rsid w:val="00CD499E"/>
    <w:rsid w:val="00CD5C64"/>
    <w:rsid w:val="00CD688F"/>
    <w:rsid w:val="00CD7346"/>
    <w:rsid w:val="00CD757B"/>
    <w:rsid w:val="00CD79E2"/>
    <w:rsid w:val="00CE0018"/>
    <w:rsid w:val="00CE0D8D"/>
    <w:rsid w:val="00CE14E2"/>
    <w:rsid w:val="00CE1848"/>
    <w:rsid w:val="00CE2F20"/>
    <w:rsid w:val="00CE347A"/>
    <w:rsid w:val="00CE4416"/>
    <w:rsid w:val="00CE47F9"/>
    <w:rsid w:val="00CE4A43"/>
    <w:rsid w:val="00CE4BF3"/>
    <w:rsid w:val="00CE4EF1"/>
    <w:rsid w:val="00CE5284"/>
    <w:rsid w:val="00CE5A43"/>
    <w:rsid w:val="00CE5EDE"/>
    <w:rsid w:val="00CE7F67"/>
    <w:rsid w:val="00CF0068"/>
    <w:rsid w:val="00CF0A22"/>
    <w:rsid w:val="00CF0C05"/>
    <w:rsid w:val="00CF166C"/>
    <w:rsid w:val="00CF1706"/>
    <w:rsid w:val="00CF1887"/>
    <w:rsid w:val="00CF1EF4"/>
    <w:rsid w:val="00CF3A71"/>
    <w:rsid w:val="00CF3B74"/>
    <w:rsid w:val="00CF3FE4"/>
    <w:rsid w:val="00CF428C"/>
    <w:rsid w:val="00CF4499"/>
    <w:rsid w:val="00CF4A67"/>
    <w:rsid w:val="00CF4BFF"/>
    <w:rsid w:val="00CF4CD8"/>
    <w:rsid w:val="00CF5A02"/>
    <w:rsid w:val="00CF5CFF"/>
    <w:rsid w:val="00CF607F"/>
    <w:rsid w:val="00CF7EE6"/>
    <w:rsid w:val="00D00650"/>
    <w:rsid w:val="00D006AD"/>
    <w:rsid w:val="00D01130"/>
    <w:rsid w:val="00D012DB"/>
    <w:rsid w:val="00D01ED0"/>
    <w:rsid w:val="00D034E5"/>
    <w:rsid w:val="00D036C8"/>
    <w:rsid w:val="00D03A04"/>
    <w:rsid w:val="00D04013"/>
    <w:rsid w:val="00D04381"/>
    <w:rsid w:val="00D0469F"/>
    <w:rsid w:val="00D0488F"/>
    <w:rsid w:val="00D05154"/>
    <w:rsid w:val="00D06C62"/>
    <w:rsid w:val="00D07785"/>
    <w:rsid w:val="00D0781D"/>
    <w:rsid w:val="00D10B23"/>
    <w:rsid w:val="00D1125B"/>
    <w:rsid w:val="00D1136C"/>
    <w:rsid w:val="00D1247C"/>
    <w:rsid w:val="00D124C2"/>
    <w:rsid w:val="00D125D8"/>
    <w:rsid w:val="00D12B6F"/>
    <w:rsid w:val="00D13EE9"/>
    <w:rsid w:val="00D13FE0"/>
    <w:rsid w:val="00D1409E"/>
    <w:rsid w:val="00D14BED"/>
    <w:rsid w:val="00D154C9"/>
    <w:rsid w:val="00D160EB"/>
    <w:rsid w:val="00D1646D"/>
    <w:rsid w:val="00D203DA"/>
    <w:rsid w:val="00D20B4A"/>
    <w:rsid w:val="00D20C89"/>
    <w:rsid w:val="00D20F9F"/>
    <w:rsid w:val="00D21CD4"/>
    <w:rsid w:val="00D21FE7"/>
    <w:rsid w:val="00D221A1"/>
    <w:rsid w:val="00D22334"/>
    <w:rsid w:val="00D22451"/>
    <w:rsid w:val="00D2268D"/>
    <w:rsid w:val="00D234C4"/>
    <w:rsid w:val="00D23A18"/>
    <w:rsid w:val="00D24ADD"/>
    <w:rsid w:val="00D24D2B"/>
    <w:rsid w:val="00D24D5E"/>
    <w:rsid w:val="00D2568F"/>
    <w:rsid w:val="00D25872"/>
    <w:rsid w:val="00D25935"/>
    <w:rsid w:val="00D259C7"/>
    <w:rsid w:val="00D26A0B"/>
    <w:rsid w:val="00D2712A"/>
    <w:rsid w:val="00D274EC"/>
    <w:rsid w:val="00D2755F"/>
    <w:rsid w:val="00D27ACA"/>
    <w:rsid w:val="00D27C7F"/>
    <w:rsid w:val="00D30CB3"/>
    <w:rsid w:val="00D311D2"/>
    <w:rsid w:val="00D31880"/>
    <w:rsid w:val="00D3244E"/>
    <w:rsid w:val="00D32952"/>
    <w:rsid w:val="00D3365E"/>
    <w:rsid w:val="00D33CCD"/>
    <w:rsid w:val="00D33D0A"/>
    <w:rsid w:val="00D34265"/>
    <w:rsid w:val="00D346F2"/>
    <w:rsid w:val="00D362A0"/>
    <w:rsid w:val="00D36670"/>
    <w:rsid w:val="00D375E3"/>
    <w:rsid w:val="00D37B04"/>
    <w:rsid w:val="00D405DC"/>
    <w:rsid w:val="00D41288"/>
    <w:rsid w:val="00D415E9"/>
    <w:rsid w:val="00D41DC9"/>
    <w:rsid w:val="00D4276B"/>
    <w:rsid w:val="00D432F9"/>
    <w:rsid w:val="00D43519"/>
    <w:rsid w:val="00D43A36"/>
    <w:rsid w:val="00D43CBF"/>
    <w:rsid w:val="00D4413B"/>
    <w:rsid w:val="00D44937"/>
    <w:rsid w:val="00D44C63"/>
    <w:rsid w:val="00D45BEE"/>
    <w:rsid w:val="00D465B1"/>
    <w:rsid w:val="00D4684E"/>
    <w:rsid w:val="00D46EF7"/>
    <w:rsid w:val="00D4742A"/>
    <w:rsid w:val="00D47A0B"/>
    <w:rsid w:val="00D47F1D"/>
    <w:rsid w:val="00D50EE6"/>
    <w:rsid w:val="00D52165"/>
    <w:rsid w:val="00D52BE6"/>
    <w:rsid w:val="00D53112"/>
    <w:rsid w:val="00D533A2"/>
    <w:rsid w:val="00D53891"/>
    <w:rsid w:val="00D53F37"/>
    <w:rsid w:val="00D56684"/>
    <w:rsid w:val="00D57D26"/>
    <w:rsid w:val="00D60B87"/>
    <w:rsid w:val="00D61DDD"/>
    <w:rsid w:val="00D63D98"/>
    <w:rsid w:val="00D63EF9"/>
    <w:rsid w:val="00D63FEF"/>
    <w:rsid w:val="00D65B88"/>
    <w:rsid w:val="00D669BC"/>
    <w:rsid w:val="00D7053F"/>
    <w:rsid w:val="00D71F9B"/>
    <w:rsid w:val="00D73015"/>
    <w:rsid w:val="00D73923"/>
    <w:rsid w:val="00D740B2"/>
    <w:rsid w:val="00D7472D"/>
    <w:rsid w:val="00D74A53"/>
    <w:rsid w:val="00D75139"/>
    <w:rsid w:val="00D7537F"/>
    <w:rsid w:val="00D762C2"/>
    <w:rsid w:val="00D766EA"/>
    <w:rsid w:val="00D7678D"/>
    <w:rsid w:val="00D77099"/>
    <w:rsid w:val="00D77276"/>
    <w:rsid w:val="00D77670"/>
    <w:rsid w:val="00D77707"/>
    <w:rsid w:val="00D77953"/>
    <w:rsid w:val="00D808A8"/>
    <w:rsid w:val="00D80DA5"/>
    <w:rsid w:val="00D814D5"/>
    <w:rsid w:val="00D82134"/>
    <w:rsid w:val="00D82BAD"/>
    <w:rsid w:val="00D82C68"/>
    <w:rsid w:val="00D84825"/>
    <w:rsid w:val="00D852CC"/>
    <w:rsid w:val="00D85506"/>
    <w:rsid w:val="00D85BD5"/>
    <w:rsid w:val="00D860C5"/>
    <w:rsid w:val="00D87BA7"/>
    <w:rsid w:val="00D9014F"/>
    <w:rsid w:val="00D906E5"/>
    <w:rsid w:val="00D9086B"/>
    <w:rsid w:val="00D90EC3"/>
    <w:rsid w:val="00D90EE2"/>
    <w:rsid w:val="00D921DC"/>
    <w:rsid w:val="00D941DB"/>
    <w:rsid w:val="00D954E5"/>
    <w:rsid w:val="00D95D90"/>
    <w:rsid w:val="00D95D94"/>
    <w:rsid w:val="00D95F99"/>
    <w:rsid w:val="00D960B7"/>
    <w:rsid w:val="00D96E2F"/>
    <w:rsid w:val="00D976D6"/>
    <w:rsid w:val="00DA08E3"/>
    <w:rsid w:val="00DA0B5D"/>
    <w:rsid w:val="00DA136A"/>
    <w:rsid w:val="00DA16F3"/>
    <w:rsid w:val="00DA395F"/>
    <w:rsid w:val="00DA39C3"/>
    <w:rsid w:val="00DA4637"/>
    <w:rsid w:val="00DA4F08"/>
    <w:rsid w:val="00DA5111"/>
    <w:rsid w:val="00DA5A00"/>
    <w:rsid w:val="00DA5C2F"/>
    <w:rsid w:val="00DA61B0"/>
    <w:rsid w:val="00DA6E3B"/>
    <w:rsid w:val="00DA7495"/>
    <w:rsid w:val="00DB10FA"/>
    <w:rsid w:val="00DB1D97"/>
    <w:rsid w:val="00DB2399"/>
    <w:rsid w:val="00DB41D0"/>
    <w:rsid w:val="00DB498F"/>
    <w:rsid w:val="00DB4C63"/>
    <w:rsid w:val="00DB59B7"/>
    <w:rsid w:val="00DB650A"/>
    <w:rsid w:val="00DB6EA1"/>
    <w:rsid w:val="00DB75C9"/>
    <w:rsid w:val="00DC271A"/>
    <w:rsid w:val="00DC2AC7"/>
    <w:rsid w:val="00DC342E"/>
    <w:rsid w:val="00DC3FA8"/>
    <w:rsid w:val="00DC5624"/>
    <w:rsid w:val="00DC6A26"/>
    <w:rsid w:val="00DC6ADF"/>
    <w:rsid w:val="00DC715E"/>
    <w:rsid w:val="00DC759C"/>
    <w:rsid w:val="00DD0675"/>
    <w:rsid w:val="00DD0951"/>
    <w:rsid w:val="00DD121F"/>
    <w:rsid w:val="00DD1257"/>
    <w:rsid w:val="00DD169A"/>
    <w:rsid w:val="00DD1885"/>
    <w:rsid w:val="00DD1957"/>
    <w:rsid w:val="00DD3430"/>
    <w:rsid w:val="00DD5146"/>
    <w:rsid w:val="00DD515F"/>
    <w:rsid w:val="00DD53A2"/>
    <w:rsid w:val="00DD551A"/>
    <w:rsid w:val="00DD6060"/>
    <w:rsid w:val="00DD6232"/>
    <w:rsid w:val="00DD69C3"/>
    <w:rsid w:val="00DD6FA0"/>
    <w:rsid w:val="00DD6FA2"/>
    <w:rsid w:val="00DD714F"/>
    <w:rsid w:val="00DD7721"/>
    <w:rsid w:val="00DD77F6"/>
    <w:rsid w:val="00DE0175"/>
    <w:rsid w:val="00DE0B18"/>
    <w:rsid w:val="00DE1A94"/>
    <w:rsid w:val="00DE1BB2"/>
    <w:rsid w:val="00DE3586"/>
    <w:rsid w:val="00DE488D"/>
    <w:rsid w:val="00DE4C4C"/>
    <w:rsid w:val="00DE4CD7"/>
    <w:rsid w:val="00DE76D1"/>
    <w:rsid w:val="00DE7B52"/>
    <w:rsid w:val="00DF0E93"/>
    <w:rsid w:val="00DF176E"/>
    <w:rsid w:val="00DF1B08"/>
    <w:rsid w:val="00DF27EF"/>
    <w:rsid w:val="00DF352D"/>
    <w:rsid w:val="00DF360E"/>
    <w:rsid w:val="00DF3A80"/>
    <w:rsid w:val="00DF4C59"/>
    <w:rsid w:val="00DF510A"/>
    <w:rsid w:val="00DF55D4"/>
    <w:rsid w:val="00DF6971"/>
    <w:rsid w:val="00DF734A"/>
    <w:rsid w:val="00DF79CE"/>
    <w:rsid w:val="00E003E2"/>
    <w:rsid w:val="00E00869"/>
    <w:rsid w:val="00E00A07"/>
    <w:rsid w:val="00E00C3D"/>
    <w:rsid w:val="00E014DB"/>
    <w:rsid w:val="00E01BCE"/>
    <w:rsid w:val="00E02447"/>
    <w:rsid w:val="00E02C59"/>
    <w:rsid w:val="00E02D52"/>
    <w:rsid w:val="00E032FF"/>
    <w:rsid w:val="00E04D42"/>
    <w:rsid w:val="00E04EE7"/>
    <w:rsid w:val="00E06051"/>
    <w:rsid w:val="00E0667E"/>
    <w:rsid w:val="00E072AB"/>
    <w:rsid w:val="00E0757F"/>
    <w:rsid w:val="00E101BE"/>
    <w:rsid w:val="00E106ED"/>
    <w:rsid w:val="00E11A69"/>
    <w:rsid w:val="00E11E56"/>
    <w:rsid w:val="00E12D3A"/>
    <w:rsid w:val="00E134DD"/>
    <w:rsid w:val="00E13E24"/>
    <w:rsid w:val="00E1541A"/>
    <w:rsid w:val="00E15F27"/>
    <w:rsid w:val="00E170F7"/>
    <w:rsid w:val="00E17F03"/>
    <w:rsid w:val="00E201FE"/>
    <w:rsid w:val="00E20F45"/>
    <w:rsid w:val="00E21390"/>
    <w:rsid w:val="00E21DDB"/>
    <w:rsid w:val="00E22774"/>
    <w:rsid w:val="00E22ED0"/>
    <w:rsid w:val="00E231F6"/>
    <w:rsid w:val="00E2388A"/>
    <w:rsid w:val="00E241B5"/>
    <w:rsid w:val="00E2432B"/>
    <w:rsid w:val="00E24ED1"/>
    <w:rsid w:val="00E26C04"/>
    <w:rsid w:val="00E26E2C"/>
    <w:rsid w:val="00E276A3"/>
    <w:rsid w:val="00E27922"/>
    <w:rsid w:val="00E30446"/>
    <w:rsid w:val="00E30DD0"/>
    <w:rsid w:val="00E31F7F"/>
    <w:rsid w:val="00E321B3"/>
    <w:rsid w:val="00E32DE1"/>
    <w:rsid w:val="00E334EA"/>
    <w:rsid w:val="00E336EC"/>
    <w:rsid w:val="00E35F52"/>
    <w:rsid w:val="00E36893"/>
    <w:rsid w:val="00E36B3B"/>
    <w:rsid w:val="00E370E8"/>
    <w:rsid w:val="00E373EB"/>
    <w:rsid w:val="00E402EF"/>
    <w:rsid w:val="00E40DDD"/>
    <w:rsid w:val="00E4103F"/>
    <w:rsid w:val="00E4108F"/>
    <w:rsid w:val="00E431C9"/>
    <w:rsid w:val="00E441D6"/>
    <w:rsid w:val="00E44454"/>
    <w:rsid w:val="00E448C8"/>
    <w:rsid w:val="00E455FE"/>
    <w:rsid w:val="00E46EB9"/>
    <w:rsid w:val="00E5058B"/>
    <w:rsid w:val="00E50D56"/>
    <w:rsid w:val="00E5113D"/>
    <w:rsid w:val="00E51174"/>
    <w:rsid w:val="00E5133F"/>
    <w:rsid w:val="00E518F2"/>
    <w:rsid w:val="00E51CEF"/>
    <w:rsid w:val="00E525CF"/>
    <w:rsid w:val="00E52B9A"/>
    <w:rsid w:val="00E532A8"/>
    <w:rsid w:val="00E53E8C"/>
    <w:rsid w:val="00E5494F"/>
    <w:rsid w:val="00E550D3"/>
    <w:rsid w:val="00E55398"/>
    <w:rsid w:val="00E55DBB"/>
    <w:rsid w:val="00E563DF"/>
    <w:rsid w:val="00E56E06"/>
    <w:rsid w:val="00E56F7E"/>
    <w:rsid w:val="00E57881"/>
    <w:rsid w:val="00E57987"/>
    <w:rsid w:val="00E60091"/>
    <w:rsid w:val="00E6022A"/>
    <w:rsid w:val="00E61181"/>
    <w:rsid w:val="00E619BD"/>
    <w:rsid w:val="00E61B4A"/>
    <w:rsid w:val="00E61E4E"/>
    <w:rsid w:val="00E62794"/>
    <w:rsid w:val="00E62E67"/>
    <w:rsid w:val="00E62E6F"/>
    <w:rsid w:val="00E635FF"/>
    <w:rsid w:val="00E64671"/>
    <w:rsid w:val="00E65DD7"/>
    <w:rsid w:val="00E675BD"/>
    <w:rsid w:val="00E676E0"/>
    <w:rsid w:val="00E678EA"/>
    <w:rsid w:val="00E70430"/>
    <w:rsid w:val="00E7066E"/>
    <w:rsid w:val="00E70A80"/>
    <w:rsid w:val="00E7306D"/>
    <w:rsid w:val="00E73523"/>
    <w:rsid w:val="00E757D7"/>
    <w:rsid w:val="00E7600E"/>
    <w:rsid w:val="00E76301"/>
    <w:rsid w:val="00E763D1"/>
    <w:rsid w:val="00E76659"/>
    <w:rsid w:val="00E80871"/>
    <w:rsid w:val="00E80C03"/>
    <w:rsid w:val="00E80E60"/>
    <w:rsid w:val="00E8157C"/>
    <w:rsid w:val="00E81767"/>
    <w:rsid w:val="00E82AD8"/>
    <w:rsid w:val="00E83797"/>
    <w:rsid w:val="00E840CE"/>
    <w:rsid w:val="00E85048"/>
    <w:rsid w:val="00E8597D"/>
    <w:rsid w:val="00E859FF"/>
    <w:rsid w:val="00E86150"/>
    <w:rsid w:val="00E869AF"/>
    <w:rsid w:val="00E902CB"/>
    <w:rsid w:val="00E903E5"/>
    <w:rsid w:val="00E90C7D"/>
    <w:rsid w:val="00E9354F"/>
    <w:rsid w:val="00E93BDF"/>
    <w:rsid w:val="00E93F13"/>
    <w:rsid w:val="00E95AFB"/>
    <w:rsid w:val="00E95C2D"/>
    <w:rsid w:val="00E95F37"/>
    <w:rsid w:val="00E96735"/>
    <w:rsid w:val="00E97410"/>
    <w:rsid w:val="00E97C4B"/>
    <w:rsid w:val="00E97E56"/>
    <w:rsid w:val="00E97FED"/>
    <w:rsid w:val="00EA00A3"/>
    <w:rsid w:val="00EA013A"/>
    <w:rsid w:val="00EA1234"/>
    <w:rsid w:val="00EA30B8"/>
    <w:rsid w:val="00EA46E8"/>
    <w:rsid w:val="00EA4830"/>
    <w:rsid w:val="00EA4AC7"/>
    <w:rsid w:val="00EA4CF5"/>
    <w:rsid w:val="00EA6582"/>
    <w:rsid w:val="00EA6B80"/>
    <w:rsid w:val="00EA6C70"/>
    <w:rsid w:val="00EA6CFC"/>
    <w:rsid w:val="00EA6D4A"/>
    <w:rsid w:val="00EB0F39"/>
    <w:rsid w:val="00EB1BC9"/>
    <w:rsid w:val="00EB5DD3"/>
    <w:rsid w:val="00EB5E2F"/>
    <w:rsid w:val="00EB69AC"/>
    <w:rsid w:val="00EB69FD"/>
    <w:rsid w:val="00EB6C4F"/>
    <w:rsid w:val="00EB6DD6"/>
    <w:rsid w:val="00EB7332"/>
    <w:rsid w:val="00EB73C9"/>
    <w:rsid w:val="00EC1085"/>
    <w:rsid w:val="00EC1815"/>
    <w:rsid w:val="00EC2254"/>
    <w:rsid w:val="00EC3492"/>
    <w:rsid w:val="00EC406D"/>
    <w:rsid w:val="00EC426E"/>
    <w:rsid w:val="00EC44AD"/>
    <w:rsid w:val="00EC5209"/>
    <w:rsid w:val="00EC54FF"/>
    <w:rsid w:val="00EC7227"/>
    <w:rsid w:val="00EC76B4"/>
    <w:rsid w:val="00EC7800"/>
    <w:rsid w:val="00ED1398"/>
    <w:rsid w:val="00ED1C82"/>
    <w:rsid w:val="00ED1CE5"/>
    <w:rsid w:val="00ED24A9"/>
    <w:rsid w:val="00ED32AD"/>
    <w:rsid w:val="00ED37A7"/>
    <w:rsid w:val="00ED3AD2"/>
    <w:rsid w:val="00ED52E5"/>
    <w:rsid w:val="00ED59F5"/>
    <w:rsid w:val="00ED5E64"/>
    <w:rsid w:val="00ED6F17"/>
    <w:rsid w:val="00ED73E9"/>
    <w:rsid w:val="00ED74FC"/>
    <w:rsid w:val="00EE1326"/>
    <w:rsid w:val="00EE174F"/>
    <w:rsid w:val="00EE1EC7"/>
    <w:rsid w:val="00EE2770"/>
    <w:rsid w:val="00EE30B7"/>
    <w:rsid w:val="00EE32D9"/>
    <w:rsid w:val="00EE3582"/>
    <w:rsid w:val="00EE3C5F"/>
    <w:rsid w:val="00EE444C"/>
    <w:rsid w:val="00EE539D"/>
    <w:rsid w:val="00EE5808"/>
    <w:rsid w:val="00EE5B1F"/>
    <w:rsid w:val="00EE5CFD"/>
    <w:rsid w:val="00EE6018"/>
    <w:rsid w:val="00EE6375"/>
    <w:rsid w:val="00EE738B"/>
    <w:rsid w:val="00EE7E16"/>
    <w:rsid w:val="00EF03C7"/>
    <w:rsid w:val="00EF068B"/>
    <w:rsid w:val="00EF0A10"/>
    <w:rsid w:val="00EF0A89"/>
    <w:rsid w:val="00EF17D4"/>
    <w:rsid w:val="00EF28CB"/>
    <w:rsid w:val="00EF28EF"/>
    <w:rsid w:val="00EF3137"/>
    <w:rsid w:val="00EF38A7"/>
    <w:rsid w:val="00EF402C"/>
    <w:rsid w:val="00EF4499"/>
    <w:rsid w:val="00EF5038"/>
    <w:rsid w:val="00EF612A"/>
    <w:rsid w:val="00EF661C"/>
    <w:rsid w:val="00EF7A3A"/>
    <w:rsid w:val="00F00C63"/>
    <w:rsid w:val="00F00E70"/>
    <w:rsid w:val="00F01969"/>
    <w:rsid w:val="00F01D56"/>
    <w:rsid w:val="00F0319D"/>
    <w:rsid w:val="00F03D36"/>
    <w:rsid w:val="00F04BAE"/>
    <w:rsid w:val="00F075CD"/>
    <w:rsid w:val="00F113E6"/>
    <w:rsid w:val="00F11C7A"/>
    <w:rsid w:val="00F1235B"/>
    <w:rsid w:val="00F12D29"/>
    <w:rsid w:val="00F1309A"/>
    <w:rsid w:val="00F14DD0"/>
    <w:rsid w:val="00F1507F"/>
    <w:rsid w:val="00F16D80"/>
    <w:rsid w:val="00F16FD1"/>
    <w:rsid w:val="00F17342"/>
    <w:rsid w:val="00F1741B"/>
    <w:rsid w:val="00F17BB0"/>
    <w:rsid w:val="00F20140"/>
    <w:rsid w:val="00F208EA"/>
    <w:rsid w:val="00F21263"/>
    <w:rsid w:val="00F21480"/>
    <w:rsid w:val="00F21D5F"/>
    <w:rsid w:val="00F21E8C"/>
    <w:rsid w:val="00F225E7"/>
    <w:rsid w:val="00F227CC"/>
    <w:rsid w:val="00F22A17"/>
    <w:rsid w:val="00F23238"/>
    <w:rsid w:val="00F2336E"/>
    <w:rsid w:val="00F25DDF"/>
    <w:rsid w:val="00F26113"/>
    <w:rsid w:val="00F26560"/>
    <w:rsid w:val="00F26F19"/>
    <w:rsid w:val="00F2715F"/>
    <w:rsid w:val="00F27BAC"/>
    <w:rsid w:val="00F27DCA"/>
    <w:rsid w:val="00F27F3B"/>
    <w:rsid w:val="00F31008"/>
    <w:rsid w:val="00F31F6E"/>
    <w:rsid w:val="00F31FA6"/>
    <w:rsid w:val="00F32774"/>
    <w:rsid w:val="00F327D4"/>
    <w:rsid w:val="00F3347E"/>
    <w:rsid w:val="00F334B6"/>
    <w:rsid w:val="00F33E05"/>
    <w:rsid w:val="00F34E77"/>
    <w:rsid w:val="00F354E2"/>
    <w:rsid w:val="00F35D7F"/>
    <w:rsid w:val="00F37028"/>
    <w:rsid w:val="00F3776A"/>
    <w:rsid w:val="00F37AFB"/>
    <w:rsid w:val="00F37F00"/>
    <w:rsid w:val="00F405D3"/>
    <w:rsid w:val="00F41D1D"/>
    <w:rsid w:val="00F41FE7"/>
    <w:rsid w:val="00F42405"/>
    <w:rsid w:val="00F43A64"/>
    <w:rsid w:val="00F458F7"/>
    <w:rsid w:val="00F45A84"/>
    <w:rsid w:val="00F46B09"/>
    <w:rsid w:val="00F46D44"/>
    <w:rsid w:val="00F479B3"/>
    <w:rsid w:val="00F50C89"/>
    <w:rsid w:val="00F50CFA"/>
    <w:rsid w:val="00F51BA6"/>
    <w:rsid w:val="00F53431"/>
    <w:rsid w:val="00F54F73"/>
    <w:rsid w:val="00F5508B"/>
    <w:rsid w:val="00F5526C"/>
    <w:rsid w:val="00F55CB1"/>
    <w:rsid w:val="00F5638B"/>
    <w:rsid w:val="00F5643C"/>
    <w:rsid w:val="00F56535"/>
    <w:rsid w:val="00F574EC"/>
    <w:rsid w:val="00F57C2C"/>
    <w:rsid w:val="00F60161"/>
    <w:rsid w:val="00F60970"/>
    <w:rsid w:val="00F6120B"/>
    <w:rsid w:val="00F616E0"/>
    <w:rsid w:val="00F61AD6"/>
    <w:rsid w:val="00F61B6F"/>
    <w:rsid w:val="00F62E9B"/>
    <w:rsid w:val="00F630DB"/>
    <w:rsid w:val="00F631D6"/>
    <w:rsid w:val="00F63AB7"/>
    <w:rsid w:val="00F63E81"/>
    <w:rsid w:val="00F649A0"/>
    <w:rsid w:val="00F65A20"/>
    <w:rsid w:val="00F66007"/>
    <w:rsid w:val="00F66281"/>
    <w:rsid w:val="00F66331"/>
    <w:rsid w:val="00F66718"/>
    <w:rsid w:val="00F67CC1"/>
    <w:rsid w:val="00F70408"/>
    <w:rsid w:val="00F71075"/>
    <w:rsid w:val="00F7110F"/>
    <w:rsid w:val="00F7186F"/>
    <w:rsid w:val="00F71B8F"/>
    <w:rsid w:val="00F71F8D"/>
    <w:rsid w:val="00F7282C"/>
    <w:rsid w:val="00F73564"/>
    <w:rsid w:val="00F737D3"/>
    <w:rsid w:val="00F762B6"/>
    <w:rsid w:val="00F76C0D"/>
    <w:rsid w:val="00F76D6D"/>
    <w:rsid w:val="00F76EEA"/>
    <w:rsid w:val="00F77A4C"/>
    <w:rsid w:val="00F8103E"/>
    <w:rsid w:val="00F81825"/>
    <w:rsid w:val="00F820C0"/>
    <w:rsid w:val="00F8222C"/>
    <w:rsid w:val="00F82607"/>
    <w:rsid w:val="00F82E98"/>
    <w:rsid w:val="00F830F9"/>
    <w:rsid w:val="00F83307"/>
    <w:rsid w:val="00F83446"/>
    <w:rsid w:val="00F84003"/>
    <w:rsid w:val="00F84859"/>
    <w:rsid w:val="00F8583D"/>
    <w:rsid w:val="00F8699A"/>
    <w:rsid w:val="00F87318"/>
    <w:rsid w:val="00F87401"/>
    <w:rsid w:val="00F875DF"/>
    <w:rsid w:val="00F877A6"/>
    <w:rsid w:val="00F8796E"/>
    <w:rsid w:val="00F903CB"/>
    <w:rsid w:val="00F911EA"/>
    <w:rsid w:val="00F9179E"/>
    <w:rsid w:val="00F91D6B"/>
    <w:rsid w:val="00F924BE"/>
    <w:rsid w:val="00F933CE"/>
    <w:rsid w:val="00F94202"/>
    <w:rsid w:val="00F94AE6"/>
    <w:rsid w:val="00F94E98"/>
    <w:rsid w:val="00F956B4"/>
    <w:rsid w:val="00F96D82"/>
    <w:rsid w:val="00F975B7"/>
    <w:rsid w:val="00FA03F6"/>
    <w:rsid w:val="00FA04CC"/>
    <w:rsid w:val="00FA0FEB"/>
    <w:rsid w:val="00FA1A3C"/>
    <w:rsid w:val="00FA2005"/>
    <w:rsid w:val="00FA2133"/>
    <w:rsid w:val="00FA2871"/>
    <w:rsid w:val="00FA2F3E"/>
    <w:rsid w:val="00FA4F10"/>
    <w:rsid w:val="00FA533A"/>
    <w:rsid w:val="00FA7BB3"/>
    <w:rsid w:val="00FB0872"/>
    <w:rsid w:val="00FB0904"/>
    <w:rsid w:val="00FB09F1"/>
    <w:rsid w:val="00FB1116"/>
    <w:rsid w:val="00FB16F6"/>
    <w:rsid w:val="00FB17D9"/>
    <w:rsid w:val="00FB1D40"/>
    <w:rsid w:val="00FB2236"/>
    <w:rsid w:val="00FB28FE"/>
    <w:rsid w:val="00FB33E2"/>
    <w:rsid w:val="00FB3DE2"/>
    <w:rsid w:val="00FB4B02"/>
    <w:rsid w:val="00FB6086"/>
    <w:rsid w:val="00FB6504"/>
    <w:rsid w:val="00FC00BC"/>
    <w:rsid w:val="00FC1554"/>
    <w:rsid w:val="00FC1A16"/>
    <w:rsid w:val="00FC2028"/>
    <w:rsid w:val="00FC26E7"/>
    <w:rsid w:val="00FC4496"/>
    <w:rsid w:val="00FC4A6A"/>
    <w:rsid w:val="00FC4EE9"/>
    <w:rsid w:val="00FC59A6"/>
    <w:rsid w:val="00FC5B9D"/>
    <w:rsid w:val="00FC7756"/>
    <w:rsid w:val="00FD0608"/>
    <w:rsid w:val="00FD0D46"/>
    <w:rsid w:val="00FD129D"/>
    <w:rsid w:val="00FD1719"/>
    <w:rsid w:val="00FD24B7"/>
    <w:rsid w:val="00FD274A"/>
    <w:rsid w:val="00FD2DCA"/>
    <w:rsid w:val="00FD3812"/>
    <w:rsid w:val="00FD3AF4"/>
    <w:rsid w:val="00FD5746"/>
    <w:rsid w:val="00FD6F05"/>
    <w:rsid w:val="00FD7715"/>
    <w:rsid w:val="00FE2C75"/>
    <w:rsid w:val="00FE38D6"/>
    <w:rsid w:val="00FE40CD"/>
    <w:rsid w:val="00FE42CB"/>
    <w:rsid w:val="00FE4526"/>
    <w:rsid w:val="00FE54EE"/>
    <w:rsid w:val="00FE5806"/>
    <w:rsid w:val="00FE6081"/>
    <w:rsid w:val="00FE6427"/>
    <w:rsid w:val="00FE75D6"/>
    <w:rsid w:val="00FE7B47"/>
    <w:rsid w:val="00FE7D84"/>
    <w:rsid w:val="00FF04A4"/>
    <w:rsid w:val="00FF0DDC"/>
    <w:rsid w:val="00FF1883"/>
    <w:rsid w:val="00FF241C"/>
    <w:rsid w:val="00FF351D"/>
    <w:rsid w:val="00FF4BB3"/>
    <w:rsid w:val="00FF515D"/>
    <w:rsid w:val="00FF538F"/>
    <w:rsid w:val="00FF550A"/>
    <w:rsid w:val="00FF592F"/>
    <w:rsid w:val="00FF630D"/>
    <w:rsid w:val="00FF67C0"/>
    <w:rsid w:val="00FF68E6"/>
    <w:rsid w:val="00FF7881"/>
    <w:rsid w:val="01CB690C"/>
    <w:rsid w:val="023908EE"/>
    <w:rsid w:val="035A541C"/>
    <w:rsid w:val="037026C4"/>
    <w:rsid w:val="0409646A"/>
    <w:rsid w:val="053F4565"/>
    <w:rsid w:val="06097D3E"/>
    <w:rsid w:val="071E459E"/>
    <w:rsid w:val="075C1AB8"/>
    <w:rsid w:val="075F57B7"/>
    <w:rsid w:val="08BD3AAC"/>
    <w:rsid w:val="08FF091D"/>
    <w:rsid w:val="091C3DB2"/>
    <w:rsid w:val="095E38C5"/>
    <w:rsid w:val="09914A41"/>
    <w:rsid w:val="09DE1819"/>
    <w:rsid w:val="0BAE3DA8"/>
    <w:rsid w:val="0C886482"/>
    <w:rsid w:val="0CEC7DCA"/>
    <w:rsid w:val="0D307327"/>
    <w:rsid w:val="0D4161DA"/>
    <w:rsid w:val="0D774F56"/>
    <w:rsid w:val="0D961154"/>
    <w:rsid w:val="0DF14DFE"/>
    <w:rsid w:val="0E3925B9"/>
    <w:rsid w:val="0E4D7B66"/>
    <w:rsid w:val="0E8518F4"/>
    <w:rsid w:val="0EFB210F"/>
    <w:rsid w:val="0F6A2898"/>
    <w:rsid w:val="11695213"/>
    <w:rsid w:val="11A117AE"/>
    <w:rsid w:val="12265DEB"/>
    <w:rsid w:val="1284275B"/>
    <w:rsid w:val="13D62F2B"/>
    <w:rsid w:val="1487023C"/>
    <w:rsid w:val="148D45F4"/>
    <w:rsid w:val="159D717D"/>
    <w:rsid w:val="16C57324"/>
    <w:rsid w:val="1737141E"/>
    <w:rsid w:val="182508A6"/>
    <w:rsid w:val="198E5257"/>
    <w:rsid w:val="199D72CD"/>
    <w:rsid w:val="1BD22CEB"/>
    <w:rsid w:val="1D1125A5"/>
    <w:rsid w:val="1DAE55A6"/>
    <w:rsid w:val="1E774733"/>
    <w:rsid w:val="1ED75C63"/>
    <w:rsid w:val="20717694"/>
    <w:rsid w:val="20EB675B"/>
    <w:rsid w:val="22160F4B"/>
    <w:rsid w:val="22CF4E22"/>
    <w:rsid w:val="24707D71"/>
    <w:rsid w:val="24CF51DC"/>
    <w:rsid w:val="259614D3"/>
    <w:rsid w:val="259A13DA"/>
    <w:rsid w:val="25CC2205"/>
    <w:rsid w:val="272C3119"/>
    <w:rsid w:val="27446DF8"/>
    <w:rsid w:val="27BA100A"/>
    <w:rsid w:val="28ED036A"/>
    <w:rsid w:val="296F1D21"/>
    <w:rsid w:val="29E05449"/>
    <w:rsid w:val="2A0E2346"/>
    <w:rsid w:val="2A152DFD"/>
    <w:rsid w:val="2A83359C"/>
    <w:rsid w:val="2AD040D6"/>
    <w:rsid w:val="2B29780D"/>
    <w:rsid w:val="2BE6682C"/>
    <w:rsid w:val="2CD94F5A"/>
    <w:rsid w:val="2CFA6D72"/>
    <w:rsid w:val="2E254102"/>
    <w:rsid w:val="2E2B600A"/>
    <w:rsid w:val="2EEB7C61"/>
    <w:rsid w:val="2F72338C"/>
    <w:rsid w:val="2FD70C99"/>
    <w:rsid w:val="306059B3"/>
    <w:rsid w:val="322D5A00"/>
    <w:rsid w:val="32760DDF"/>
    <w:rsid w:val="32D16607"/>
    <w:rsid w:val="331E3185"/>
    <w:rsid w:val="341936A6"/>
    <w:rsid w:val="34FA6363"/>
    <w:rsid w:val="36287CF1"/>
    <w:rsid w:val="36805654"/>
    <w:rsid w:val="36F525CA"/>
    <w:rsid w:val="38505193"/>
    <w:rsid w:val="389071DF"/>
    <w:rsid w:val="38AF2F46"/>
    <w:rsid w:val="38B95B73"/>
    <w:rsid w:val="3A6A5DD7"/>
    <w:rsid w:val="3CC33464"/>
    <w:rsid w:val="3CFA3AE8"/>
    <w:rsid w:val="3D124D7F"/>
    <w:rsid w:val="3D304967"/>
    <w:rsid w:val="3D365654"/>
    <w:rsid w:val="3DF3298C"/>
    <w:rsid w:val="3EC33CF2"/>
    <w:rsid w:val="3F4A7370"/>
    <w:rsid w:val="3FFD3288"/>
    <w:rsid w:val="4024246B"/>
    <w:rsid w:val="40CB061C"/>
    <w:rsid w:val="422E6C98"/>
    <w:rsid w:val="427D5967"/>
    <w:rsid w:val="430C2504"/>
    <w:rsid w:val="431B294F"/>
    <w:rsid w:val="43F30CCC"/>
    <w:rsid w:val="43FD725B"/>
    <w:rsid w:val="44A122DD"/>
    <w:rsid w:val="456A0EBE"/>
    <w:rsid w:val="472E643E"/>
    <w:rsid w:val="481334F1"/>
    <w:rsid w:val="4888713A"/>
    <w:rsid w:val="4A3B1EE1"/>
    <w:rsid w:val="4AD40FFF"/>
    <w:rsid w:val="4B2F11FD"/>
    <w:rsid w:val="4B8B4C2B"/>
    <w:rsid w:val="4E702C28"/>
    <w:rsid w:val="4E881E17"/>
    <w:rsid w:val="4F2026F6"/>
    <w:rsid w:val="515F7ECA"/>
    <w:rsid w:val="52E90585"/>
    <w:rsid w:val="533874DA"/>
    <w:rsid w:val="54DB70A3"/>
    <w:rsid w:val="55E069DD"/>
    <w:rsid w:val="560756D8"/>
    <w:rsid w:val="560D4210"/>
    <w:rsid w:val="56674A08"/>
    <w:rsid w:val="579B29E6"/>
    <w:rsid w:val="586F19C6"/>
    <w:rsid w:val="58CE0D6F"/>
    <w:rsid w:val="591F1DED"/>
    <w:rsid w:val="59B81C58"/>
    <w:rsid w:val="59E6225B"/>
    <w:rsid w:val="59EF443C"/>
    <w:rsid w:val="5AF251E8"/>
    <w:rsid w:val="5B2124BD"/>
    <w:rsid w:val="5B9C68F2"/>
    <w:rsid w:val="5BC87CF7"/>
    <w:rsid w:val="5C145701"/>
    <w:rsid w:val="5C4960A5"/>
    <w:rsid w:val="5D6F5686"/>
    <w:rsid w:val="5D825803"/>
    <w:rsid w:val="5FEB19E8"/>
    <w:rsid w:val="604C786B"/>
    <w:rsid w:val="60675196"/>
    <w:rsid w:val="60A26D69"/>
    <w:rsid w:val="60B60FB0"/>
    <w:rsid w:val="61E77599"/>
    <w:rsid w:val="63302D52"/>
    <w:rsid w:val="644E4C1E"/>
    <w:rsid w:val="64942AAE"/>
    <w:rsid w:val="64C64FF0"/>
    <w:rsid w:val="64F456DB"/>
    <w:rsid w:val="65CB282D"/>
    <w:rsid w:val="67E90E5D"/>
    <w:rsid w:val="692C130A"/>
    <w:rsid w:val="692F3892"/>
    <w:rsid w:val="69805A97"/>
    <w:rsid w:val="69AE580C"/>
    <w:rsid w:val="6B033806"/>
    <w:rsid w:val="6BD73404"/>
    <w:rsid w:val="6C0315E5"/>
    <w:rsid w:val="6C2B4E7B"/>
    <w:rsid w:val="6D3C2D7C"/>
    <w:rsid w:val="6D7D6516"/>
    <w:rsid w:val="6DE00380"/>
    <w:rsid w:val="6E334950"/>
    <w:rsid w:val="6E523026"/>
    <w:rsid w:val="6EFF1A27"/>
    <w:rsid w:val="6F4D6A39"/>
    <w:rsid w:val="6FC767EC"/>
    <w:rsid w:val="71184B5D"/>
    <w:rsid w:val="716D1978"/>
    <w:rsid w:val="72444124"/>
    <w:rsid w:val="731542B5"/>
    <w:rsid w:val="75066AF8"/>
    <w:rsid w:val="76E32304"/>
    <w:rsid w:val="77DE5270"/>
    <w:rsid w:val="77E679FB"/>
    <w:rsid w:val="79462067"/>
    <w:rsid w:val="7A1351A0"/>
    <w:rsid w:val="7A2A00A3"/>
    <w:rsid w:val="7A356A48"/>
    <w:rsid w:val="7C3D10F1"/>
    <w:rsid w:val="7C550EDB"/>
    <w:rsid w:val="7C570EF7"/>
    <w:rsid w:val="7CB836FA"/>
    <w:rsid w:val="7CDC54F0"/>
    <w:rsid w:val="7CE3610B"/>
    <w:rsid w:val="7D64259E"/>
    <w:rsid w:val="7DF80DA0"/>
    <w:rsid w:val="7DFA55A7"/>
    <w:rsid w:val="7E4750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uiPriority="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nhideWhenUsed="0" w:uiPriority="35"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uiPriority="0" w:name="Note Heading"/>
    <w:lsdException w:qFormat="1" w:unhideWhenUsed="0" w:uiPriority="0" w:semiHidden="0" w:name="Body Text 2"/>
    <w:lsdException w:uiPriority="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nhideWhenUsed="0" w:uiPriority="0" w:semiHidden="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qFormat="1" w:unhideWhenUsed="0" w:uiPriority="0" w:semiHidden="0" w:name="Table Theme"/>
    <w:lsdException w:qFormat="1" w:uiPriority="99"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tabs>
        <w:tab w:val="left" w:pos="432"/>
      </w:tabs>
      <w:outlineLvl w:val="0"/>
    </w:pPr>
    <w:rPr>
      <w:b/>
      <w:bCs/>
      <w:kern w:val="44"/>
      <w:sz w:val="28"/>
      <w:szCs w:val="44"/>
    </w:rPr>
  </w:style>
  <w:style w:type="paragraph" w:styleId="3">
    <w:name w:val="heading 2"/>
    <w:basedOn w:val="1"/>
    <w:next w:val="1"/>
    <w:link w:val="82"/>
    <w:qFormat/>
    <w:uiPriority w:val="0"/>
    <w:pPr>
      <w:keepNext/>
      <w:keepLines/>
      <w:tabs>
        <w:tab w:val="left" w:pos="576"/>
      </w:tabs>
      <w:spacing w:line="360" w:lineRule="auto"/>
      <w:outlineLvl w:val="1"/>
    </w:pPr>
    <w:rPr>
      <w:b/>
      <w:bCs/>
      <w:sz w:val="24"/>
      <w:szCs w:val="32"/>
      <w:lang w:val="zh-CN"/>
    </w:rPr>
  </w:style>
  <w:style w:type="paragraph" w:styleId="4">
    <w:name w:val="heading 3"/>
    <w:basedOn w:val="1"/>
    <w:next w:val="1"/>
    <w:qFormat/>
    <w:uiPriority w:val="0"/>
    <w:pPr>
      <w:keepNext/>
      <w:keepLines/>
      <w:adjustRightInd w:val="0"/>
      <w:spacing w:line="360" w:lineRule="auto"/>
      <w:ind w:firstLine="482" w:firstLineChars="200"/>
      <w:outlineLvl w:val="2"/>
    </w:pPr>
    <w:rPr>
      <w:b/>
      <w:bCs/>
      <w:sz w:val="24"/>
    </w:rPr>
  </w:style>
  <w:style w:type="paragraph" w:styleId="5">
    <w:name w:val="heading 4"/>
    <w:basedOn w:val="1"/>
    <w:next w:val="1"/>
    <w:qFormat/>
    <w:uiPriority w:val="0"/>
    <w:pPr>
      <w:keepNext/>
      <w:keepLines/>
      <w:tabs>
        <w:tab w:val="left" w:pos="864"/>
      </w:tabs>
      <w:spacing w:before="280" w:after="290" w:line="376" w:lineRule="auto"/>
      <w:ind w:left="864" w:hanging="864"/>
      <w:outlineLvl w:val="3"/>
    </w:pPr>
    <w:rPr>
      <w:rFonts w:ascii="Arial" w:hAnsi="Arial" w:eastAsia="黑体"/>
      <w:b/>
      <w:bCs/>
      <w:sz w:val="28"/>
      <w:szCs w:val="28"/>
    </w:rPr>
  </w:style>
  <w:style w:type="paragraph" w:styleId="6">
    <w:name w:val="heading 5"/>
    <w:basedOn w:val="1"/>
    <w:next w:val="1"/>
    <w:qFormat/>
    <w:uiPriority w:val="0"/>
    <w:pPr>
      <w:keepNext/>
      <w:keepLines/>
      <w:tabs>
        <w:tab w:val="left" w:pos="1008"/>
      </w:tabs>
      <w:spacing w:before="280" w:after="290" w:line="376" w:lineRule="auto"/>
      <w:ind w:left="1008" w:hanging="1008"/>
      <w:outlineLvl w:val="4"/>
    </w:pPr>
    <w:rPr>
      <w:b/>
      <w:bCs/>
      <w:sz w:val="28"/>
      <w:szCs w:val="28"/>
    </w:rPr>
  </w:style>
  <w:style w:type="paragraph" w:styleId="7">
    <w:name w:val="heading 6"/>
    <w:basedOn w:val="1"/>
    <w:next w:val="1"/>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8">
    <w:name w:val="heading 7"/>
    <w:basedOn w:val="1"/>
    <w:next w:val="1"/>
    <w:qFormat/>
    <w:uiPriority w:val="0"/>
    <w:pPr>
      <w:keepNext/>
      <w:keepLines/>
      <w:tabs>
        <w:tab w:val="left" w:pos="1296"/>
      </w:tabs>
      <w:spacing w:before="240" w:after="64" w:line="320" w:lineRule="auto"/>
      <w:ind w:left="1296" w:hanging="1296"/>
      <w:outlineLvl w:val="6"/>
    </w:pPr>
    <w:rPr>
      <w:b/>
      <w:bCs/>
      <w:sz w:val="24"/>
    </w:rPr>
  </w:style>
  <w:style w:type="paragraph" w:styleId="9">
    <w:name w:val="heading 8"/>
    <w:basedOn w:val="1"/>
    <w:next w:val="1"/>
    <w:link w:val="54"/>
    <w:qFormat/>
    <w:uiPriority w:val="0"/>
    <w:pPr>
      <w:keepNext/>
      <w:keepLines/>
      <w:numPr>
        <w:ilvl w:val="0"/>
        <w:numId w:val="1"/>
      </w:numPr>
      <w:jc w:val="center"/>
      <w:outlineLvl w:val="7"/>
    </w:pPr>
    <w:rPr>
      <w:b/>
      <w:lang w:val="zh-CN"/>
    </w:rPr>
  </w:style>
  <w:style w:type="paragraph" w:styleId="10">
    <w:name w:val="heading 9"/>
    <w:basedOn w:val="1"/>
    <w:next w:val="1"/>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39">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link w:val="50"/>
    <w:qFormat/>
    <w:uiPriority w:val="0"/>
    <w:pPr>
      <w:ind w:firstLine="420" w:firstLineChars="200"/>
    </w:pPr>
    <w:rPr>
      <w:lang w:val="zh-CN"/>
    </w:rPr>
  </w:style>
  <w:style w:type="paragraph" w:styleId="12">
    <w:name w:val="caption"/>
    <w:basedOn w:val="1"/>
    <w:next w:val="1"/>
    <w:link w:val="89"/>
    <w:qFormat/>
    <w:uiPriority w:val="35"/>
    <w:rPr>
      <w:rFonts w:ascii="Cambria" w:hAnsi="Cambria" w:eastAsia="黑体"/>
      <w:sz w:val="20"/>
      <w:szCs w:val="20"/>
      <w:lang w:val="zh-CN"/>
    </w:rPr>
  </w:style>
  <w:style w:type="paragraph" w:styleId="13">
    <w:name w:val="Document Map"/>
    <w:basedOn w:val="1"/>
    <w:qFormat/>
    <w:uiPriority w:val="0"/>
    <w:pPr>
      <w:shd w:val="clear" w:color="auto" w:fill="000080"/>
    </w:pPr>
  </w:style>
  <w:style w:type="paragraph" w:styleId="14">
    <w:name w:val="annotation text"/>
    <w:basedOn w:val="1"/>
    <w:link w:val="83"/>
    <w:qFormat/>
    <w:uiPriority w:val="0"/>
    <w:pPr>
      <w:jc w:val="left"/>
    </w:pPr>
    <w:rPr>
      <w:lang w:val="zh-CN"/>
    </w:rPr>
  </w:style>
  <w:style w:type="paragraph" w:styleId="15">
    <w:name w:val="Body Text"/>
    <w:basedOn w:val="1"/>
    <w:link w:val="64"/>
    <w:qFormat/>
    <w:uiPriority w:val="0"/>
    <w:pPr>
      <w:adjustRightInd w:val="0"/>
      <w:spacing w:line="400" w:lineRule="atLeast"/>
      <w:textAlignment w:val="baseline"/>
    </w:pPr>
    <w:rPr>
      <w:kern w:val="0"/>
      <w:sz w:val="28"/>
      <w:szCs w:val="20"/>
      <w:lang w:val="zh-CN"/>
    </w:rPr>
  </w:style>
  <w:style w:type="paragraph" w:styleId="16">
    <w:name w:val="Body Text Indent"/>
    <w:basedOn w:val="1"/>
    <w:link w:val="74"/>
    <w:qFormat/>
    <w:uiPriority w:val="0"/>
    <w:pPr>
      <w:adjustRightInd w:val="0"/>
      <w:spacing w:line="360" w:lineRule="auto"/>
      <w:ind w:firstLine="600"/>
      <w:textAlignment w:val="baseline"/>
    </w:pPr>
    <w:rPr>
      <w:spacing w:val="4"/>
      <w:kern w:val="0"/>
      <w:sz w:val="28"/>
      <w:szCs w:val="20"/>
      <w:lang w:val="zh-CN"/>
    </w:rPr>
  </w:style>
  <w:style w:type="paragraph" w:styleId="17">
    <w:name w:val="Block Text"/>
    <w:basedOn w:val="1"/>
    <w:qFormat/>
    <w:uiPriority w:val="0"/>
    <w:pPr>
      <w:snapToGrid w:val="0"/>
      <w:spacing w:before="180" w:line="380" w:lineRule="atLeast"/>
      <w:ind w:left="142" w:right="170" w:firstLine="476"/>
    </w:pPr>
    <w:rPr>
      <w:sz w:val="24"/>
      <w:szCs w:val="20"/>
    </w:rPr>
  </w:style>
  <w:style w:type="paragraph" w:styleId="18">
    <w:name w:val="toc 3"/>
    <w:basedOn w:val="1"/>
    <w:next w:val="1"/>
    <w:qFormat/>
    <w:uiPriority w:val="39"/>
    <w:pPr>
      <w:ind w:left="840" w:leftChars="400"/>
    </w:pPr>
  </w:style>
  <w:style w:type="paragraph" w:styleId="19">
    <w:name w:val="Plain Text"/>
    <w:basedOn w:val="1"/>
    <w:link w:val="102"/>
    <w:qFormat/>
    <w:uiPriority w:val="0"/>
    <w:pPr>
      <w:autoSpaceDE w:val="0"/>
      <w:autoSpaceDN w:val="0"/>
      <w:adjustRightInd w:val="0"/>
      <w:spacing w:line="312" w:lineRule="atLeast"/>
      <w:textAlignment w:val="baseline"/>
    </w:pPr>
    <w:rPr>
      <w:rFonts w:ascii="宋体" w:hAnsi="Tms Rmn"/>
      <w:kern w:val="0"/>
      <w:szCs w:val="20"/>
      <w:lang w:val="zh-CN"/>
    </w:rPr>
  </w:style>
  <w:style w:type="paragraph" w:styleId="20">
    <w:name w:val="Date"/>
    <w:basedOn w:val="1"/>
    <w:next w:val="1"/>
    <w:qFormat/>
    <w:uiPriority w:val="0"/>
    <w:pPr>
      <w:ind w:left="100" w:leftChars="2500"/>
    </w:pPr>
    <w:rPr>
      <w:sz w:val="28"/>
      <w:szCs w:val="20"/>
    </w:rPr>
  </w:style>
  <w:style w:type="paragraph" w:styleId="21">
    <w:name w:val="Body Text Indent 2"/>
    <w:basedOn w:val="1"/>
    <w:link w:val="91"/>
    <w:qFormat/>
    <w:uiPriority w:val="0"/>
    <w:pPr>
      <w:snapToGrid w:val="0"/>
      <w:spacing w:line="360" w:lineRule="auto"/>
      <w:ind w:firstLine="200" w:firstLineChars="200"/>
    </w:pPr>
    <w:rPr>
      <w:b/>
      <w:sz w:val="24"/>
      <w:szCs w:val="20"/>
      <w:lang w:val="zh-CN"/>
    </w:rPr>
  </w:style>
  <w:style w:type="paragraph" w:styleId="22">
    <w:name w:val="Balloon Text"/>
    <w:basedOn w:val="1"/>
    <w:qFormat/>
    <w:uiPriority w:val="0"/>
    <w:rPr>
      <w:sz w:val="18"/>
      <w:szCs w:val="18"/>
    </w:rPr>
  </w:style>
  <w:style w:type="paragraph" w:styleId="23">
    <w:name w:val="footer"/>
    <w:basedOn w:val="1"/>
    <w:link w:val="92"/>
    <w:qFormat/>
    <w:uiPriority w:val="99"/>
    <w:pPr>
      <w:tabs>
        <w:tab w:val="center" w:pos="4153"/>
        <w:tab w:val="right" w:pos="8306"/>
      </w:tabs>
      <w:snapToGrid w:val="0"/>
      <w:jc w:val="left"/>
    </w:pPr>
    <w:rPr>
      <w:sz w:val="18"/>
      <w:szCs w:val="18"/>
      <w:lang w:val="zh-CN"/>
    </w:rPr>
  </w:style>
  <w:style w:type="paragraph" w:styleId="24">
    <w:name w:val="header"/>
    <w:basedOn w:val="1"/>
    <w:link w:val="84"/>
    <w:qFormat/>
    <w:uiPriority w:val="99"/>
    <w:pPr>
      <w:pBdr>
        <w:bottom w:val="single" w:color="auto" w:sz="6" w:space="1"/>
      </w:pBdr>
      <w:tabs>
        <w:tab w:val="center" w:pos="4153"/>
        <w:tab w:val="right" w:pos="8306"/>
      </w:tabs>
      <w:adjustRightInd w:val="0"/>
      <w:snapToGrid w:val="0"/>
      <w:spacing w:line="240" w:lineRule="atLeast"/>
      <w:jc w:val="center"/>
      <w:textAlignment w:val="baseline"/>
    </w:pPr>
    <w:rPr>
      <w:kern w:val="0"/>
      <w:sz w:val="18"/>
      <w:szCs w:val="20"/>
      <w:lang w:val="zh-CN"/>
    </w:rPr>
  </w:style>
  <w:style w:type="paragraph" w:styleId="25">
    <w:name w:val="toc 1"/>
    <w:basedOn w:val="1"/>
    <w:next w:val="1"/>
    <w:qFormat/>
    <w:uiPriority w:val="39"/>
    <w:rPr>
      <w:rFonts w:ascii="Times New Roman" w:hAnsi="宋体" w:eastAsia="宋体" w:cs="Times New Roman"/>
      <w:bCs/>
      <w:caps/>
      <w:w w:val="80"/>
      <w:kern w:val="2"/>
      <w:sz w:val="24"/>
      <w:szCs w:val="24"/>
      <w:lang w:val="en-US" w:eastAsia="zh-CN" w:bidi="ar-SA"/>
    </w:rPr>
  </w:style>
  <w:style w:type="paragraph" w:styleId="26">
    <w:name w:val="Subtitle"/>
    <w:basedOn w:val="1"/>
    <w:next w:val="1"/>
    <w:link w:val="57"/>
    <w:qFormat/>
    <w:uiPriority w:val="11"/>
    <w:pPr>
      <w:spacing w:line="360" w:lineRule="auto"/>
      <w:ind w:firstLine="200" w:firstLineChars="200"/>
      <w:jc w:val="left"/>
    </w:pPr>
    <w:rPr>
      <w:b/>
      <w:bCs/>
      <w:kern w:val="28"/>
      <w:sz w:val="24"/>
      <w:szCs w:val="32"/>
      <w:lang w:val="zh-CN"/>
    </w:rPr>
  </w:style>
  <w:style w:type="paragraph" w:styleId="27">
    <w:name w:val="List"/>
    <w:basedOn w:val="1"/>
    <w:qFormat/>
    <w:uiPriority w:val="0"/>
    <w:pPr>
      <w:widowControl/>
      <w:ind w:left="200" w:hanging="200" w:hangingChars="200"/>
      <w:jc w:val="left"/>
    </w:pPr>
    <w:rPr>
      <w:rFonts w:eastAsia="仿宋_GB2312"/>
      <w:kern w:val="0"/>
      <w:sz w:val="24"/>
      <w:szCs w:val="20"/>
    </w:rPr>
  </w:style>
  <w:style w:type="paragraph" w:styleId="28">
    <w:name w:val="Body Text Indent 3"/>
    <w:basedOn w:val="1"/>
    <w:link w:val="67"/>
    <w:qFormat/>
    <w:uiPriority w:val="0"/>
    <w:pPr>
      <w:adjustRightInd w:val="0"/>
      <w:spacing w:line="360" w:lineRule="auto"/>
      <w:ind w:firstLine="570"/>
      <w:textAlignment w:val="baseline"/>
    </w:pPr>
    <w:rPr>
      <w:kern w:val="0"/>
      <w:sz w:val="28"/>
      <w:szCs w:val="20"/>
      <w:lang w:val="zh-CN"/>
    </w:rPr>
  </w:style>
  <w:style w:type="paragraph" w:styleId="29">
    <w:name w:val="Body Text 2"/>
    <w:basedOn w:val="1"/>
    <w:link w:val="87"/>
    <w:qFormat/>
    <w:uiPriority w:val="0"/>
    <w:pPr>
      <w:spacing w:after="120" w:line="480" w:lineRule="auto"/>
    </w:pPr>
    <w:rPr>
      <w:lang w:val="zh-CN"/>
    </w:rPr>
  </w:style>
  <w:style w:type="paragraph" w:styleId="30">
    <w:name w:val="Normal (Web)"/>
    <w:basedOn w:val="1"/>
    <w:link w:val="161"/>
    <w:qFormat/>
    <w:uiPriority w:val="99"/>
    <w:pPr>
      <w:widowControl/>
      <w:spacing w:before="100" w:beforeAutospacing="1" w:after="100" w:afterAutospacing="1"/>
      <w:jc w:val="left"/>
    </w:pPr>
    <w:rPr>
      <w:rFonts w:ascii="宋体" w:hAnsi="宋体"/>
      <w:kern w:val="0"/>
      <w:sz w:val="24"/>
    </w:rPr>
  </w:style>
  <w:style w:type="paragraph" w:styleId="31">
    <w:name w:val="Title"/>
    <w:basedOn w:val="1"/>
    <w:next w:val="1"/>
    <w:link w:val="49"/>
    <w:qFormat/>
    <w:uiPriority w:val="0"/>
    <w:pPr>
      <w:spacing w:before="240" w:after="240"/>
      <w:jc w:val="center"/>
      <w:outlineLvl w:val="0"/>
    </w:pPr>
    <w:rPr>
      <w:rFonts w:eastAsia="黑体"/>
      <w:bCs/>
      <w:sz w:val="30"/>
      <w:szCs w:val="32"/>
      <w:lang w:val="zh-CN"/>
    </w:rPr>
  </w:style>
  <w:style w:type="paragraph" w:styleId="32">
    <w:name w:val="annotation subject"/>
    <w:basedOn w:val="14"/>
    <w:next w:val="14"/>
    <w:qFormat/>
    <w:uiPriority w:val="0"/>
    <w:rPr>
      <w:b/>
      <w:bCs/>
    </w:rPr>
  </w:style>
  <w:style w:type="paragraph" w:styleId="33">
    <w:name w:val="Body Text First Indent"/>
    <w:basedOn w:val="15"/>
    <w:qFormat/>
    <w:uiPriority w:val="0"/>
    <w:pPr>
      <w:adjustRightInd/>
      <w:spacing w:after="120" w:line="240" w:lineRule="auto"/>
      <w:ind w:firstLine="420" w:firstLineChars="100"/>
      <w:textAlignment w:val="auto"/>
    </w:pPr>
    <w:rPr>
      <w:kern w:val="2"/>
      <w:sz w:val="21"/>
      <w:szCs w:val="24"/>
    </w:rPr>
  </w:style>
  <w:style w:type="paragraph" w:styleId="34">
    <w:name w:val="Body Text First Indent 2"/>
    <w:basedOn w:val="16"/>
    <w:link w:val="178"/>
    <w:unhideWhenUsed/>
    <w:qFormat/>
    <w:uiPriority w:val="0"/>
    <w:pPr>
      <w:adjustRightInd/>
      <w:spacing w:after="120" w:line="240" w:lineRule="auto"/>
      <w:ind w:left="420" w:leftChars="200" w:firstLine="420" w:firstLineChars="200"/>
      <w:textAlignment w:val="auto"/>
    </w:pPr>
    <w:rPr>
      <w:spacing w:val="0"/>
      <w:kern w:val="2"/>
      <w:sz w:val="21"/>
      <w:szCs w:val="24"/>
      <w:lang w:val="en-US"/>
    </w:rPr>
  </w:style>
  <w:style w:type="table" w:styleId="36">
    <w:name w:val="Table Grid"/>
    <w:basedOn w:val="35"/>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7">
    <w:name w:val="Table Theme"/>
    <w:basedOn w:val="3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8">
    <w:name w:val="Table Grid 1"/>
    <w:basedOn w:val="35"/>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40">
    <w:name w:val="Strong"/>
    <w:basedOn w:val="39"/>
    <w:qFormat/>
    <w:uiPriority w:val="0"/>
    <w:rPr>
      <w:b/>
    </w:rPr>
  </w:style>
  <w:style w:type="character" w:styleId="41">
    <w:name w:val="page number"/>
    <w:basedOn w:val="39"/>
    <w:qFormat/>
    <w:uiPriority w:val="0"/>
  </w:style>
  <w:style w:type="character" w:styleId="42">
    <w:name w:val="FollowedHyperlink"/>
    <w:basedOn w:val="39"/>
    <w:semiHidden/>
    <w:unhideWhenUsed/>
    <w:qFormat/>
    <w:uiPriority w:val="0"/>
    <w:rPr>
      <w:color w:val="333333"/>
      <w:u w:val="none"/>
    </w:rPr>
  </w:style>
  <w:style w:type="character" w:styleId="43">
    <w:name w:val="Emphasis"/>
    <w:basedOn w:val="39"/>
    <w:qFormat/>
    <w:uiPriority w:val="0"/>
  </w:style>
  <w:style w:type="character" w:styleId="44">
    <w:name w:val="Hyperlink"/>
    <w:qFormat/>
    <w:uiPriority w:val="99"/>
    <w:rPr>
      <w:rFonts w:ascii="宋体" w:hAnsi="宋体" w:eastAsia="宋体" w:cs="宋体"/>
      <w:color w:val="0000FF"/>
      <w:kern w:val="2"/>
      <w:sz w:val="24"/>
      <w:szCs w:val="24"/>
      <w:u w:val="single"/>
      <w:lang w:val="en-US" w:eastAsia="zh-CN" w:bidi="ar-SA"/>
    </w:rPr>
  </w:style>
  <w:style w:type="character" w:styleId="45">
    <w:name w:val="annotation reference"/>
    <w:qFormat/>
    <w:uiPriority w:val="0"/>
    <w:rPr>
      <w:sz w:val="21"/>
      <w:szCs w:val="21"/>
    </w:rPr>
  </w:style>
  <w:style w:type="paragraph" w:customStyle="1" w:styleId="46">
    <w:name w:val="Default1"/>
    <w:basedOn w:val="47"/>
    <w:next w:val="1"/>
    <w:qFormat/>
    <w:uiPriority w:val="0"/>
    <w:pPr>
      <w:autoSpaceDE w:val="0"/>
      <w:autoSpaceDN w:val="0"/>
      <w:adjustRightInd w:val="0"/>
    </w:pPr>
    <w:rPr>
      <w:rFonts w:ascii="宋体" w:hAnsi="Times New Roman" w:cs="宋体"/>
      <w:sz w:val="24"/>
      <w:szCs w:val="24"/>
    </w:rPr>
  </w:style>
  <w:style w:type="paragraph" w:customStyle="1" w:styleId="47">
    <w:name w:val="表格文字01"/>
    <w:basedOn w:val="1"/>
    <w:qFormat/>
    <w:uiPriority w:val="0"/>
    <w:pPr>
      <w:wordWrap w:val="0"/>
      <w:overflowPunct w:val="0"/>
      <w:topLinePunct/>
      <w:jc w:val="center"/>
    </w:pPr>
    <w:rPr>
      <w:rFonts w:ascii="Arial" w:hAnsi="Arial" w:cs="Arial"/>
      <w:color w:val="000000"/>
      <w:szCs w:val="21"/>
    </w:rPr>
  </w:style>
  <w:style w:type="paragraph" w:customStyle="1" w:styleId="48">
    <w:name w:val="正文样式1"/>
    <w:basedOn w:val="1"/>
    <w:next w:val="1"/>
    <w:qFormat/>
    <w:uiPriority w:val="0"/>
    <w:pPr>
      <w:adjustRightInd w:val="0"/>
      <w:spacing w:line="360" w:lineRule="auto"/>
      <w:ind w:firstLine="360" w:firstLineChars="150"/>
      <w:textAlignment w:val="baseline"/>
    </w:pPr>
    <w:rPr>
      <w:rFonts w:ascii="宋体" w:hAnsi="宋体"/>
      <w:color w:val="FF0000"/>
      <w:kern w:val="0"/>
      <w:sz w:val="24"/>
      <w:szCs w:val="20"/>
    </w:rPr>
  </w:style>
  <w:style w:type="character" w:customStyle="1" w:styleId="49">
    <w:name w:val="标题 Char"/>
    <w:link w:val="31"/>
    <w:qFormat/>
    <w:uiPriority w:val="0"/>
    <w:rPr>
      <w:rFonts w:eastAsia="黑体"/>
      <w:bCs/>
      <w:kern w:val="2"/>
      <w:sz w:val="30"/>
      <w:szCs w:val="32"/>
      <w:lang w:val="zh-CN" w:eastAsia="zh-CN"/>
    </w:rPr>
  </w:style>
  <w:style w:type="character" w:customStyle="1" w:styleId="50">
    <w:name w:val="正文缩进 Char"/>
    <w:link w:val="11"/>
    <w:qFormat/>
    <w:uiPriority w:val="0"/>
    <w:rPr>
      <w:kern w:val="2"/>
      <w:sz w:val="21"/>
      <w:szCs w:val="24"/>
    </w:rPr>
  </w:style>
  <w:style w:type="character" w:customStyle="1" w:styleId="51">
    <w:name w:val="表格内容 Char"/>
    <w:qFormat/>
    <w:uiPriority w:val="0"/>
    <w:rPr>
      <w:rFonts w:ascii="宋体" w:hAnsi="宋体" w:eastAsia="宋体" w:cs="宋体"/>
      <w:color w:val="000000"/>
      <w:kern w:val="2"/>
      <w:sz w:val="21"/>
      <w:szCs w:val="16"/>
      <w:lang w:val="en-US" w:eastAsia="zh-CN" w:bidi="ar-SA"/>
    </w:rPr>
  </w:style>
  <w:style w:type="character" w:customStyle="1" w:styleId="52">
    <w:name w:val="报告表  段 Char"/>
    <w:link w:val="53"/>
    <w:qFormat/>
    <w:uiPriority w:val="0"/>
    <w:rPr>
      <w:rFonts w:ascii="宋体"/>
      <w:sz w:val="24"/>
    </w:rPr>
  </w:style>
  <w:style w:type="paragraph" w:customStyle="1" w:styleId="53">
    <w:name w:val="报告表  段"/>
    <w:basedOn w:val="1"/>
    <w:link w:val="52"/>
    <w:qFormat/>
    <w:uiPriority w:val="0"/>
    <w:pPr>
      <w:adjustRightInd w:val="0"/>
      <w:spacing w:line="360" w:lineRule="auto"/>
      <w:ind w:firstLine="505"/>
      <w:textAlignment w:val="baseline"/>
    </w:pPr>
    <w:rPr>
      <w:rFonts w:ascii="宋体"/>
      <w:kern w:val="0"/>
      <w:sz w:val="24"/>
      <w:szCs w:val="20"/>
      <w:lang w:val="zh-CN"/>
    </w:rPr>
  </w:style>
  <w:style w:type="character" w:customStyle="1" w:styleId="54">
    <w:name w:val="标题 8 Char"/>
    <w:link w:val="9"/>
    <w:qFormat/>
    <w:uiPriority w:val="0"/>
    <w:rPr>
      <w:b/>
      <w:kern w:val="2"/>
      <w:sz w:val="21"/>
      <w:szCs w:val="24"/>
    </w:rPr>
  </w:style>
  <w:style w:type="character" w:customStyle="1" w:styleId="55">
    <w:name w:val="表格内容格式 Char"/>
    <w:link w:val="56"/>
    <w:qFormat/>
    <w:uiPriority w:val="0"/>
    <w:rPr>
      <w:bCs/>
      <w:sz w:val="21"/>
      <w:szCs w:val="21"/>
    </w:rPr>
  </w:style>
  <w:style w:type="paragraph" w:customStyle="1" w:styleId="56">
    <w:name w:val="表格内容格式"/>
    <w:basedOn w:val="1"/>
    <w:link w:val="55"/>
    <w:qFormat/>
    <w:uiPriority w:val="0"/>
    <w:pPr>
      <w:widowControl/>
      <w:jc w:val="center"/>
    </w:pPr>
    <w:rPr>
      <w:bCs/>
      <w:kern w:val="0"/>
      <w:szCs w:val="21"/>
      <w:lang w:val="zh-CN"/>
    </w:rPr>
  </w:style>
  <w:style w:type="character" w:customStyle="1" w:styleId="57">
    <w:name w:val="副标题 Char"/>
    <w:link w:val="26"/>
    <w:qFormat/>
    <w:uiPriority w:val="11"/>
    <w:rPr>
      <w:b/>
      <w:bCs/>
      <w:kern w:val="28"/>
      <w:sz w:val="24"/>
      <w:szCs w:val="32"/>
    </w:rPr>
  </w:style>
  <w:style w:type="character" w:customStyle="1" w:styleId="58">
    <w:name w:val="style151"/>
    <w:qFormat/>
    <w:uiPriority w:val="0"/>
    <w:rPr>
      <w:color w:val="743E07"/>
      <w:sz w:val="21"/>
      <w:szCs w:val="21"/>
    </w:rPr>
  </w:style>
  <w:style w:type="character" w:customStyle="1" w:styleId="59">
    <w:name w:val="自定正文 Char"/>
    <w:link w:val="60"/>
    <w:qFormat/>
    <w:uiPriority w:val="0"/>
    <w:rPr>
      <w:snapToGrid/>
      <w:kern w:val="2"/>
      <w:sz w:val="24"/>
      <w:szCs w:val="21"/>
    </w:rPr>
  </w:style>
  <w:style w:type="paragraph" w:customStyle="1" w:styleId="60">
    <w:name w:val="自定正文"/>
    <w:basedOn w:val="1"/>
    <w:link w:val="59"/>
    <w:qFormat/>
    <w:uiPriority w:val="0"/>
    <w:pPr>
      <w:tabs>
        <w:tab w:val="left" w:pos="1685"/>
      </w:tabs>
      <w:snapToGrid w:val="0"/>
      <w:spacing w:line="360" w:lineRule="auto"/>
      <w:ind w:firstLine="480"/>
      <w:textAlignment w:val="center"/>
    </w:pPr>
    <w:rPr>
      <w:sz w:val="24"/>
      <w:szCs w:val="21"/>
      <w:lang w:val="zh-CN"/>
    </w:rPr>
  </w:style>
  <w:style w:type="character" w:customStyle="1" w:styleId="61">
    <w:name w:val="ddjj Char"/>
    <w:link w:val="62"/>
    <w:qFormat/>
    <w:uiPriority w:val="0"/>
    <w:rPr>
      <w:kern w:val="2"/>
      <w:sz w:val="28"/>
      <w:lang w:bidi="ar-SA"/>
    </w:rPr>
  </w:style>
  <w:style w:type="paragraph" w:customStyle="1" w:styleId="62">
    <w:name w:val="ddjj"/>
    <w:basedOn w:val="1"/>
    <w:link w:val="61"/>
    <w:qFormat/>
    <w:uiPriority w:val="0"/>
    <w:pPr>
      <w:spacing w:line="360" w:lineRule="auto"/>
      <w:ind w:firstLine="200" w:firstLineChars="200"/>
    </w:pPr>
    <w:rPr>
      <w:sz w:val="28"/>
      <w:szCs w:val="20"/>
      <w:lang w:val="zh-CN"/>
    </w:rPr>
  </w:style>
  <w:style w:type="character" w:customStyle="1" w:styleId="63">
    <w:name w:val="s1"/>
    <w:qFormat/>
    <w:uiPriority w:val="0"/>
    <w:rPr>
      <w:sz w:val="18"/>
      <w:szCs w:val="18"/>
    </w:rPr>
  </w:style>
  <w:style w:type="character" w:customStyle="1" w:styleId="64">
    <w:name w:val="正文文本 Char"/>
    <w:link w:val="15"/>
    <w:qFormat/>
    <w:uiPriority w:val="0"/>
    <w:rPr>
      <w:sz w:val="28"/>
    </w:rPr>
  </w:style>
  <w:style w:type="character" w:customStyle="1" w:styleId="65">
    <w:name w:val="宗兴正文 Char Char"/>
    <w:link w:val="66"/>
    <w:qFormat/>
    <w:uiPriority w:val="0"/>
    <w:rPr>
      <w:kern w:val="2"/>
      <w:sz w:val="24"/>
      <w:szCs w:val="24"/>
    </w:rPr>
  </w:style>
  <w:style w:type="paragraph" w:customStyle="1" w:styleId="66">
    <w:name w:val="宗兴正文"/>
    <w:basedOn w:val="1"/>
    <w:link w:val="65"/>
    <w:qFormat/>
    <w:uiPriority w:val="0"/>
    <w:pPr>
      <w:spacing w:before="93" w:after="93" w:line="360" w:lineRule="auto"/>
      <w:ind w:firstLine="480" w:firstLineChars="200"/>
      <w:jc w:val="left"/>
    </w:pPr>
    <w:rPr>
      <w:sz w:val="24"/>
      <w:lang w:val="zh-CN"/>
    </w:rPr>
  </w:style>
  <w:style w:type="character" w:customStyle="1" w:styleId="67">
    <w:name w:val="正文文本缩进 3 Char"/>
    <w:link w:val="28"/>
    <w:qFormat/>
    <w:uiPriority w:val="0"/>
    <w:rPr>
      <w:sz w:val="28"/>
    </w:rPr>
  </w:style>
  <w:style w:type="character" w:customStyle="1" w:styleId="68">
    <w:name w:val="description"/>
    <w:qFormat/>
    <w:uiPriority w:val="0"/>
  </w:style>
  <w:style w:type="character" w:customStyle="1" w:styleId="69">
    <w:name w:val="表格内容 Char1"/>
    <w:link w:val="70"/>
    <w:qFormat/>
    <w:uiPriority w:val="0"/>
    <w:rPr>
      <w:kern w:val="2"/>
      <w:sz w:val="21"/>
      <w:szCs w:val="21"/>
    </w:rPr>
  </w:style>
  <w:style w:type="paragraph" w:customStyle="1" w:styleId="70">
    <w:name w:val="表格内容"/>
    <w:basedOn w:val="1"/>
    <w:link w:val="69"/>
    <w:qFormat/>
    <w:uiPriority w:val="0"/>
    <w:pPr>
      <w:jc w:val="center"/>
    </w:pPr>
    <w:rPr>
      <w:szCs w:val="21"/>
      <w:lang w:val="zh-CN"/>
    </w:rPr>
  </w:style>
  <w:style w:type="character" w:customStyle="1" w:styleId="71">
    <w:name w:val="表头 Char"/>
    <w:link w:val="72"/>
    <w:qFormat/>
    <w:uiPriority w:val="0"/>
    <w:rPr>
      <w:b/>
      <w:kern w:val="2"/>
      <w:sz w:val="21"/>
    </w:rPr>
  </w:style>
  <w:style w:type="paragraph" w:customStyle="1" w:styleId="72">
    <w:name w:val="表头"/>
    <w:basedOn w:val="12"/>
    <w:link w:val="71"/>
    <w:qFormat/>
    <w:uiPriority w:val="0"/>
    <w:pPr>
      <w:keepNext/>
      <w:spacing w:line="100" w:lineRule="atLeast"/>
      <w:jc w:val="center"/>
    </w:pPr>
    <w:rPr>
      <w:rFonts w:ascii="Times New Roman" w:hAnsi="Times New Roman" w:eastAsia="宋体"/>
      <w:b/>
      <w:sz w:val="21"/>
    </w:rPr>
  </w:style>
  <w:style w:type="character" w:customStyle="1" w:styleId="73">
    <w:name w:val="14p2"/>
    <w:qFormat/>
    <w:uiPriority w:val="0"/>
    <w:rPr>
      <w:color w:val="666666"/>
      <w:sz w:val="21"/>
      <w:szCs w:val="21"/>
    </w:rPr>
  </w:style>
  <w:style w:type="character" w:customStyle="1" w:styleId="74">
    <w:name w:val="正文文本缩进 Char"/>
    <w:link w:val="16"/>
    <w:qFormat/>
    <w:uiPriority w:val="0"/>
    <w:rPr>
      <w:spacing w:val="4"/>
      <w:sz w:val="28"/>
    </w:rPr>
  </w:style>
  <w:style w:type="character" w:customStyle="1" w:styleId="75">
    <w:name w:val="样式 正文首行缩进:  2 字符 + 首行缩进:  2 字符 Char"/>
    <w:link w:val="76"/>
    <w:qFormat/>
    <w:uiPriority w:val="0"/>
    <w:rPr>
      <w:rFonts w:cs="宋体"/>
      <w:kern w:val="2"/>
      <w:sz w:val="24"/>
    </w:rPr>
  </w:style>
  <w:style w:type="paragraph" w:customStyle="1" w:styleId="76">
    <w:name w:val="样式 正文首行缩进:  2 字符 + 首行缩进:  2 字符"/>
    <w:basedOn w:val="1"/>
    <w:link w:val="75"/>
    <w:qFormat/>
    <w:uiPriority w:val="0"/>
    <w:pPr>
      <w:spacing w:line="360" w:lineRule="auto"/>
      <w:ind w:firstLine="480" w:firstLineChars="200"/>
    </w:pPr>
    <w:rPr>
      <w:sz w:val="24"/>
      <w:szCs w:val="20"/>
      <w:lang w:val="zh-CN"/>
    </w:rPr>
  </w:style>
  <w:style w:type="character" w:customStyle="1" w:styleId="77">
    <w:name w:val="Char Char1 Char"/>
    <w:link w:val="78"/>
    <w:qFormat/>
    <w:uiPriority w:val="0"/>
    <w:rPr>
      <w:rFonts w:ascii="宋体" w:hAnsi="宋体" w:cs="宋体"/>
      <w:kern w:val="2"/>
      <w:sz w:val="24"/>
      <w:szCs w:val="24"/>
    </w:rPr>
  </w:style>
  <w:style w:type="paragraph" w:customStyle="1" w:styleId="78">
    <w:name w:val="Char Char1"/>
    <w:basedOn w:val="1"/>
    <w:link w:val="77"/>
    <w:qFormat/>
    <w:uiPriority w:val="0"/>
    <w:pPr>
      <w:spacing w:line="360" w:lineRule="auto"/>
      <w:ind w:firstLine="200" w:firstLineChars="200"/>
    </w:pPr>
    <w:rPr>
      <w:rFonts w:ascii="宋体" w:hAnsi="宋体"/>
      <w:sz w:val="24"/>
      <w:lang w:val="zh-CN"/>
    </w:rPr>
  </w:style>
  <w:style w:type="character" w:customStyle="1" w:styleId="79">
    <w:name w:val="14p"/>
    <w:basedOn w:val="39"/>
    <w:qFormat/>
    <w:uiPriority w:val="0"/>
  </w:style>
  <w:style w:type="character" w:customStyle="1" w:styleId="80">
    <w:name w:val="正文何黎 Char1"/>
    <w:link w:val="81"/>
    <w:qFormat/>
    <w:uiPriority w:val="0"/>
    <w:rPr>
      <w:rFonts w:hAnsi="宋体" w:cs="宋体"/>
      <w:sz w:val="24"/>
      <w:szCs w:val="24"/>
    </w:rPr>
  </w:style>
  <w:style w:type="paragraph" w:customStyle="1" w:styleId="81">
    <w:name w:val="正文何黎"/>
    <w:basedOn w:val="1"/>
    <w:link w:val="80"/>
    <w:qFormat/>
    <w:uiPriority w:val="0"/>
    <w:pPr>
      <w:spacing w:line="360" w:lineRule="auto"/>
      <w:ind w:firstLine="480" w:firstLineChars="200"/>
    </w:pPr>
    <w:rPr>
      <w:rFonts w:hAnsi="宋体"/>
      <w:kern w:val="0"/>
      <w:sz w:val="24"/>
      <w:lang w:val="zh-CN"/>
    </w:rPr>
  </w:style>
  <w:style w:type="character" w:customStyle="1" w:styleId="82">
    <w:name w:val="标题 2 Char"/>
    <w:link w:val="3"/>
    <w:qFormat/>
    <w:uiPriority w:val="0"/>
    <w:rPr>
      <w:b/>
      <w:bCs/>
      <w:kern w:val="2"/>
      <w:sz w:val="24"/>
      <w:szCs w:val="32"/>
    </w:rPr>
  </w:style>
  <w:style w:type="character" w:customStyle="1" w:styleId="83">
    <w:name w:val="批注文字 Char"/>
    <w:link w:val="14"/>
    <w:qFormat/>
    <w:uiPriority w:val="0"/>
    <w:rPr>
      <w:kern w:val="2"/>
      <w:sz w:val="21"/>
      <w:szCs w:val="24"/>
    </w:rPr>
  </w:style>
  <w:style w:type="character" w:customStyle="1" w:styleId="84">
    <w:name w:val="页眉 Char"/>
    <w:link w:val="24"/>
    <w:qFormat/>
    <w:uiPriority w:val="99"/>
    <w:rPr>
      <w:sz w:val="18"/>
    </w:rPr>
  </w:style>
  <w:style w:type="character" w:customStyle="1" w:styleId="85">
    <w:name w:val="样式14 Char"/>
    <w:link w:val="86"/>
    <w:qFormat/>
    <w:uiPriority w:val="0"/>
    <w:rPr>
      <w:color w:val="000000"/>
      <w:sz w:val="24"/>
      <w:szCs w:val="24"/>
      <w:shd w:val="clear" w:color="auto" w:fill="FFFFFF"/>
    </w:rPr>
  </w:style>
  <w:style w:type="paragraph" w:customStyle="1" w:styleId="86">
    <w:name w:val="样式14"/>
    <w:basedOn w:val="1"/>
    <w:link w:val="85"/>
    <w:qFormat/>
    <w:uiPriority w:val="0"/>
    <w:pPr>
      <w:shd w:val="clear" w:color="auto" w:fill="FFFFFF"/>
      <w:spacing w:beforeLines="50" w:afterLines="50" w:line="360" w:lineRule="auto"/>
      <w:ind w:left="708" w:hanging="708"/>
    </w:pPr>
    <w:rPr>
      <w:color w:val="000000"/>
      <w:kern w:val="0"/>
      <w:sz w:val="24"/>
      <w:lang w:val="zh-CN"/>
    </w:rPr>
  </w:style>
  <w:style w:type="character" w:customStyle="1" w:styleId="87">
    <w:name w:val="正文文本 2 Char"/>
    <w:link w:val="29"/>
    <w:qFormat/>
    <w:uiPriority w:val="0"/>
    <w:rPr>
      <w:kern w:val="2"/>
      <w:sz w:val="21"/>
      <w:szCs w:val="24"/>
    </w:rPr>
  </w:style>
  <w:style w:type="character" w:customStyle="1" w:styleId="88">
    <w:name w:val="正文缩进 Char1"/>
    <w:qFormat/>
    <w:uiPriority w:val="0"/>
    <w:rPr>
      <w:kern w:val="2"/>
      <w:sz w:val="21"/>
    </w:rPr>
  </w:style>
  <w:style w:type="character" w:customStyle="1" w:styleId="89">
    <w:name w:val="题注 Char"/>
    <w:link w:val="12"/>
    <w:qFormat/>
    <w:uiPriority w:val="35"/>
    <w:rPr>
      <w:rFonts w:ascii="Cambria" w:hAnsi="Cambria" w:eastAsia="黑体"/>
      <w:kern w:val="2"/>
    </w:rPr>
  </w:style>
  <w:style w:type="character" w:styleId="90">
    <w:name w:val="Placeholder Text"/>
    <w:unhideWhenUsed/>
    <w:qFormat/>
    <w:uiPriority w:val="99"/>
    <w:rPr>
      <w:color w:val="808080"/>
    </w:rPr>
  </w:style>
  <w:style w:type="character" w:customStyle="1" w:styleId="91">
    <w:name w:val="正文文本缩进 2 Char"/>
    <w:link w:val="21"/>
    <w:qFormat/>
    <w:uiPriority w:val="0"/>
    <w:rPr>
      <w:b/>
      <w:kern w:val="2"/>
      <w:sz w:val="24"/>
    </w:rPr>
  </w:style>
  <w:style w:type="character" w:customStyle="1" w:styleId="92">
    <w:name w:val="页脚 Char"/>
    <w:link w:val="23"/>
    <w:qFormat/>
    <w:uiPriority w:val="99"/>
    <w:rPr>
      <w:kern w:val="2"/>
      <w:sz w:val="18"/>
      <w:szCs w:val="18"/>
    </w:rPr>
  </w:style>
  <w:style w:type="character" w:customStyle="1" w:styleId="93">
    <w:name w:val="bw"/>
    <w:basedOn w:val="39"/>
    <w:qFormat/>
    <w:uiPriority w:val="0"/>
  </w:style>
  <w:style w:type="character" w:customStyle="1" w:styleId="94">
    <w:name w:val="A正文 Char"/>
    <w:link w:val="95"/>
    <w:qFormat/>
    <w:uiPriority w:val="0"/>
    <w:rPr>
      <w:kern w:val="2"/>
      <w:sz w:val="24"/>
      <w:szCs w:val="24"/>
    </w:rPr>
  </w:style>
  <w:style w:type="paragraph" w:customStyle="1" w:styleId="95">
    <w:name w:val="A正文"/>
    <w:basedOn w:val="1"/>
    <w:next w:val="15"/>
    <w:link w:val="94"/>
    <w:qFormat/>
    <w:uiPriority w:val="0"/>
    <w:pPr>
      <w:spacing w:line="360" w:lineRule="auto"/>
      <w:ind w:firstLine="200" w:firstLineChars="200"/>
    </w:pPr>
    <w:rPr>
      <w:sz w:val="24"/>
      <w:lang w:val="zh-CN"/>
    </w:rPr>
  </w:style>
  <w:style w:type="character" w:customStyle="1" w:styleId="96">
    <w:name w:val="15"/>
    <w:qFormat/>
    <w:uiPriority w:val="0"/>
    <w:rPr>
      <w:rFonts w:hint="eastAsia" w:ascii="宋体" w:hAnsi="宋体" w:eastAsia="宋体"/>
      <w:color w:val="000000"/>
      <w:kern w:val="2"/>
      <w:sz w:val="21"/>
      <w:szCs w:val="21"/>
    </w:rPr>
  </w:style>
  <w:style w:type="character" w:customStyle="1" w:styleId="97">
    <w:name w:val="style11"/>
    <w:qFormat/>
    <w:uiPriority w:val="0"/>
    <w:rPr>
      <w:color w:val="FF0000"/>
    </w:rPr>
  </w:style>
  <w:style w:type="character" w:customStyle="1" w:styleId="98">
    <w:name w:val="A（1）级标题 Char"/>
    <w:link w:val="99"/>
    <w:qFormat/>
    <w:uiPriority w:val="0"/>
    <w:rPr>
      <w:kern w:val="2"/>
      <w:sz w:val="24"/>
      <w:szCs w:val="24"/>
    </w:rPr>
  </w:style>
  <w:style w:type="paragraph" w:customStyle="1" w:styleId="99">
    <w:name w:val="A（1）级标题"/>
    <w:basedOn w:val="1"/>
    <w:next w:val="15"/>
    <w:link w:val="98"/>
    <w:qFormat/>
    <w:uiPriority w:val="0"/>
    <w:pPr>
      <w:spacing w:line="360" w:lineRule="auto"/>
      <w:ind w:firstLine="200" w:firstLineChars="200"/>
    </w:pPr>
    <w:rPr>
      <w:sz w:val="24"/>
      <w:lang w:val="zh-CN"/>
    </w:rPr>
  </w:style>
  <w:style w:type="character" w:customStyle="1" w:styleId="100">
    <w:name w:val="表格文字 Char1"/>
    <w:link w:val="101"/>
    <w:qFormat/>
    <w:uiPriority w:val="0"/>
    <w:rPr>
      <w:kern w:val="2"/>
      <w:position w:val="-10"/>
      <w:sz w:val="21"/>
    </w:rPr>
  </w:style>
  <w:style w:type="paragraph" w:customStyle="1" w:styleId="101">
    <w:name w:val="表格文字"/>
    <w:basedOn w:val="1"/>
    <w:link w:val="100"/>
    <w:qFormat/>
    <w:uiPriority w:val="0"/>
    <w:pPr>
      <w:tabs>
        <w:tab w:val="left" w:pos="-2848"/>
      </w:tabs>
      <w:spacing w:beforeLines="20" w:afterLines="20"/>
      <w:jc w:val="center"/>
    </w:pPr>
    <w:rPr>
      <w:position w:val="-10"/>
      <w:szCs w:val="20"/>
      <w:lang w:val="zh-CN"/>
    </w:rPr>
  </w:style>
  <w:style w:type="character" w:customStyle="1" w:styleId="102">
    <w:name w:val="纯文本 Char"/>
    <w:link w:val="19"/>
    <w:qFormat/>
    <w:uiPriority w:val="0"/>
    <w:rPr>
      <w:rFonts w:ascii="宋体" w:hAnsi="Tms Rmn"/>
      <w:sz w:val="21"/>
    </w:rPr>
  </w:style>
  <w:style w:type="character" w:customStyle="1" w:styleId="103">
    <w:name w:val="正文 首行缩进:  2 字符 SL CON Char"/>
    <w:link w:val="104"/>
    <w:qFormat/>
    <w:uiPriority w:val="0"/>
    <w:rPr>
      <w:rFonts w:ascii="宋体" w:cs="宋体"/>
      <w:sz w:val="24"/>
      <w:szCs w:val="24"/>
    </w:rPr>
  </w:style>
  <w:style w:type="paragraph" w:customStyle="1" w:styleId="104">
    <w:name w:val="正文 首行缩进:  2 字符 SL CON"/>
    <w:basedOn w:val="1"/>
    <w:link w:val="103"/>
    <w:qFormat/>
    <w:uiPriority w:val="0"/>
    <w:pPr>
      <w:widowControl/>
      <w:tabs>
        <w:tab w:val="left" w:pos="377"/>
      </w:tabs>
      <w:spacing w:line="360" w:lineRule="auto"/>
      <w:ind w:firstLine="200" w:firstLineChars="200"/>
    </w:pPr>
    <w:rPr>
      <w:rFonts w:ascii="宋体"/>
      <w:kern w:val="0"/>
      <w:sz w:val="24"/>
      <w:lang w:val="zh-CN"/>
    </w:rPr>
  </w:style>
  <w:style w:type="character" w:customStyle="1" w:styleId="105">
    <w:name w:val="style181"/>
    <w:qFormat/>
    <w:uiPriority w:val="0"/>
    <w:rPr>
      <w:color w:val="844508"/>
      <w:sz w:val="21"/>
      <w:szCs w:val="21"/>
    </w:rPr>
  </w:style>
  <w:style w:type="character" w:customStyle="1" w:styleId="106">
    <w:name w:val="fontstyle01"/>
    <w:qFormat/>
    <w:uiPriority w:val="0"/>
    <w:rPr>
      <w:rFonts w:hint="eastAsia" w:ascii="宋体" w:hAnsi="宋体" w:eastAsia="宋体"/>
      <w:color w:val="000000"/>
      <w:sz w:val="22"/>
      <w:szCs w:val="22"/>
    </w:rPr>
  </w:style>
  <w:style w:type="character" w:customStyle="1" w:styleId="107">
    <w:name w:val="表格表头 Char"/>
    <w:link w:val="108"/>
    <w:qFormat/>
    <w:uiPriority w:val="0"/>
    <w:rPr>
      <w:b/>
      <w:kern w:val="2"/>
      <w:sz w:val="21"/>
      <w:szCs w:val="24"/>
      <w:lang w:val="zh-CN" w:eastAsia="zh-CN"/>
    </w:rPr>
  </w:style>
  <w:style w:type="paragraph" w:customStyle="1" w:styleId="108">
    <w:name w:val="表格表头"/>
    <w:basedOn w:val="9"/>
    <w:link w:val="107"/>
    <w:qFormat/>
    <w:uiPriority w:val="0"/>
    <w:pPr>
      <w:tabs>
        <w:tab w:val="left" w:pos="210"/>
      </w:tabs>
      <w:ind w:left="0" w:firstLine="0"/>
    </w:pPr>
  </w:style>
  <w:style w:type="paragraph" w:customStyle="1" w:styleId="109">
    <w:name w:val="Char2"/>
    <w:basedOn w:val="1"/>
    <w:qFormat/>
    <w:uiPriority w:val="0"/>
    <w:pPr>
      <w:ind w:firstLine="200" w:firstLineChars="200"/>
    </w:pPr>
  </w:style>
  <w:style w:type="paragraph" w:customStyle="1" w:styleId="110">
    <w:name w:val="样式 样式 题注 + 首行缩进:  2 字符 + 首行缩进:  2 字符"/>
    <w:basedOn w:val="1"/>
    <w:qFormat/>
    <w:uiPriority w:val="0"/>
    <w:pPr>
      <w:spacing w:line="480" w:lineRule="auto"/>
      <w:ind w:firstLine="480" w:firstLineChars="200"/>
      <w:jc w:val="center"/>
    </w:pPr>
    <w:rPr>
      <w:rFonts w:ascii="Arial" w:hAnsi="Arial" w:eastAsia="黑体"/>
      <w:sz w:val="24"/>
      <w:szCs w:val="20"/>
    </w:rPr>
  </w:style>
  <w:style w:type="paragraph" w:customStyle="1" w:styleId="111">
    <w:name w:val="样式2"/>
    <w:basedOn w:val="1"/>
    <w:qFormat/>
    <w:uiPriority w:val="0"/>
    <w:pPr>
      <w:spacing w:line="300" w:lineRule="exact"/>
      <w:jc w:val="center"/>
    </w:pPr>
    <w:rPr>
      <w:rFonts w:ascii="宋体" w:hAnsi="宋体"/>
      <w:spacing w:val="4"/>
      <w:szCs w:val="20"/>
    </w:rPr>
  </w:style>
  <w:style w:type="paragraph" w:customStyle="1" w:styleId="112">
    <w:name w:val="_Style 27"/>
    <w:basedOn w:val="1"/>
    <w:qFormat/>
    <w:uiPriority w:val="0"/>
    <w:rPr>
      <w:szCs w:val="20"/>
    </w:rPr>
  </w:style>
  <w:style w:type="paragraph" w:customStyle="1" w:styleId="113">
    <w:name w:val="Char24"/>
    <w:basedOn w:val="1"/>
    <w:semiHidden/>
    <w:qFormat/>
    <w:uiPriority w:val="0"/>
    <w:pPr>
      <w:spacing w:line="360" w:lineRule="auto"/>
      <w:ind w:firstLine="200" w:firstLineChars="200"/>
    </w:pPr>
    <w:rPr>
      <w:rFonts w:ascii="宋体" w:hAnsi="宋体" w:cs="宋体"/>
      <w:sz w:val="24"/>
    </w:rPr>
  </w:style>
  <w:style w:type="paragraph" w:customStyle="1" w:styleId="114">
    <w:name w:val="Char23"/>
    <w:basedOn w:val="1"/>
    <w:semiHidden/>
    <w:qFormat/>
    <w:uiPriority w:val="0"/>
    <w:pPr>
      <w:spacing w:line="360" w:lineRule="auto"/>
      <w:ind w:firstLine="200" w:firstLineChars="200"/>
    </w:pPr>
    <w:rPr>
      <w:rFonts w:ascii="宋体" w:hAnsi="宋体" w:cs="宋体"/>
      <w:sz w:val="24"/>
    </w:rPr>
  </w:style>
  <w:style w:type="paragraph" w:customStyle="1" w:styleId="115">
    <w:name w:val="Char1"/>
    <w:basedOn w:val="1"/>
    <w:qFormat/>
    <w:uiPriority w:val="0"/>
    <w:pPr>
      <w:snapToGrid w:val="0"/>
      <w:spacing w:line="360" w:lineRule="auto"/>
      <w:ind w:firstLine="529" w:firstLineChars="200"/>
    </w:pPr>
    <w:rPr>
      <w:rFonts w:ascii="宋体" w:hAnsi="宋体"/>
      <w:b/>
    </w:rPr>
  </w:style>
  <w:style w:type="paragraph" w:customStyle="1" w:styleId="116">
    <w:name w:val="样式 两端对齐 行距: 1.5 倍行距 首行缩进:  2 字符"/>
    <w:basedOn w:val="1"/>
    <w:qFormat/>
    <w:uiPriority w:val="0"/>
    <w:pPr>
      <w:widowControl/>
      <w:spacing w:line="360" w:lineRule="auto"/>
      <w:ind w:firstLine="200" w:firstLineChars="200"/>
    </w:pPr>
    <w:rPr>
      <w:rFonts w:cs="PMingLiU"/>
      <w:kern w:val="0"/>
      <w:sz w:val="24"/>
      <w:szCs w:val="20"/>
    </w:rPr>
  </w:style>
  <w:style w:type="paragraph" w:customStyle="1" w:styleId="117">
    <w:name w:val="列出段落1"/>
    <w:basedOn w:val="1"/>
    <w:unhideWhenUsed/>
    <w:qFormat/>
    <w:uiPriority w:val="34"/>
    <w:pPr>
      <w:ind w:firstLine="420" w:firstLineChars="200"/>
    </w:pPr>
  </w:style>
  <w:style w:type="paragraph" w:customStyle="1" w:styleId="118">
    <w:name w:val="样式 段落 Char + Char"/>
    <w:basedOn w:val="1"/>
    <w:qFormat/>
    <w:uiPriority w:val="0"/>
    <w:pPr>
      <w:topLinePunct/>
      <w:snapToGrid w:val="0"/>
      <w:spacing w:line="360" w:lineRule="auto"/>
      <w:ind w:firstLine="200" w:firstLineChars="200"/>
    </w:pPr>
    <w:rPr>
      <w:sz w:val="24"/>
    </w:rPr>
  </w:style>
  <w:style w:type="paragraph" w:customStyle="1" w:styleId="119">
    <w:name w:val="样式16"/>
    <w:basedOn w:val="1"/>
    <w:qFormat/>
    <w:uiPriority w:val="0"/>
    <w:pPr>
      <w:spacing w:beforeLines="50" w:afterLines="50"/>
    </w:pPr>
    <w:rPr>
      <w:b/>
      <w:bCs/>
      <w:szCs w:val="21"/>
    </w:rPr>
  </w:style>
  <w:style w:type="paragraph" w:customStyle="1" w:styleId="120">
    <w:name w:val="普通文字 Char"/>
    <w:basedOn w:val="1"/>
    <w:next w:val="11"/>
    <w:qFormat/>
    <w:uiPriority w:val="0"/>
    <w:pPr>
      <w:ind w:firstLine="420" w:firstLineChars="200"/>
    </w:pPr>
  </w:style>
  <w:style w:type="paragraph" w:customStyle="1" w:styleId="121">
    <w:name w:val="Char Char Char Char Char Char"/>
    <w:basedOn w:val="1"/>
    <w:qFormat/>
    <w:uiPriority w:val="0"/>
    <w:rPr>
      <w:sz w:val="24"/>
    </w:rPr>
  </w:style>
  <w:style w:type="paragraph" w:customStyle="1" w:styleId="122">
    <w:name w:val="Char"/>
    <w:basedOn w:val="1"/>
    <w:qFormat/>
    <w:uiPriority w:val="0"/>
    <w:pPr>
      <w:snapToGrid w:val="0"/>
      <w:spacing w:line="360" w:lineRule="auto"/>
      <w:ind w:firstLine="529" w:firstLineChars="200"/>
    </w:pPr>
    <w:rPr>
      <w:rFonts w:ascii="宋体" w:hAnsi="宋体"/>
      <w:b/>
    </w:rPr>
  </w:style>
  <w:style w:type="paragraph" w:customStyle="1" w:styleId="123">
    <w:name w:val="Char Char Char"/>
    <w:basedOn w:val="1"/>
    <w:qFormat/>
    <w:uiPriority w:val="0"/>
  </w:style>
  <w:style w:type="paragraph" w:customStyle="1" w:styleId="124">
    <w:name w:val="样式 自动A +"/>
    <w:basedOn w:val="1"/>
    <w:qFormat/>
    <w:uiPriority w:val="0"/>
    <w:pPr>
      <w:spacing w:beforeLines="50" w:afterLines="50" w:line="360" w:lineRule="auto"/>
      <w:ind w:firstLine="480" w:firstLineChars="200"/>
    </w:pPr>
    <w:rPr>
      <w:rFonts w:ascii="宋体" w:hAnsi="宋体" w:cs="宋体"/>
      <w:color w:val="000000"/>
      <w:sz w:val="24"/>
    </w:rPr>
  </w:style>
  <w:style w:type="paragraph" w:customStyle="1" w:styleId="125">
    <w:name w:val="样式 四号 黑色 行距: 1.5 倍行距 首行缩进:  2 字符"/>
    <w:basedOn w:val="1"/>
    <w:qFormat/>
    <w:uiPriority w:val="0"/>
    <w:pPr>
      <w:spacing w:line="360" w:lineRule="auto"/>
      <w:ind w:firstLine="560" w:firstLineChars="200"/>
    </w:pPr>
    <w:rPr>
      <w:rFonts w:eastAsia="仿宋_GB2312" w:cs="宋体"/>
      <w:color w:val="000000"/>
      <w:sz w:val="28"/>
      <w:szCs w:val="20"/>
    </w:rPr>
  </w:style>
  <w:style w:type="paragraph" w:styleId="126">
    <w:name w:val="List Paragraph"/>
    <w:basedOn w:val="1"/>
    <w:link w:val="167"/>
    <w:qFormat/>
    <w:uiPriority w:val="99"/>
    <w:pPr>
      <w:ind w:firstLine="420" w:firstLineChars="200"/>
    </w:pPr>
  </w:style>
  <w:style w:type="paragraph" w:customStyle="1" w:styleId="127">
    <w:name w:val="默认段落字体 Para Char Char Char Char Char Char Char"/>
    <w:basedOn w:val="1"/>
    <w:qFormat/>
    <w:uiPriority w:val="0"/>
    <w:pPr>
      <w:spacing w:line="360" w:lineRule="auto"/>
      <w:ind w:firstLine="200" w:firstLineChars="200"/>
    </w:pPr>
  </w:style>
  <w:style w:type="paragraph" w:customStyle="1" w:styleId="128">
    <w:name w:val="Char Char Char Char Char Char Char"/>
    <w:basedOn w:val="1"/>
    <w:qFormat/>
    <w:uiPriority w:val="0"/>
  </w:style>
  <w:style w:type="paragraph" w:customStyle="1" w:styleId="129">
    <w:name w:val="Char21"/>
    <w:basedOn w:val="1"/>
    <w:qFormat/>
    <w:uiPriority w:val="0"/>
    <w:pPr>
      <w:snapToGrid w:val="0"/>
      <w:spacing w:line="360" w:lineRule="auto"/>
      <w:ind w:firstLine="529" w:firstLineChars="200"/>
    </w:pPr>
    <w:rPr>
      <w:rFonts w:ascii="宋体" w:hAnsi="宋体"/>
      <w:b/>
    </w:rPr>
  </w:style>
  <w:style w:type="paragraph" w:customStyle="1" w:styleId="130">
    <w:name w:val="默认段落字体 Para Char Char Char Char"/>
    <w:basedOn w:val="1"/>
    <w:qFormat/>
    <w:uiPriority w:val="0"/>
  </w:style>
  <w:style w:type="paragraph" w:customStyle="1" w:styleId="13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32">
    <w:name w:val="Char Char Char Char Char Char2 Char"/>
    <w:basedOn w:val="1"/>
    <w:qFormat/>
    <w:uiPriority w:val="0"/>
    <w:pPr>
      <w:spacing w:line="360" w:lineRule="auto"/>
      <w:ind w:firstLine="200" w:firstLineChars="200"/>
    </w:pPr>
    <w:rPr>
      <w:rFonts w:ascii="宋体" w:hAnsi="宋体" w:cs="宋体"/>
      <w:sz w:val="24"/>
    </w:rPr>
  </w:style>
  <w:style w:type="paragraph" w:customStyle="1" w:styleId="133">
    <w:name w:val="样式 表格 32 + 首行缩进:  2 字符"/>
    <w:basedOn w:val="1"/>
    <w:qFormat/>
    <w:uiPriority w:val="0"/>
    <w:pPr>
      <w:autoSpaceDE w:val="0"/>
      <w:autoSpaceDN w:val="0"/>
      <w:adjustRightInd w:val="0"/>
      <w:spacing w:line="0" w:lineRule="atLeast"/>
      <w:ind w:firstLine="200" w:firstLineChars="200"/>
      <w:jc w:val="center"/>
      <w:textAlignment w:val="baseline"/>
    </w:pPr>
    <w:rPr>
      <w:kern w:val="0"/>
      <w:sz w:val="24"/>
      <w:szCs w:val="20"/>
    </w:rPr>
  </w:style>
  <w:style w:type="paragraph" w:customStyle="1" w:styleId="134">
    <w:name w:val="小四行居中"/>
    <w:basedOn w:val="1"/>
    <w:qFormat/>
    <w:uiPriority w:val="0"/>
    <w:pPr>
      <w:autoSpaceDE w:val="0"/>
      <w:autoSpaceDN w:val="0"/>
      <w:adjustRightInd w:val="0"/>
      <w:snapToGrid w:val="0"/>
      <w:spacing w:line="480" w:lineRule="exact"/>
      <w:ind w:left="-6" w:firstLine="401" w:firstLineChars="167"/>
      <w:textAlignment w:val="center"/>
    </w:pPr>
    <w:rPr>
      <w:rFonts w:ascii="宋体" w:hAnsi="宋体"/>
      <w:sz w:val="24"/>
    </w:rPr>
  </w:style>
  <w:style w:type="paragraph" w:customStyle="1" w:styleId="135">
    <w:name w:val="标准正文"/>
    <w:basedOn w:val="1"/>
    <w:qFormat/>
    <w:uiPriority w:val="0"/>
    <w:pPr>
      <w:spacing w:line="360" w:lineRule="auto"/>
      <w:ind w:firstLine="480" w:firstLineChars="200"/>
      <w:jc w:val="center"/>
    </w:pPr>
    <w:rPr>
      <w:rFonts w:ascii="宋体" w:hAnsi="宋体" w:cs="宋体"/>
      <w:bCs/>
      <w:kern w:val="0"/>
      <w:sz w:val="24"/>
    </w:rPr>
  </w:style>
  <w:style w:type="paragraph" w:customStyle="1" w:styleId="136">
    <w:name w:val="xzz"/>
    <w:basedOn w:val="1"/>
    <w:qFormat/>
    <w:uiPriority w:val="0"/>
    <w:pPr>
      <w:ind w:firstLine="480" w:firstLineChars="200"/>
    </w:pPr>
    <w:rPr>
      <w:sz w:val="24"/>
    </w:rPr>
  </w:style>
  <w:style w:type="paragraph" w:customStyle="1" w:styleId="137">
    <w:name w:val="Char221"/>
    <w:basedOn w:val="1"/>
    <w:qFormat/>
    <w:uiPriority w:val="0"/>
    <w:pPr>
      <w:spacing w:line="360" w:lineRule="auto"/>
      <w:ind w:firstLine="200" w:firstLineChars="200"/>
    </w:pPr>
    <w:rPr>
      <w:rFonts w:ascii="宋体" w:hAnsi="宋体" w:cs="宋体"/>
      <w:sz w:val="24"/>
    </w:rPr>
  </w:style>
  <w:style w:type="paragraph" w:customStyle="1" w:styleId="138">
    <w:name w:val="Char Char Char1"/>
    <w:basedOn w:val="1"/>
    <w:qFormat/>
    <w:uiPriority w:val="0"/>
    <w:rPr>
      <w:sz w:val="24"/>
    </w:rPr>
  </w:style>
  <w:style w:type="paragraph" w:customStyle="1" w:styleId="139">
    <w:name w:val="a表格"/>
    <w:basedOn w:val="1"/>
    <w:qFormat/>
    <w:uiPriority w:val="0"/>
    <w:pPr>
      <w:snapToGrid w:val="0"/>
      <w:jc w:val="center"/>
      <w:outlineLvl w:val="2"/>
    </w:pPr>
    <w:rPr>
      <w:szCs w:val="21"/>
    </w:rPr>
  </w:style>
  <w:style w:type="paragraph" w:customStyle="1" w:styleId="140">
    <w:name w:val="A1级标题"/>
    <w:basedOn w:val="1"/>
    <w:qFormat/>
    <w:uiPriority w:val="0"/>
    <w:pPr>
      <w:spacing w:afterLines="50"/>
    </w:pPr>
    <w:rPr>
      <w:b/>
      <w:sz w:val="28"/>
    </w:rPr>
  </w:style>
  <w:style w:type="paragraph" w:customStyle="1" w:styleId="141">
    <w:name w:val="表格 32"/>
    <w:basedOn w:val="1"/>
    <w:qFormat/>
    <w:uiPriority w:val="0"/>
    <w:pPr>
      <w:autoSpaceDE w:val="0"/>
      <w:autoSpaceDN w:val="0"/>
      <w:adjustRightInd w:val="0"/>
      <w:jc w:val="center"/>
    </w:pPr>
    <w:rPr>
      <w:rFonts w:ascii="宋体" w:hAnsi="Impact"/>
      <w:kern w:val="24"/>
      <w:sz w:val="24"/>
      <w:szCs w:val="20"/>
    </w:rPr>
  </w:style>
  <w:style w:type="paragraph" w:customStyle="1" w:styleId="142">
    <w:name w:val="Char22"/>
    <w:basedOn w:val="1"/>
    <w:semiHidden/>
    <w:qFormat/>
    <w:uiPriority w:val="0"/>
    <w:pPr>
      <w:spacing w:line="360" w:lineRule="auto"/>
      <w:ind w:firstLine="200" w:firstLineChars="200"/>
    </w:pPr>
    <w:rPr>
      <w:rFonts w:ascii="宋体" w:hAnsi="宋体" w:cs="宋体"/>
      <w:sz w:val="24"/>
      <w:szCs w:val="20"/>
    </w:rPr>
  </w:style>
  <w:style w:type="paragraph" w:customStyle="1" w:styleId="143">
    <w:name w:val="3"/>
    <w:basedOn w:val="1"/>
    <w:qFormat/>
    <w:uiPriority w:val="0"/>
  </w:style>
  <w:style w:type="paragraph" w:customStyle="1" w:styleId="144">
    <w:name w:val="样式 样式1 + 非加宽量 / 紧缩量  行距: 1.5 倍行距"/>
    <w:basedOn w:val="1"/>
    <w:qFormat/>
    <w:uiPriority w:val="0"/>
    <w:pPr>
      <w:spacing w:before="120" w:after="120"/>
      <w:ind w:firstLine="523" w:firstLineChars="218"/>
    </w:pPr>
    <w:rPr>
      <w:rFonts w:cs="宋体"/>
      <w:sz w:val="24"/>
      <w:szCs w:val="20"/>
    </w:rPr>
  </w:style>
  <w:style w:type="paragraph" w:customStyle="1" w:styleId="145">
    <w:name w:val="样式1"/>
    <w:basedOn w:val="1"/>
    <w:qFormat/>
    <w:uiPriority w:val="0"/>
    <w:pPr>
      <w:spacing w:line="500" w:lineRule="exact"/>
      <w:ind w:firstLine="496" w:firstLineChars="200"/>
    </w:pPr>
    <w:rPr>
      <w:spacing w:val="4"/>
      <w:sz w:val="24"/>
      <w:szCs w:val="20"/>
    </w:rPr>
  </w:style>
  <w:style w:type="paragraph" w:customStyle="1" w:styleId="146">
    <w:name w:val="Char Char Char Char Char Char Char1"/>
    <w:basedOn w:val="1"/>
    <w:qFormat/>
    <w:uiPriority w:val="0"/>
  </w:style>
  <w:style w:type="paragraph" w:customStyle="1" w:styleId="147">
    <w:name w:val="表格2"/>
    <w:basedOn w:val="1"/>
    <w:next w:val="1"/>
    <w:qFormat/>
    <w:uiPriority w:val="0"/>
    <w:pPr>
      <w:topLinePunct/>
      <w:autoSpaceDE w:val="0"/>
      <w:autoSpaceDN w:val="0"/>
      <w:adjustRightInd w:val="0"/>
      <w:jc w:val="center"/>
      <w:textAlignment w:val="baseline"/>
    </w:pPr>
    <w:rPr>
      <w:rFonts w:ascii="宋体" w:hAnsi="Impact"/>
      <w:kern w:val="24"/>
      <w:position w:val="-28"/>
      <w:szCs w:val="20"/>
    </w:rPr>
  </w:style>
  <w:style w:type="paragraph" w:customStyle="1" w:styleId="148">
    <w:name w:val="Char Char"/>
    <w:basedOn w:val="1"/>
    <w:qFormat/>
    <w:uiPriority w:val="0"/>
    <w:pPr>
      <w:snapToGrid w:val="0"/>
      <w:spacing w:line="440" w:lineRule="atLeast"/>
    </w:pPr>
    <w:rPr>
      <w:szCs w:val="20"/>
    </w:rPr>
  </w:style>
  <w:style w:type="paragraph" w:customStyle="1" w:styleId="149">
    <w:name w:val="表格1"/>
    <w:basedOn w:val="1"/>
    <w:next w:val="1"/>
    <w:qFormat/>
    <w:uiPriority w:val="0"/>
    <w:pPr>
      <w:topLinePunct/>
      <w:autoSpaceDE w:val="0"/>
      <w:autoSpaceDN w:val="0"/>
      <w:adjustRightInd w:val="0"/>
      <w:jc w:val="center"/>
      <w:textAlignment w:val="baseline"/>
    </w:pPr>
    <w:rPr>
      <w:rFonts w:ascii="宋体" w:hAnsi="Impact"/>
      <w:kern w:val="24"/>
      <w:sz w:val="28"/>
      <w:szCs w:val="20"/>
    </w:rPr>
  </w:style>
  <w:style w:type="paragraph" w:customStyle="1" w:styleId="150">
    <w:name w:val="Char Char Char2 Char"/>
    <w:basedOn w:val="1"/>
    <w:qFormat/>
    <w:uiPriority w:val="0"/>
    <w:pPr>
      <w:numPr>
        <w:ilvl w:val="0"/>
        <w:numId w:val="2"/>
      </w:numPr>
      <w:tabs>
        <w:tab w:val="left" w:pos="425"/>
      </w:tabs>
    </w:pPr>
    <w:rPr>
      <w:rFonts w:ascii="宋体"/>
      <w:sz w:val="28"/>
      <w:szCs w:val="20"/>
    </w:rPr>
  </w:style>
  <w:style w:type="paragraph" w:customStyle="1" w:styleId="151">
    <w:name w:val="样式 报告1 + 左侧:  0 厘米"/>
    <w:basedOn w:val="1"/>
    <w:qFormat/>
    <w:uiPriority w:val="0"/>
    <w:pPr>
      <w:tabs>
        <w:tab w:val="left" w:pos="851"/>
        <w:tab w:val="left" w:pos="5220"/>
      </w:tabs>
      <w:adjustRightInd w:val="0"/>
      <w:spacing w:line="360" w:lineRule="auto"/>
      <w:ind w:firstLine="480"/>
      <w:textAlignment w:val="baseline"/>
    </w:pPr>
    <w:rPr>
      <w:rFonts w:ascii="宋体" w:hAnsi="宋体" w:cs="宋体"/>
      <w:color w:val="FF0000"/>
      <w:spacing w:val="8"/>
      <w:kern w:val="0"/>
      <w:sz w:val="24"/>
    </w:rPr>
  </w:style>
  <w:style w:type="paragraph" w:customStyle="1" w:styleId="152">
    <w:name w:val="TOC 标题1"/>
    <w:basedOn w:val="2"/>
    <w:next w:val="1"/>
    <w:qFormat/>
    <w:uiPriority w:val="39"/>
    <w:pPr>
      <w:widowControl/>
      <w:tabs>
        <w:tab w:val="clear" w:pos="432"/>
      </w:tabs>
      <w:spacing w:before="240" w:line="259" w:lineRule="auto"/>
      <w:jc w:val="left"/>
      <w:outlineLvl w:val="9"/>
    </w:pPr>
    <w:rPr>
      <w:rFonts w:ascii="Calibri Light" w:hAnsi="Calibri Light"/>
      <w:b w:val="0"/>
      <w:bCs w:val="0"/>
      <w:color w:val="2E74B5"/>
      <w:kern w:val="0"/>
      <w:sz w:val="32"/>
      <w:szCs w:val="32"/>
    </w:rPr>
  </w:style>
  <w:style w:type="paragraph" w:customStyle="1" w:styleId="153">
    <w:name w:val="样式 样式 (中文) 仿宋_GB2312 居中1 + 小四"/>
    <w:basedOn w:val="1"/>
    <w:qFormat/>
    <w:uiPriority w:val="0"/>
    <w:pPr>
      <w:jc w:val="center"/>
    </w:pPr>
    <w:rPr>
      <w:rFonts w:cs="宋体"/>
      <w:b/>
      <w:color w:val="000000"/>
      <w:szCs w:val="21"/>
    </w:rPr>
  </w:style>
  <w:style w:type="paragraph" w:customStyle="1" w:styleId="154">
    <w:name w:val="Char3"/>
    <w:basedOn w:val="1"/>
    <w:qFormat/>
    <w:uiPriority w:val="0"/>
    <w:pPr>
      <w:snapToGrid w:val="0"/>
      <w:spacing w:line="360" w:lineRule="auto"/>
      <w:ind w:firstLine="529" w:firstLineChars="200"/>
    </w:pPr>
    <w:rPr>
      <w:rFonts w:ascii="宋体" w:hAnsi="宋体"/>
      <w:b/>
    </w:rPr>
  </w:style>
  <w:style w:type="paragraph" w:customStyle="1" w:styleId="155">
    <w:name w:val="正文 32"/>
    <w:basedOn w:val="1"/>
    <w:qFormat/>
    <w:uiPriority w:val="0"/>
    <w:pPr>
      <w:autoSpaceDE w:val="0"/>
      <w:autoSpaceDN w:val="0"/>
      <w:adjustRightInd w:val="0"/>
      <w:spacing w:line="300" w:lineRule="auto"/>
      <w:ind w:firstLine="567"/>
    </w:pPr>
    <w:rPr>
      <w:rFonts w:eastAsia="楷体_GB2312"/>
      <w:kern w:val="0"/>
      <w:sz w:val="24"/>
      <w:szCs w:val="20"/>
    </w:rPr>
  </w:style>
  <w:style w:type="character" w:customStyle="1" w:styleId="156">
    <w:name w:val="报告表正文 Char"/>
    <w:link w:val="157"/>
    <w:qFormat/>
    <w:uiPriority w:val="0"/>
    <w:rPr>
      <w:color w:val="000000"/>
      <w:kern w:val="2"/>
      <w:sz w:val="24"/>
      <w:szCs w:val="24"/>
    </w:rPr>
  </w:style>
  <w:style w:type="paragraph" w:customStyle="1" w:styleId="157">
    <w:name w:val="报告表正文"/>
    <w:basedOn w:val="1"/>
    <w:link w:val="156"/>
    <w:qFormat/>
    <w:uiPriority w:val="0"/>
    <w:pPr>
      <w:spacing w:line="360" w:lineRule="auto"/>
      <w:ind w:firstLine="200" w:firstLineChars="200"/>
    </w:pPr>
    <w:rPr>
      <w:color w:val="000000"/>
      <w:sz w:val="24"/>
      <w:lang w:val="zh-CN"/>
    </w:rPr>
  </w:style>
  <w:style w:type="table" w:customStyle="1" w:styleId="158">
    <w:name w:val="网格型1"/>
    <w:basedOn w:val="35"/>
    <w:qFormat/>
    <w:uiPriority w:val="39"/>
    <w:pPr>
      <w:widowControl w:val="0"/>
      <w:adjustRightInd w:val="0"/>
      <w:snapToGrid w:val="0"/>
      <w:jc w:val="both"/>
    </w:p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tblStylePr w:type="firstRow">
      <w:rPr>
        <w:rFonts w:eastAsia="Arial"/>
        <w:sz w:val="21"/>
      </w:rPr>
      <w:tcPr>
        <w:tcBorders>
          <w:top w:val="single" w:color="auto" w:sz="12" w:space="0"/>
          <w:left w:val="single" w:color="auto" w:sz="4" w:space="0"/>
          <w:bottom w:val="single" w:color="auto" w:sz="12" w:space="0"/>
          <w:right w:val="single" w:color="auto" w:sz="12" w:space="0"/>
          <w:insideH w:val="nil"/>
          <w:insideV w:val="single" w:sz="4" w:space="0"/>
          <w:tl2br w:val="nil"/>
          <w:tr2bl w:val="nil"/>
        </w:tcBorders>
        <w:shd w:val="clear" w:color="auto" w:fill="D8D8D8"/>
      </w:tcPr>
    </w:tblStylePr>
  </w:style>
  <w:style w:type="paragraph" w:customStyle="1" w:styleId="159">
    <w:name w:val="图题"/>
    <w:basedOn w:val="9"/>
    <w:qFormat/>
    <w:uiPriority w:val="0"/>
    <w:pPr>
      <w:numPr>
        <w:numId w:val="3"/>
      </w:numPr>
    </w:pPr>
    <w:rPr>
      <w:lang w:val="en-US"/>
    </w:rPr>
  </w:style>
  <w:style w:type="paragraph" w:customStyle="1" w:styleId="160">
    <w:name w:val="报告表表格"/>
    <w:qFormat/>
    <w:uiPriority w:val="0"/>
    <w:pPr>
      <w:jc w:val="center"/>
    </w:pPr>
    <w:rPr>
      <w:rFonts w:ascii="Times New Roman" w:hAnsi="Times New Roman" w:eastAsia="宋体" w:cs="Times New Roman"/>
      <w:color w:val="000000"/>
      <w:kern w:val="2"/>
      <w:sz w:val="21"/>
      <w:szCs w:val="22"/>
      <w:lang w:val="en-US" w:eastAsia="zh-CN" w:bidi="ar-SA"/>
    </w:rPr>
  </w:style>
  <w:style w:type="character" w:customStyle="1" w:styleId="161">
    <w:name w:val="普通(网站) Char"/>
    <w:link w:val="30"/>
    <w:qFormat/>
    <w:locked/>
    <w:uiPriority w:val="99"/>
    <w:rPr>
      <w:rFonts w:ascii="宋体" w:hAnsi="宋体"/>
      <w:sz w:val="24"/>
      <w:szCs w:val="24"/>
    </w:rPr>
  </w:style>
  <w:style w:type="character" w:customStyle="1" w:styleId="162">
    <w:name w:val="表格 Char"/>
    <w:link w:val="163"/>
    <w:qFormat/>
    <w:locked/>
    <w:uiPriority w:val="0"/>
    <w:rPr>
      <w:rFonts w:ascii="宋体"/>
      <w:sz w:val="21"/>
    </w:rPr>
  </w:style>
  <w:style w:type="paragraph" w:customStyle="1" w:styleId="163">
    <w:name w:val="表格"/>
    <w:basedOn w:val="1"/>
    <w:next w:val="1"/>
    <w:link w:val="162"/>
    <w:qFormat/>
    <w:uiPriority w:val="0"/>
    <w:pPr>
      <w:adjustRightInd w:val="0"/>
      <w:snapToGrid w:val="0"/>
      <w:spacing w:beforeLines="10" w:afterLines="10" w:line="259" w:lineRule="auto"/>
      <w:jc w:val="center"/>
    </w:pPr>
    <w:rPr>
      <w:rFonts w:ascii="宋体"/>
      <w:kern w:val="0"/>
      <w:szCs w:val="20"/>
    </w:rPr>
  </w:style>
  <w:style w:type="character" w:customStyle="1" w:styleId="164">
    <w:name w:val="font31"/>
    <w:basedOn w:val="39"/>
    <w:qFormat/>
    <w:uiPriority w:val="0"/>
    <w:rPr>
      <w:rFonts w:hint="eastAsia" w:ascii="宋体" w:hAnsi="宋体" w:eastAsia="宋体"/>
      <w:color w:val="000000"/>
      <w:sz w:val="21"/>
      <w:szCs w:val="21"/>
      <w:u w:val="none"/>
    </w:rPr>
  </w:style>
  <w:style w:type="character" w:customStyle="1" w:styleId="165">
    <w:name w:val="font21"/>
    <w:basedOn w:val="39"/>
    <w:qFormat/>
    <w:uiPriority w:val="0"/>
    <w:rPr>
      <w:rFonts w:hint="default" w:ascii="Times New Roman" w:hAnsi="Times New Roman" w:cs="Times New Roman"/>
      <w:color w:val="000000"/>
      <w:sz w:val="21"/>
      <w:szCs w:val="21"/>
      <w:u w:val="none"/>
    </w:rPr>
  </w:style>
  <w:style w:type="character" w:customStyle="1" w:styleId="166">
    <w:name w:val="font11"/>
    <w:basedOn w:val="39"/>
    <w:qFormat/>
    <w:uiPriority w:val="0"/>
    <w:rPr>
      <w:rFonts w:hint="default" w:ascii="Times New Roman" w:hAnsi="Times New Roman" w:cs="Times New Roman"/>
      <w:color w:val="000000"/>
      <w:sz w:val="21"/>
      <w:szCs w:val="21"/>
      <w:u w:val="none"/>
      <w:vertAlign w:val="superscript"/>
    </w:rPr>
  </w:style>
  <w:style w:type="character" w:customStyle="1" w:styleId="167">
    <w:name w:val="列出段落 Char"/>
    <w:link w:val="126"/>
    <w:qFormat/>
    <w:uiPriority w:val="34"/>
    <w:rPr>
      <w:kern w:val="2"/>
      <w:sz w:val="21"/>
      <w:szCs w:val="24"/>
    </w:rPr>
  </w:style>
  <w:style w:type="table" w:customStyle="1" w:styleId="168">
    <w:name w:val="标准表格"/>
    <w:basedOn w:val="35"/>
    <w:qFormat/>
    <w:uiPriority w:val="99"/>
    <w:pPr>
      <w:spacing w:before="74"/>
      <w:jc w:val="center"/>
    </w:pPr>
    <w:rPr>
      <w:sz w:val="18"/>
    </w:rPr>
    <w:tblPr>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Pr>
    <w:trPr>
      <w:jc w:val="center"/>
    </w:trPr>
    <w:tcPr>
      <w:shd w:val="clear" w:color="auto" w:fill="FFFFFF" w:themeFill="background1"/>
      <w:vAlign w:val="center"/>
    </w:tcPr>
    <w:tblStylePr w:type="firstRow">
      <w:pPr>
        <w:wordWrap/>
        <w:spacing w:beforeLines="0" w:beforeAutospacing="0" w:afterLines="0" w:afterAutospacing="0" w:line="240" w:lineRule="auto"/>
        <w:ind w:left="0" w:leftChars="0" w:right="0" w:rightChars="0" w:firstLine="0" w:firstLineChars="0"/>
        <w:jc w:val="center"/>
      </w:pPr>
      <w:rPr>
        <w:rFonts w:eastAsia="宋体"/>
        <w:sz w:val="18"/>
      </w:rPr>
      <w:tblPr/>
      <w:trPr>
        <w:tblHeader/>
      </w:trPr>
    </w:tblStylePr>
    <w:tblStylePr w:type="firstCol">
      <w:pPr>
        <w:jc w:val="center"/>
      </w:pPr>
    </w:tblStylePr>
  </w:style>
  <w:style w:type="paragraph" w:customStyle="1" w:styleId="169">
    <w:name w:val="表格填充内容"/>
    <w:basedOn w:val="14"/>
    <w:link w:val="171"/>
    <w:qFormat/>
    <w:uiPriority w:val="0"/>
    <w:rPr>
      <w:color w:val="FF0000"/>
    </w:rPr>
  </w:style>
  <w:style w:type="paragraph" w:customStyle="1" w:styleId="170">
    <w:name w:val="报告表正文标注文字"/>
    <w:basedOn w:val="157"/>
    <w:link w:val="172"/>
    <w:qFormat/>
    <w:uiPriority w:val="0"/>
    <w:pPr>
      <w:ind w:firstLine="482"/>
    </w:pPr>
    <w:rPr>
      <w:b/>
      <w:color w:val="FF0000"/>
    </w:rPr>
  </w:style>
  <w:style w:type="character" w:customStyle="1" w:styleId="171">
    <w:name w:val="表格填充内容 Char"/>
    <w:basedOn w:val="83"/>
    <w:link w:val="169"/>
    <w:qFormat/>
    <w:uiPriority w:val="0"/>
    <w:rPr>
      <w:color w:val="FF0000"/>
      <w:kern w:val="2"/>
      <w:sz w:val="21"/>
      <w:szCs w:val="24"/>
      <w:lang w:val="zh-CN"/>
    </w:rPr>
  </w:style>
  <w:style w:type="character" w:customStyle="1" w:styleId="172">
    <w:name w:val="报告表正文标注文字 Char"/>
    <w:basedOn w:val="156"/>
    <w:link w:val="170"/>
    <w:qFormat/>
    <w:uiPriority w:val="0"/>
    <w:rPr>
      <w:b/>
      <w:color w:val="FF0000"/>
      <w:kern w:val="2"/>
      <w:sz w:val="24"/>
      <w:szCs w:val="24"/>
      <w:lang w:val="zh-CN"/>
    </w:rPr>
  </w:style>
  <w:style w:type="character" w:customStyle="1" w:styleId="173">
    <w:name w:val="样式48 Char"/>
    <w:link w:val="174"/>
    <w:qFormat/>
    <w:uiPriority w:val="0"/>
  </w:style>
  <w:style w:type="paragraph" w:customStyle="1" w:styleId="174">
    <w:name w:val="样式48"/>
    <w:basedOn w:val="1"/>
    <w:link w:val="173"/>
    <w:qFormat/>
    <w:uiPriority w:val="0"/>
    <w:pPr>
      <w:tabs>
        <w:tab w:val="left" w:pos="397"/>
      </w:tabs>
      <w:spacing w:beforeLines="50"/>
      <w:jc w:val="center"/>
      <w:outlineLvl w:val="4"/>
    </w:pPr>
    <w:rPr>
      <w:kern w:val="0"/>
      <w:sz w:val="20"/>
      <w:szCs w:val="20"/>
    </w:rPr>
  </w:style>
  <w:style w:type="paragraph" w:customStyle="1" w:styleId="175">
    <w:name w:val="表格正文 YP"/>
    <w:basedOn w:val="1"/>
    <w:link w:val="177"/>
    <w:qFormat/>
    <w:uiPriority w:val="0"/>
    <w:pPr>
      <w:ind w:firstLine="2"/>
      <w:jc w:val="center"/>
    </w:pPr>
    <w:rPr>
      <w:rFonts w:hAnsi="宋体"/>
      <w:szCs w:val="21"/>
    </w:rPr>
  </w:style>
  <w:style w:type="paragraph" w:customStyle="1" w:styleId="176">
    <w:name w:val="正文 LYP"/>
    <w:basedOn w:val="1"/>
    <w:qFormat/>
    <w:uiPriority w:val="0"/>
    <w:pPr>
      <w:spacing w:line="360" w:lineRule="auto"/>
      <w:ind w:firstLine="200" w:firstLineChars="200"/>
    </w:pPr>
    <w:rPr>
      <w:sz w:val="24"/>
    </w:rPr>
  </w:style>
  <w:style w:type="character" w:customStyle="1" w:styleId="177">
    <w:name w:val="表格正文 YP Char"/>
    <w:link w:val="175"/>
    <w:qFormat/>
    <w:uiPriority w:val="0"/>
    <w:rPr>
      <w:rFonts w:hAnsi="宋体"/>
      <w:kern w:val="2"/>
      <w:sz w:val="21"/>
      <w:szCs w:val="21"/>
    </w:rPr>
  </w:style>
  <w:style w:type="character" w:customStyle="1" w:styleId="178">
    <w:name w:val="正文首行缩进 2 Char"/>
    <w:basedOn w:val="74"/>
    <w:link w:val="34"/>
    <w:qFormat/>
    <w:uiPriority w:val="0"/>
    <w:rPr>
      <w:spacing w:val="4"/>
      <w:kern w:val="2"/>
      <w:sz w:val="21"/>
      <w:szCs w:val="24"/>
    </w:rPr>
  </w:style>
  <w:style w:type="paragraph" w:customStyle="1" w:styleId="179">
    <w:name w:val="Normal Indent1"/>
    <w:basedOn w:val="1"/>
    <w:qFormat/>
    <w:uiPriority w:val="0"/>
    <w:pPr>
      <w:ind w:firstLine="420"/>
    </w:pPr>
  </w:style>
  <w:style w:type="character" w:customStyle="1" w:styleId="180">
    <w:name w:val="font81"/>
    <w:qFormat/>
    <w:uiPriority w:val="0"/>
    <w:rPr>
      <w:rFonts w:hint="eastAsia" w:ascii="宋体" w:hAnsi="宋体" w:eastAsia="宋体" w:cs="宋体"/>
      <w:color w:val="000000"/>
      <w:sz w:val="21"/>
      <w:szCs w:val="21"/>
      <w:u w:val="none"/>
    </w:rPr>
  </w:style>
  <w:style w:type="paragraph" w:customStyle="1" w:styleId="181">
    <w:name w:val="Table Paragraph"/>
    <w:basedOn w:val="1"/>
    <w:qFormat/>
    <w:uiPriority w:val="0"/>
    <w:rPr>
      <w:rFonts w:ascii="宋体" w:hAnsi="宋体" w:cs="宋体"/>
      <w:lang w:val="zh-CN" w:bidi="zh-CN"/>
    </w:rPr>
  </w:style>
  <w:style w:type="paragraph" w:customStyle="1" w:styleId="182">
    <w:name w:val="样式 黑色 行距: 最小值 26 磅"/>
    <w:basedOn w:val="1"/>
    <w:qFormat/>
    <w:uiPriority w:val="0"/>
    <w:pPr>
      <w:ind w:firstLine="200" w:firstLineChars="200"/>
      <w:jc w:val="left"/>
    </w:pPr>
    <w:rPr>
      <w:rFonts w:eastAsia="楷体_GB2312" w:cs="宋体"/>
      <w:color w:val="000000"/>
      <w:spacing w:val="6"/>
      <w:sz w:val="28"/>
      <w:szCs w:val="20"/>
    </w:rPr>
  </w:style>
  <w:style w:type="character" w:customStyle="1" w:styleId="183">
    <w:name w:val="纯文本 Char1"/>
    <w:qFormat/>
    <w:uiPriority w:val="0"/>
    <w:rPr>
      <w:rFonts w:asciiTheme="minorHAnsi" w:hAnsiTheme="minorHAnsi" w:eastAsiaTheme="minorEastAsia" w:cstheme="minorBidi"/>
      <w:kern w:val="2"/>
      <w:sz w:val="24"/>
    </w:rPr>
  </w:style>
  <w:style w:type="paragraph" w:customStyle="1" w:styleId="184">
    <w:name w:val="TOC 标题2"/>
    <w:basedOn w:val="2"/>
    <w:next w:val="1"/>
    <w:unhideWhenUsed/>
    <w:qFormat/>
    <w:uiPriority w:val="39"/>
    <w:pPr>
      <w:widowControl/>
      <w:tabs>
        <w:tab w:val="clear" w:pos="432"/>
      </w:tabs>
      <w:spacing w:before="24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185">
    <w:name w:val="表头d"/>
    <w:basedOn w:val="1"/>
    <w:qFormat/>
    <w:uiPriority w:val="0"/>
    <w:pPr>
      <w:numPr>
        <w:ilvl w:val="0"/>
        <w:numId w:val="4"/>
      </w:numPr>
      <w:tabs>
        <w:tab w:val="left" w:pos="0"/>
      </w:tabs>
      <w:jc w:val="center"/>
    </w:pPr>
    <w:rPr>
      <w:b/>
      <w:sz w:val="24"/>
    </w:rPr>
  </w:style>
  <w:style w:type="paragraph" w:styleId="186">
    <w:name w:val="No Spacing"/>
    <w:basedOn w:val="1"/>
    <w:qFormat/>
    <w:uiPriority w:val="0"/>
  </w:style>
  <w:style w:type="paragraph" w:customStyle="1" w:styleId="187">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188">
    <w:name w:val="表（文字部分）、图（文字部分）"/>
    <w:basedOn w:val="189"/>
    <w:qFormat/>
    <w:uiPriority w:val="0"/>
    <w:pPr>
      <w:spacing w:line="240" w:lineRule="auto"/>
      <w:ind w:firstLine="0" w:firstLineChars="0"/>
      <w:jc w:val="center"/>
    </w:pPr>
    <w:rPr>
      <w:rFonts w:ascii="Times New Roman" w:hAnsi="Times New Roman" w:eastAsia="宋体"/>
      <w:sz w:val="21"/>
    </w:rPr>
  </w:style>
  <w:style w:type="paragraph" w:customStyle="1" w:styleId="189">
    <w:name w:val="正文+1"/>
    <w:basedOn w:val="1"/>
    <w:next w:val="190"/>
    <w:qFormat/>
    <w:uiPriority w:val="0"/>
    <w:pPr>
      <w:adjustRightInd w:val="0"/>
      <w:snapToGrid w:val="0"/>
      <w:spacing w:line="360" w:lineRule="auto"/>
      <w:ind w:firstLine="200" w:firstLineChars="200"/>
    </w:pPr>
    <w:rPr>
      <w:rFonts w:ascii="Times New Roman" w:hAnsi="Times New Roman" w:eastAsia="宋体"/>
      <w:sz w:val="24"/>
    </w:rPr>
  </w:style>
  <w:style w:type="paragraph" w:customStyle="1" w:styleId="190">
    <w:name w:val="正文+2 （加粗）"/>
    <w:basedOn w:val="189"/>
    <w:next w:val="189"/>
    <w:qFormat/>
    <w:uiPriority w:val="0"/>
    <w:pPr>
      <w:adjustRightInd w:val="0"/>
      <w:snapToGrid w:val="0"/>
    </w:pPr>
    <w:rPr>
      <w:b/>
    </w:rPr>
  </w:style>
  <w:style w:type="paragraph" w:customStyle="1" w:styleId="191">
    <w:name w:val="Table Text"/>
    <w:basedOn w:val="1"/>
    <w:semiHidden/>
    <w:qFormat/>
    <w:uiPriority w:val="0"/>
    <w:rPr>
      <w:rFonts w:ascii="宋体" w:hAnsi="宋体" w:eastAsia="宋体" w:cs="宋体"/>
      <w:sz w:val="20"/>
      <w:szCs w:val="20"/>
      <w:lang w:val="en-US" w:eastAsia="en-US" w:bidi="ar-SA"/>
    </w:rPr>
  </w:style>
  <w:style w:type="table" w:customStyle="1" w:styleId="192">
    <w:name w:val="Table Normal"/>
    <w:basedOn w:val="35"/>
    <w:unhideWhenUsed/>
    <w:qFormat/>
    <w:uiPriority w:val="0"/>
    <w:tblPr>
      <w:tblCellMar>
        <w:top w:w="0" w:type="dxa"/>
        <w:left w:w="0" w:type="dxa"/>
        <w:bottom w:w="0" w:type="dxa"/>
        <w:right w:w="0" w:type="dxa"/>
      </w:tblCellMar>
    </w:tblPr>
  </w:style>
  <w:style w:type="paragraph" w:customStyle="1" w:styleId="193">
    <w:name w:val="自定标题3"/>
    <w:basedOn w:val="4"/>
    <w:next w:val="60"/>
    <w:qFormat/>
    <w:uiPriority w:val="0"/>
    <w:pPr>
      <w:keepNext w:val="0"/>
      <w:keepLines w:val="0"/>
      <w:snapToGrid w:val="0"/>
      <w:spacing w:before="120" w:beforeLines="50" w:after="0" w:line="360" w:lineRule="auto"/>
      <w:ind w:left="0"/>
      <w:jc w:val="left"/>
    </w:pPr>
    <w:rPr>
      <w:bCs w:val="0"/>
      <w:snapToGrid w:val="0"/>
      <w:sz w:val="24"/>
      <w:szCs w:val="20"/>
    </w:rPr>
  </w:style>
  <w:style w:type="paragraph" w:customStyle="1" w:styleId="194">
    <w:name w:val="新-表格文字"/>
    <w:basedOn w:val="1"/>
    <w:qFormat/>
    <w:uiPriority w:val="0"/>
    <w:pPr>
      <w:jc w:val="center"/>
    </w:pPr>
    <w:rPr>
      <w:color w:val="00000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7" Type="http://schemas.microsoft.com/office/2011/relationships/people" Target="people.xml"/><Relationship Id="rId36" Type="http://schemas.openxmlformats.org/officeDocument/2006/relationships/fontTable" Target="fontTable.xml"/><Relationship Id="rId35" Type="http://schemas.openxmlformats.org/officeDocument/2006/relationships/customXml" Target="../customXml/item2.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YxMTQ1ODUyMzEzIiwKCSJHcm91cElkIiA6ICI4NjQ4MjY0NTUiLAoJIkltYWdlIiA6ICJpVkJPUncwS0dnb0FBQUFOU1VoRVVnQUFCTThBQUFDTENBWUFBQUIya2I2bkFBQUFBWE5TUjBJQXJzNGM2UUFBSUFCSlJFRlVlSnp0M1hsOERQZi9CL0RYN0pGTFFoeHhCWFZySEhXMWRiVHFhQjNWUTFVUHBkUjl4YTExbGpRUlNoR0NvbWlFdHZxTmxwYVNvbFd0bzRnamdnZ1NHaG9TSWhHUk83c3p2ei9zem04M3U3TTVKTTMxZWo0ZTMwZlptWjJaOWQzM2ZtYmVuOC9uL1FH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LaTB1Zi9BSmVBSjlHcDZnNm1BQUFBQUVsRlRrU3VRbUNDIiwKCSJUaGVtZSIgOiAiIiwKCSJUeXBlIiA6ICJmbG93IiwKCSJVc2VySWQiIDogIjc4ODAyODQ5NSIsCgkiVmVyc2lvbiIgOiAiMTMiCn0K"/>
    </extobj>
    <extobj name="ECB019B1-382A-4266-B25C-5B523AA43C14-2">
      <extobjdata type="ECB019B1-382A-4266-B25C-5B523AA43C14" data="ewoJIkZpbGVJZCIgOiAiNDYxMTQ1ODUyMzEzIiwKCSJHcm91cElkIiA6ICI4NjQ4MjY0NTUiLAoJIkltYWdlIiA6ICJpVkJPUncwS0dnb0FBQUFOU1VoRVVnQUFCQU1BQUFDTENBWUFBQUFVRWxDSUFBQUFBWE5TUjBJQXJzNGM2UUFBSUFCSlJFRlVlSnp0M1hsOFRPZitCL0RQT1RPVFJEWUpVYUgyNmlLV0pwYTY2bGJSaGFyU3k3VzBWVlFKcWdpaFdpR3hOS1FrRXFSb0ViVlhGTDJVK2xHbDE3NkhSRUlGVVNFaFFXU1JiZWFjM3grZE9UZkpMSmxFU0NTZjkrdlZWMlhPbVhQTzVEWGZQT2Q4bisvelBBQ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VTFmMC9pcHZRUWRqeE9Wc0FBQUFBU1VWT1JLNUNZSUk9IiwKCSJUaGVtZSIgOiAiIiwKCSJUeXBlIiA6ICJmbG93IiwKCSJVc2VySWQiIDogIjc4ODAyODQ5NSIsCgkiVmVyc2lvbiIgOiAiOTEiCn0K"/>
    </extobj>
    <extobj name="ECB019B1-382A-4266-B25C-5B523AA43C14-3">
      <extobjdata type="ECB019B1-382A-4266-B25C-5B523AA43C14" data="ewoJIkZpbGVJZCIgOiAiNDEwMDk4NzY2NzIwIiwKCSJHcm91cElkIiA6ICI4NjQ4MjY0NTUiLAoJIkltYWdlIiA6ICJpVkJPUncwS0dnb0FBQUFOU1VoRVVnQUFCYndBQUFMbUNBWUFBQUNKbEZKUkFBQUFBWE5TUjBJQXJzNGM2UUFBSUFCSlJFRlVlSnpzM1hsOEZQWDVCL0RQTTNza0lTWkVUc0dvVVdPaklXeDJacjJyV0sxSFc2dXRXSzFXUmExb0xhSlNCYTlhc2Q1VnNiWlZxVmFyMVdxOStGbVBxbWd2YjFFenM3dEFCSXlLRXBGVGtDdlg3ankvUDNZMjNZUk5zcms0UCsvWGk5Y21NOTlyUW5Zejg4eDNuaTlB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Lzc4OU9DQUJBQUFBRVBUL2RUc0NGUUFBQUFBQUFBQUFBQUFBQUFBQUFBQUFBQUFBQUFBQUFBQUFBQUFBQUFBQUFBQUFBQUFBQUFBQUFBQUFBQUFBQUFBQUFBQUFBQUFBQUFBQUFBQUFBQUFBQUFBQUFBQUFBQUFBQUFBQUFBQUFBQUFBQUFBQUFBQUFBQUFBQUFBQTJBbnZQWURTYytra2FRQUFBQUJKUlU1RXJrSmdnZz09IiwKCSJUaGVtZSIgOiAiIiwKCSJUeXBlIiA6ICJmbG93IiwKCSJVc2VySWQiIDogIjc4ODAyODQ5NSIsCgkiVmVyc2lvbiIgOiAiMTY2Igp9Cg=="/>
    </extobj>
    <extobj name="ECB019B1-382A-4266-B25C-5B523AA43C14-4">
      <extobjdata type="ECB019B1-382A-4266-B25C-5B523AA43C14" data="ewoJIkZpbGVJZCIgOiAiNDYzMDQzNDE5MDUzIiwKCSJHcm91cElkIiA6ICI4NjQ4MjY0NTUiLAoJIkltYWdlIiA6ICJpVkJPUncwS0dnb0FBQUFOU1VoRVVnQUFCQ2dBQUFHSENBWUFBQUJ5R21OZ0FBQUFBWE5TUjBJQXJzNGM2UUFBSUFCSlJFRlVlSnpzM1htWVcxWDVCL0R2ZTI0eWswN2JhUWNvUlNnd1B4MXNUVHZKUFRlc3lnNGlRdGxrS1NDcnJMSW9pd2lDZ3NxbWdJSUlzcU9DWUVGa2tWMTJXVVZ5NzAzYURoUXJERmhBS0xTbDAzWTZrK1M4dno5eVV0STBtY2xNVytpVTkvTThQR1R1ZW5JN2s5enozblBlRnh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ENHl2Zy9pMDU5NHJXejRQQUFBQUFBU1VWT1JLNUNZSUk9IiwKCSJUaGVtZSIgOiAiIiwKCSJUeXBlIiA6ICJmbG93IiwKCSJVc2VySWQiIDogIjc4ODAyODQ5NSIsCgkiVmVyc2lvbiIgOiAiNDkiCn0K"/>
    </extobj>
    <extobj name="ECB019B1-382A-4266-B25C-5B523AA43C14-5">
      <extobjdata type="ECB019B1-382A-4266-B25C-5B523AA43C14" data="ewoJIkZpbGVJZCIgOiAiNDYxMTQ1ODUyMzEzIiwKCSJHcm91cElkIiA6ICI4NjQ4MjY0NTUiLAoJIkltYWdlIiA6ICJpVkJPUncwS0dnb0FBQUFOU1VoRVVnQUFCYklBQUFGdkNBWUFBQUNmQ2oxdkFBQUFBWE5TUjBJQXJzNGM2UUFBSUFCSlJFRlVlSnpzM1hsNFZOWDl4L0hQdVRQWmdDQWc3aHRGS0JvZ21UdlJXcTMrckZhTHRiVXV0VkpYcWxiRjBvSldLVlhyZ29oU0ZQY1c5N3JWdXFCWVFGUVV0Y1dGSXBtYkJBaUxxS0dtb29BQ1lRdkp6RDIvUHpLVFpwbEpRa3pJQU8vWDgrUko1dDV6enowM3o1dzU1MzduM0hNa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2kvT2ovQUtrOHlRdm9KTy9PQUFBQUFFbEZUa1N1UW1DQyIsCgkiVGhlbWUiIDogIiIsCgkiVHlwZSIgOiAiZmxvdyIsCgkiVXNlcklkIiA6ICI3ODgwMjg0OTUiLAoJIlZlcnNpb24iIDogIjc2Igp9Cg=="/>
    </extobj>
    <extobj name="ECB019B1-382A-4266-B25C-5B523AA43C14-6">
      <extobjdata type="ECB019B1-382A-4266-B25C-5B523AA43C14" data="ewoJIkZpbGVJZCIgOiAiNDYxMTQ1ODUyMzEzIiwKCSJHcm91cElkIiA6ICI4NjQ4MjY0NTUiLAoJIkltYWdlIiA6ICJpVkJPUncwS0dnb0FBQUFOU1VoRVVnQUFCUElBQUFGN0NBWUFBQUJZZWFXQ0FBQUFBWE5TUjBJQXJzNGM2UUFBSUFCSlJFRlVlSnpzM1hsOFhIVzkvL0gzNTh4a2FTbWxMYlNpVmtVdEFtbWJ6RG1qdUtHSW9vQWJLbks1b29pSWlvby9WbkVCcmlLSUNCY3VnZ3V5cUlDb2dDSUl5QVVVRk5tdTBNeVpwQ1cwR0tSY2V0bGE2RXFiWmVaOGZuL01TVTNUSkUzU3JPM3IrWGp3U09aczM4K1UrV2ErNTNPK2l3U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nSWYyRDY2WFZFRys2N0dpQUFBQUFFbEZUa1N1UW1DQyIsCgkiVGhlbWUiIDogIiIsCgkiVHlwZSIgOiAiZmxvdyIsCgkiVXNlcklkIiA6ICI3ODgwMjg0OTUiLAoJIlZlcnNpb24iIDogIjg3Igp9Cg=="/>
    </extobj>
    <extobj name="ECB019B1-382A-4266-B25C-5B523AA43C14-7">
      <extobjdata type="ECB019B1-382A-4266-B25C-5B523AA43C14" data="ewoJIkZpbGVJZCIgOiAiNDg2NzIzMDY0NjQwIiwKCSJHcm91cElkIiA6ICI4NjQ4MjY0NTUiLAoJIkltYWdlIiA6ICJpVkJPUncwS0dnb0FBQUFOU1VoRVVnQUFCcUFBQUFJS0NBWUFBQUJNWW83UEFBQUFBWE5TUjBJQXJzNGM2UUFBSUFCSlJFRlVlSnpzM1hkOFZGWCsvL0gzbVptRWhONUJDUm9sQWlLRXpFU3g0QmNSQzZ6NjAxMzFLL3ZGbFVXYUNpcDJzVmRVRkFzV1dMdGlXV0ZaVnhEQnNnb0t5aUtra0VScWxFZ1JKRkVDaHBBeWM4L3ZqOHhrMHlhWlFDQUNyK2Zqa1FkMzd2MmNjejczSnVFQjg1bHpqZ1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QUgveDhaOHEwR0Y0ajhnZ0FBQUFCSlJVNUVya0pnZ2c9PSIsCgkiVGhlbWUiIDogIiIsCgkiVHlwZSIgOiAiZmxvdyIsCgkiVXNlcklkIiA6ICI3ODgwMjg0OTUiLAoJIlZlcnNpb24iIDogIjE4OSIKfQo="/>
    </extobj>
    <extobj name="ECB019B1-382A-4266-B25C-5B523AA43C14-8">
      <extobjdata type="ECB019B1-382A-4266-B25C-5B523AA43C14" data="ewoJIkZpbGVJZCIgOiAiNDg2NzIzMDY0NjQwIiwKCSJHcm91cElkIiA6ICI4NjQ4MjY0NTUiLAoJIkltYWdlIiA6ICJpVkJPUncwS0dnb0FBQUFOU1VoRVVnQUFCcUFBQUFJS0NBWUFBQUJNWW83UEFBQUFBWE5TUjBJQXJzNGM2UUFBSUFCSlJFRlVlSnpzM1hkNFZGWCt4L0hQbVptRTBIc1RkQ05FUUNSbEpvZ0ZmNHBZVjMxMEYxM2RIeTR1MHV4aUYzdEZSYkZnWGJ0aVdVRldCVkhzb0tBc1FtWkNFcWxSSW9JZ1FRa2hoSlNaT2I4L01wTmZ5a3d5Z1VBbzc5Zno1TW1kZTcvbm5PKzlDVDV4dm5QT2t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nc4djEvVW5wVDFQUXIwUThBQUFBQVNVVk9SSzVDWUlJPSIsCgkiVGhlbWUiIDogIiIsCgkiVHlwZSIgOiAiZmxvdyIsCgkiVXNlcklkIiA6ICI3ODgwMjg0OTUiLAoJIlZlcnNpb24iIDogIjE4NyIKfQo="/>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09873F-ADB9-4A0A-862C-51E85E06DFD6}">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86</Pages>
  <Words>651</Words>
  <Characters>755</Characters>
  <Lines>281</Lines>
  <Paragraphs>79</Paragraphs>
  <TotalTime>18</TotalTime>
  <ScaleCrop>false</ScaleCrop>
  <LinksUpToDate>false</LinksUpToDate>
  <CharactersWithSpaces>811</CharactersWithSpaces>
  <Application>WPS Office_12.1.0.22175_F1E327BC-269C-435d-A152-05C5408002CA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2021-11-22T00:47:00Z</dcterms:created>
  <dc:creator>KK</dc:creator>
  <cp:lastModifiedBy>暮色</cp:lastModifiedBy>
  <cp:lastPrinted>2026-01-28T03:47:00Z</cp:lastPrinted>
  <dcterms:modified xsi:type="dcterms:W3CDTF">2026-02-11T03:41:56Z</dcterms:modified>
  <dc:title>建设项目环境影响报告表</dc:title>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2052-12.1.0.22175</vt:lpwstr>
  </property>
  <property fmtid="{D5CDD505-2E9C-101B-9397-08002B2CF9AE}" pid="3" name="ICV">
    <vt:lpwstr>1E2BC4B9BE96401FB2E3BA858E222117_13</vt:lpwstr>
  </property>
  <property fmtid="{D5CDD505-2E9C-101B-9397-08002B2CF9AE}" pid="4" name="KSOTemplateDocerSaveRecord">
    <vt:lpwstr>eyJoZGlkIjoiZWY2MDVjOWE5ZDE4YzVmYmEwMTc5ZjMwZjVhNmQ0MzUiLCJ1c2VySWQiOiI3ODgwMjg0OTUifQ==</vt:lpwstr>
  </property>
</Properties>
</file>